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新宋体" w:hAnsi="新宋体" w:eastAsia="新宋体"/>
          <w:b/>
          <w:bCs/>
          <w:color w:val="FF0000"/>
          <w:sz w:val="136"/>
          <w:szCs w:val="136"/>
        </w:rPr>
      </w:pPr>
    </w:p>
    <w:p>
      <w:pPr>
        <w:pStyle w:val="7"/>
        <w:jc w:val="center"/>
        <w:rPr>
          <w:rFonts w:ascii="新宋体" w:hAnsi="新宋体" w:eastAsia="新宋体"/>
          <w:b/>
          <w:bCs/>
          <w:color w:val="FF0000"/>
          <w:sz w:val="136"/>
          <w:szCs w:val="136"/>
        </w:rPr>
      </w:pPr>
      <w:r>
        <w:rPr>
          <w:rFonts w:hint="eastAsia" w:ascii="新宋体" w:hAnsi="新宋体" w:eastAsia="新宋体"/>
          <w:b/>
          <w:bCs/>
          <w:color w:val="FF0000"/>
          <w:sz w:val="136"/>
          <w:szCs w:val="136"/>
        </w:rPr>
        <w:t>统 计 参 阅</w:t>
      </w:r>
    </w:p>
    <w:p>
      <w:pPr>
        <w:autoSpaceDN w:val="0"/>
        <w:spacing w:line="560" w:lineRule="exact"/>
        <w:rPr>
          <w:rFonts w:hint="eastAsia"/>
          <w:b/>
          <w:sz w:val="32"/>
          <w:szCs w:val="32"/>
        </w:rPr>
      </w:pPr>
    </w:p>
    <w:p>
      <w:pPr>
        <w:autoSpaceDN w:val="0"/>
        <w:spacing w:line="5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eastAsia="zh-CN"/>
        </w:rPr>
        <w:t>五</w:t>
      </w:r>
      <w:r>
        <w:rPr>
          <w:rFonts w:hint="eastAsia"/>
          <w:b/>
          <w:sz w:val="32"/>
          <w:szCs w:val="32"/>
        </w:rPr>
        <w:t>期</w:t>
      </w:r>
    </w:p>
    <w:p>
      <w:pPr>
        <w:autoSpaceDN w:val="0"/>
        <w:spacing w:line="5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屯昌县统计局编                      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lang w:val="en-US" w:eastAsia="zh-CN"/>
        </w:rPr>
        <w:t>24</w:t>
      </w:r>
      <w:r>
        <w:rPr>
          <w:b/>
          <w:sz w:val="32"/>
          <w:szCs w:val="32"/>
        </w:rPr>
        <w:t>日</w:t>
      </w:r>
    </w:p>
    <w:p>
      <w:pPr>
        <w:spacing w:line="600" w:lineRule="atLeas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fldChar w:fldCharType="begin"/>
      </w:r>
      <w:r>
        <w:instrText xml:space="preserve"> INCLUDEPICTURE "E:\\me\\2013\\Local Settings\\Temp\\ksohtml\\wps_clip_image-11571.png" \* MERGEFORMAT </w:instrText>
      </w:r>
      <w:r>
        <w:fldChar w:fldCharType="separate"/>
      </w:r>
      <w:r>
        <w:drawing>
          <wp:inline distT="0" distB="0" distL="114300" distR="114300">
            <wp:extent cx="5381625" cy="47625"/>
            <wp:effectExtent l="0" t="0" r="9525" b="9525"/>
            <wp:docPr id="2" name="图片 2" descr="wps_clip_image-1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_clip_image-115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宋体" w:hAnsi="宋体" w:cs="宋体"/>
          <w:b/>
          <w:bCs/>
          <w:sz w:val="44"/>
          <w:szCs w:val="44"/>
        </w:rPr>
        <w:t>1-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月屯昌县经济运行简况</w:t>
      </w:r>
    </w:p>
    <w:p>
      <w:pPr>
        <w:spacing w:line="600" w:lineRule="atLeas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1-5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月份，屯昌县经济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发展总体平稳，</w:t>
      </w:r>
      <w:r>
        <w:rPr>
          <w:rFonts w:hint="eastAsia" w:ascii="仿宋" w:hAnsi="仿宋" w:eastAsia="仿宋" w:cs="仿宋"/>
          <w:sz w:val="32"/>
          <w:szCs w:val="32"/>
        </w:rPr>
        <w:t>固定资产投资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降幅收窄；</w:t>
      </w:r>
      <w:r>
        <w:rPr>
          <w:rFonts w:hint="eastAsia" w:ascii="仿宋" w:hAnsi="仿宋" w:eastAsia="仿宋" w:cs="仿宋"/>
          <w:sz w:val="32"/>
          <w:szCs w:val="32"/>
        </w:rPr>
        <w:t>商品房交易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向好；规上</w:t>
      </w:r>
      <w:r>
        <w:rPr>
          <w:rFonts w:hint="eastAsia" w:ascii="仿宋" w:hAnsi="仿宋" w:eastAsia="仿宋" w:cs="仿宋"/>
          <w:sz w:val="32"/>
          <w:szCs w:val="32"/>
        </w:rPr>
        <w:t>工业生产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趋于好转；</w:t>
      </w:r>
      <w:r>
        <w:rPr>
          <w:rFonts w:hint="eastAsia" w:ascii="仿宋" w:hAnsi="仿宋" w:eastAsia="仿宋" w:cs="仿宋"/>
          <w:sz w:val="32"/>
          <w:szCs w:val="32"/>
        </w:rPr>
        <w:t>财政收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入较快</w:t>
      </w:r>
      <w:r>
        <w:rPr>
          <w:rFonts w:hint="eastAsia" w:ascii="仿宋" w:hAnsi="仿宋" w:eastAsia="仿宋" w:cs="仿宋"/>
          <w:sz w:val="32"/>
          <w:szCs w:val="32"/>
        </w:rPr>
        <w:t>增长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，支出小幅增长；</w:t>
      </w:r>
      <w:r>
        <w:rPr>
          <w:rFonts w:hint="eastAsia" w:ascii="仿宋" w:hAnsi="仿宋" w:eastAsia="仿宋" w:cs="仿宋"/>
          <w:sz w:val="32"/>
          <w:szCs w:val="32"/>
        </w:rPr>
        <w:t>消费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</w:t>
      </w:r>
      <w:r>
        <w:rPr>
          <w:rFonts w:hint="eastAsia" w:ascii="仿宋" w:hAnsi="仿宋" w:eastAsia="仿宋" w:cs="仿宋"/>
          <w:sz w:val="32"/>
          <w:szCs w:val="32"/>
        </w:rPr>
        <w:t>市场平稳增长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货物运输较快增长，旅客运输下降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全社会用电量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当月下降，累计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固定资产投资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降幅收窄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5月当月，全县完成固定资产投资19341万元，同比增长15.9%。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其中，房地产开发完成投资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；非房地产完成投资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14312万元，同比下降48.6%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月，全县完成固定资产投资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83055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14.5个百分点，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全省排第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名，中部市县排第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降幅持续收窄，降幅分别比一季度和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1-4月缩小12个百分点和6.2个百分点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。其中，房地产开发完成投资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26397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；非房地产完成投资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56658万元，同比下降11.5%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，在投资项目方面，全县新开工项目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个，比去年同期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个，新开工项目完成投资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万元。重点建设项目完成投资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万元，其中列入省级重点项目累计完成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月，在投资项目方面，全县新开工项目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去年同期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，新开工项目完成投资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28587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月底重点建设项目累计完成投资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万元，完成年度计划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%，其中列入省级重点项目累计完成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万元，完成年度计划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二、商品房交易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向好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5月当月，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商品房销售面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积2.08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万平方米，同比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150.6</w:t>
      </w:r>
      <w:r>
        <w:rPr>
          <w:rFonts w:hint="eastAsia" w:ascii="仿宋_GB2312" w:hAnsi="仿宋_GB2312" w:eastAsia="仿宋_GB2312" w:cs="仿宋_GB2312"/>
          <w:sz w:val="32"/>
          <w:szCs w:val="32"/>
        </w:rPr>
        <w:t>%；商品房销售额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184.6%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月，商品房累计销售面积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万平方米，同比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，降幅比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1-4月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缩小了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20.9个百分点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；商品房累计销售额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39425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3.9%，结束了连续14个月的负增长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规上</w:t>
      </w:r>
      <w:r>
        <w:rPr>
          <w:rFonts w:hint="eastAsia" w:ascii="黑体" w:hAnsi="黑体" w:eastAsia="黑体" w:cs="黑体"/>
          <w:sz w:val="32"/>
          <w:szCs w:val="32"/>
        </w:rPr>
        <w:t>工业生产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趋于好转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5月当月，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规模以上工业完成总产值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同比下降13.3%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。按经济类型分，国有经济企业完成总产值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12.3</w:t>
      </w:r>
      <w:r>
        <w:rPr>
          <w:rFonts w:hint="eastAsia" w:ascii="仿宋_GB2312" w:hAnsi="仿宋_GB2312" w:eastAsia="仿宋_GB2312" w:cs="仿宋_GB2312"/>
          <w:sz w:val="32"/>
          <w:szCs w:val="32"/>
        </w:rPr>
        <w:t>%；股份制企业完成总产值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29.1</w:t>
      </w:r>
      <w:r>
        <w:rPr>
          <w:rFonts w:hint="eastAsia" w:ascii="仿宋_GB2312" w:hAnsi="仿宋_GB2312" w:eastAsia="仿宋_GB2312" w:cs="仿宋_GB2312"/>
          <w:sz w:val="32"/>
          <w:szCs w:val="32"/>
        </w:rPr>
        <w:t>%。从主要工业产品产量看，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5月当月，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供电量达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万千瓦小时，同比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sz w:val="32"/>
          <w:szCs w:val="32"/>
        </w:rPr>
        <w:t>%；水泥产量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57859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规上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工业完成总产值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17913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，增速同比回升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8.6个百分点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；工业增加值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同比增长3.4%，增速同比回升17.8个百分点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。按经济类型分，国有经济企业完成总产值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11.0</w:t>
      </w:r>
      <w:r>
        <w:rPr>
          <w:rFonts w:hint="eastAsia" w:ascii="仿宋_GB2312" w:hAnsi="仿宋_GB2312" w:eastAsia="仿宋_GB2312" w:cs="仿宋_GB2312"/>
          <w:sz w:val="32"/>
          <w:szCs w:val="32"/>
        </w:rPr>
        <w:t>%；股份制企业完成总产值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%。从主要工业产品产量看，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1-5月，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累计供电量达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14191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万千瓦小时，同比增长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10.8</w:t>
      </w:r>
      <w:r>
        <w:rPr>
          <w:rFonts w:hint="eastAsia" w:ascii="仿宋_GB2312" w:hAnsi="仿宋_GB2312" w:eastAsia="仿宋_GB2312" w:cs="仿宋_GB2312"/>
          <w:sz w:val="32"/>
          <w:szCs w:val="32"/>
        </w:rPr>
        <w:t>%；水泥累计产量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254842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入较快</w:t>
      </w:r>
      <w:r>
        <w:rPr>
          <w:rFonts w:hint="eastAsia" w:ascii="黑体" w:hAnsi="黑体" w:eastAsia="黑体" w:cs="黑体"/>
          <w:sz w:val="32"/>
          <w:szCs w:val="32"/>
        </w:rPr>
        <w:t>增长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，支出小幅增长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5月当月，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地方公共财政预算收入完成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116.1</w:t>
      </w:r>
      <w:r>
        <w:rPr>
          <w:rFonts w:hint="eastAsia" w:ascii="仿宋_GB2312" w:hAnsi="仿宋_GB2312" w:eastAsia="仿宋_GB2312" w:cs="仿宋_GB2312"/>
          <w:sz w:val="32"/>
          <w:szCs w:val="32"/>
        </w:rPr>
        <w:t>%。政府性基金收入完成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%。地方公共财政预算支出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20628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%。政府性基金支出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95.7%。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月，地方公共财政预算收入累计完成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24.2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%。其中，税收收入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sz w:val="32"/>
          <w:szCs w:val="32"/>
        </w:rPr>
        <w:t>%，税收收入中，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土地增值税、个人所得税、资源税、车船税、环保税</w:t>
      </w:r>
      <w:r>
        <w:rPr>
          <w:rFonts w:hint="eastAsia" w:ascii="仿宋_GB2312" w:hAnsi="仿宋_GB2312" w:eastAsia="仿宋_GB2312" w:cs="仿宋_GB2312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快</w:t>
      </w:r>
      <w:r>
        <w:rPr>
          <w:rFonts w:hint="eastAsia" w:ascii="仿宋_GB2312" w:hAnsi="仿宋_GB2312" w:eastAsia="仿宋_GB2312" w:cs="仿宋_GB2312"/>
          <w:sz w:val="32"/>
          <w:szCs w:val="32"/>
        </w:rPr>
        <w:t>，增速分别是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76.1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185.9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58.6%、25.3%、250.0%</w:t>
      </w:r>
      <w:r>
        <w:rPr>
          <w:rFonts w:hint="eastAsia" w:ascii="仿宋_GB2312" w:hAnsi="仿宋_GB2312" w:eastAsia="仿宋_GB2312" w:cs="仿宋_GB2312"/>
          <w:sz w:val="32"/>
          <w:szCs w:val="32"/>
        </w:rPr>
        <w:t>；非税收收入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121.1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1-5月，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政府性基金收入累计完成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34.4</w:t>
      </w:r>
      <w:r>
        <w:rPr>
          <w:rFonts w:hint="eastAsia" w:ascii="仿宋_GB2312" w:hAnsi="仿宋_GB2312" w:eastAsia="仿宋_GB2312" w:cs="仿宋_GB2312"/>
          <w:sz w:val="32"/>
          <w:szCs w:val="32"/>
        </w:rPr>
        <w:t>%。1-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月，地方公共财政预算支出累计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104613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%。支出重点持续倾斜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一般公共服务、教育、社会保障和就业、卫生健康、农林水事务等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25.9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教育累计支出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17840万元，增长6.3%；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；农林水事务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1-5月，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73.9%。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五、消费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品</w:t>
      </w:r>
      <w:r>
        <w:rPr>
          <w:rFonts w:hint="eastAsia" w:ascii="黑体" w:hAnsi="黑体" w:eastAsia="黑体" w:cs="黑体"/>
          <w:sz w:val="32"/>
          <w:szCs w:val="32"/>
        </w:rPr>
        <w:t>市场平稳增长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5月当月，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全县社会消费品零售总额完成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23236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其中，城镇市场完成零售额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</w:t>
      </w:r>
      <w:r>
        <w:rPr>
          <w:rFonts w:hint="eastAsia" w:ascii="仿宋_GB2312" w:hAnsi="仿宋_GB2312" w:eastAsia="仿宋_GB2312" w:cs="仿宋_GB2312"/>
          <w:sz w:val="32"/>
          <w:szCs w:val="32"/>
        </w:rPr>
        <w:t>%；乡村市场完成零售额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月，全县社会消费品零售总额完成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117608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%。其中，城镇市场完成零售额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96467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%；乡村市场完成零售额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21141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从消费形态</w:t>
      </w:r>
      <w:r>
        <w:rPr>
          <w:rFonts w:hint="eastAsia" w:ascii="仿宋_GB2312" w:hAnsi="仿宋_GB2312" w:eastAsia="仿宋_GB2312" w:cs="仿宋_GB2312"/>
          <w:sz w:val="32"/>
          <w:szCs w:val="32"/>
        </w:rPr>
        <w:t>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月，商品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零</w:t>
      </w:r>
      <w:r>
        <w:rPr>
          <w:rFonts w:hint="eastAsia" w:ascii="仿宋_GB2312" w:hAnsi="仿宋_GB2312" w:eastAsia="仿宋_GB2312" w:cs="仿宋_GB2312"/>
          <w:sz w:val="32"/>
          <w:szCs w:val="32"/>
        </w:rPr>
        <w:t>售累计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85926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；餐饮收入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31682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微软雅黑" w:eastAsia="黑体" w:cs="黑体"/>
          <w:color w:val="333333"/>
          <w:sz w:val="32"/>
          <w:szCs w:val="32"/>
          <w:shd w:val="clear" w:fill="FFFFFF"/>
          <w:lang w:eastAsia="zh-CN"/>
        </w:rPr>
        <w:t>货物运输较快增长，旅客运输下降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5月当月，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全县货物运输量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26.0</w:t>
      </w:r>
      <w:r>
        <w:rPr>
          <w:rFonts w:hint="eastAsia" w:ascii="仿宋_GB2312" w:hAnsi="仿宋_GB2312" w:eastAsia="仿宋_GB2312" w:cs="仿宋_GB2312"/>
          <w:sz w:val="32"/>
          <w:szCs w:val="32"/>
        </w:rPr>
        <w:t>%；货物周转量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623.82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万吨公里，同比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%。旅客运输量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14.3</w:t>
      </w:r>
      <w:r>
        <w:rPr>
          <w:rFonts w:hint="eastAsia" w:ascii="仿宋_GB2312" w:hAnsi="仿宋_GB2312" w:eastAsia="仿宋_GB2312" w:cs="仿宋_GB2312"/>
          <w:sz w:val="32"/>
          <w:szCs w:val="32"/>
        </w:rPr>
        <w:t>%；旅客周转量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1646.46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万人公里，同比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月，全县货物运输量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13.4</w:t>
      </w:r>
      <w:r>
        <w:rPr>
          <w:rFonts w:hint="eastAsia" w:ascii="仿宋_GB2312" w:hAnsi="仿宋_GB2312" w:eastAsia="仿宋_GB2312" w:cs="仿宋_GB2312"/>
          <w:sz w:val="32"/>
          <w:szCs w:val="32"/>
        </w:rPr>
        <w:t>%；货物周转量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2853.1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万吨公里，同比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%。旅客运输量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10.2</w:t>
      </w:r>
      <w:r>
        <w:rPr>
          <w:rFonts w:hint="eastAsia" w:ascii="仿宋_GB2312" w:hAnsi="仿宋_GB2312" w:eastAsia="仿宋_GB2312" w:cs="仿宋_GB2312"/>
          <w:sz w:val="32"/>
          <w:szCs w:val="32"/>
        </w:rPr>
        <w:t>%；旅客周转量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9210.16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万人公里，同比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金融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运行平稳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5月末，全县金融机构本外币各项存款余额100.74亿元，比去年同期增长13.6%，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其中住户存款余额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64.34亿元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非金融企业存款余额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11.69亿元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；广义政府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存款余额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24.67亿元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全县金融机构本外币各项贷款余额42.14亿元，比去年同期增长9.6%，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其中住户贷款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27.19亿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29.7</w:t>
      </w:r>
      <w:r>
        <w:rPr>
          <w:rFonts w:hint="eastAsia" w:ascii="仿宋_GB2312" w:hAnsi="仿宋_GB2312" w:eastAsia="仿宋_GB2312" w:cs="仿宋_GB2312"/>
          <w:sz w:val="32"/>
          <w:szCs w:val="32"/>
        </w:rPr>
        <w:t>%；非金融企业及机关团体贷款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14.96亿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/>
        <w:jc w:val="both"/>
        <w:textAlignment w:val="auto"/>
      </w:pPr>
      <w:r>
        <w:rPr>
          <w:rFonts w:hint="eastAsia" w:ascii="黑体" w:hAnsi="微软雅黑" w:eastAsia="黑体" w:cs="黑体"/>
          <w:color w:val="000000"/>
          <w:sz w:val="32"/>
          <w:szCs w:val="32"/>
          <w:shd w:val="clear" w:fill="FFFFFF"/>
        </w:rPr>
        <w:t>八、全社会用电量</w:t>
      </w:r>
      <w:r>
        <w:rPr>
          <w:rFonts w:hint="eastAsia" w:ascii="黑体" w:hAnsi="微软雅黑" w:eastAsia="黑体" w:cs="黑体"/>
          <w:color w:val="000000"/>
          <w:sz w:val="32"/>
          <w:szCs w:val="32"/>
          <w:shd w:val="clear" w:fill="FFFFFF"/>
          <w:lang w:eastAsia="zh-CN"/>
        </w:rPr>
        <w:t>当月下降，累计</w:t>
      </w:r>
      <w:r>
        <w:rPr>
          <w:rFonts w:hint="eastAsia" w:ascii="黑体" w:hAnsi="微软雅黑" w:eastAsia="黑体" w:cs="黑体"/>
          <w:color w:val="000000"/>
          <w:sz w:val="32"/>
          <w:szCs w:val="32"/>
          <w:shd w:val="clear" w:fill="FFFFFF"/>
        </w:rPr>
        <w:t>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/>
        <w:jc w:val="both"/>
        <w:textAlignment w:val="auto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5月当月，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全社会用电量为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3082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  <w:t>下降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2.3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%。全行业用电量为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2036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  <w:t>下降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11.9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%，其中第一产业用电量为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72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48.2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%；第二产业用电量为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953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  <w:t>下降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30.9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%；第三业用电量为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1010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14.5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%。城乡居民用电量为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1046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  <w:t>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23.7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/>
        <w:jc w:val="both"/>
        <w:textAlignment w:val="auto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1-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月，全社会用电量为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14191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10.8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%。全行业用电量为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9494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  <w:t>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12.8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%，其中第一产业用电量为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364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29.7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%；第二产业用电量为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4810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  <w:t>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7.4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%；第三业用电量为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4320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18.1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%。城乡居民用电量为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4697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7.0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/>
        <w:jc w:val="both"/>
        <w:textAlignment w:val="auto"/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/>
        <w:jc w:val="both"/>
        <w:textAlignment w:val="auto"/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 xml:space="preserve">                                        审稿：曾令军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/>
        <w:jc w:val="both"/>
        <w:textAlignment w:val="auto"/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 xml:space="preserve">                                        核稿：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  <w:lang w:eastAsia="zh-CN"/>
        </w:rPr>
        <w:t>王春梅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 xml:space="preserve">                                        撰稿：郑辉林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 Narrow">
    <w:altName w:val="Arial"/>
    <w:panose1 w:val="020B0506020202030204"/>
    <w:charset w:val="00"/>
    <w:family w:val="auto"/>
    <w:pitch w:val="default"/>
    <w:sig w:usb0="00000000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Aril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40ED"/>
    <w:multiLevelType w:val="singleLevel"/>
    <w:tmpl w:val="5D0740E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A434B"/>
    <w:rsid w:val="12082381"/>
    <w:rsid w:val="16FA434B"/>
    <w:rsid w:val="251855EF"/>
    <w:rsid w:val="2EE83474"/>
    <w:rsid w:val="36772D9E"/>
    <w:rsid w:val="3AE44172"/>
    <w:rsid w:val="3B282D9C"/>
    <w:rsid w:val="3CD518B6"/>
    <w:rsid w:val="3D5B262C"/>
    <w:rsid w:val="4EB40B8C"/>
    <w:rsid w:val="5D703DB2"/>
    <w:rsid w:val="647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2019-06-17T03:00:00Z</dcterms:created>
  <dc:creator>Administrator</dc:creator>
  <cp:lastModifiedBy>Administrator</cp:lastModifiedBy>
  <cp:lastPrinted>2019-06-24T00:43:51Z</cp:lastPrinted>
  <dcterms:modified xsi:type="dcterms:W3CDTF">2019-06-24T01:22:17Z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