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新宋体" w:hAnsi="新宋体" w:eastAsia="新宋体"/>
          <w:b/>
          <w:bCs/>
          <w:color w:val="FF0000"/>
          <w:sz w:val="136"/>
          <w:szCs w:val="136"/>
        </w:rPr>
      </w:pPr>
    </w:p>
    <w:p>
      <w:pPr>
        <w:pStyle w:val="7"/>
        <w:jc w:val="center"/>
        <w:rPr>
          <w:rFonts w:ascii="新宋体" w:hAnsi="新宋体" w:eastAsia="新宋体"/>
          <w:b/>
          <w:bCs/>
          <w:color w:val="FF0000"/>
          <w:sz w:val="136"/>
          <w:szCs w:val="136"/>
        </w:rPr>
      </w:pPr>
      <w:r>
        <w:rPr>
          <w:rFonts w:hint="eastAsia" w:ascii="新宋体" w:hAnsi="新宋体" w:eastAsia="新宋体"/>
          <w:b/>
          <w:bCs/>
          <w:color w:val="FF0000"/>
          <w:sz w:val="136"/>
          <w:szCs w:val="136"/>
        </w:rPr>
        <w:t>统 计 参 阅</w:t>
      </w:r>
    </w:p>
    <w:p>
      <w:pPr>
        <w:autoSpaceDN w:val="0"/>
        <w:spacing w:line="560" w:lineRule="exact"/>
        <w:rPr>
          <w:rFonts w:hint="eastAsia"/>
          <w:b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期</w:t>
      </w:r>
    </w:p>
    <w:p>
      <w:pPr>
        <w:autoSpaceDN w:val="0"/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屯昌县统计局编                      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b/>
          <w:sz w:val="32"/>
          <w:szCs w:val="32"/>
        </w:rPr>
        <w:t>日</w:t>
      </w:r>
    </w:p>
    <w:p>
      <w:pPr>
        <w:spacing w:line="600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fldChar w:fldCharType="begin"/>
      </w:r>
      <w:r>
        <w:instrText xml:space="preserve"> INCLUDEPICTURE "E:\\me\\2013\\Local Settings\\Temp\\ksohtml\\wps_clip_image-11571.png" \* MERGEFORMAT </w:instrText>
      </w:r>
      <w:r>
        <w:fldChar w:fldCharType="separate"/>
      </w:r>
      <w:r>
        <w:drawing>
          <wp:inline distT="0" distB="0" distL="114300" distR="114300">
            <wp:extent cx="5381625" cy="47625"/>
            <wp:effectExtent l="0" t="0" r="9525" b="9525"/>
            <wp:docPr id="2" name="图片 2" descr="wps_clip_image-1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_clip_image-115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2019年</w:t>
      </w:r>
      <w:r>
        <w:rPr>
          <w:rFonts w:hint="eastAsia" w:ascii="宋体" w:hAnsi="宋体" w:cs="宋体"/>
          <w:b/>
          <w:bCs/>
          <w:sz w:val="44"/>
          <w:szCs w:val="44"/>
        </w:rPr>
        <w:t>1-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月份屯昌县经济运行简况</w:t>
      </w:r>
    </w:p>
    <w:p>
      <w:pPr>
        <w:spacing w:line="600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月份，屯昌县经济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运行保持在良好区间。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当月小幅增长，累计大幅下滑；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销售大幅减少；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持续向好；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入稳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，支出小幅下降；社会消费平稳增长；货物运输持续增长，旅客运输下降；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运行良好；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全社会用电量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较快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一、固定资产投资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当月小幅增长，累计大幅下滑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4月当月，全县完成固定资产投资17644万元，同比增长0.6%。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其中，房地产开发完成投资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；非房地产完成投资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11766万元，同比增长31.9%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月，全县完成固定资产投资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63723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。其中，房地产开发完成投资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18.6个百分点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；非房地产完成投资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42355万元，同比下降22.1%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，在投资项目方面，全县新开工项目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个，比去年同期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个，新开工项目完成投资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万元。重点建设项目完成投资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万元，其中列入省级重点项目累计完成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月，在投资项目方面，全县新开工项目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个，比去年同期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个，新开工项目完成投资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24844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月底重点建设项目累计完成投资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万元，完成年度计划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%，其中列入省级重点项目累计完成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万元，完成年度计划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二、商品房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销售大幅减少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积0.76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21.6</w:t>
      </w:r>
      <w:r>
        <w:rPr>
          <w:rFonts w:hint="eastAsia" w:ascii="仿宋_GB2312" w:hAnsi="仿宋_GB2312" w:eastAsia="仿宋_GB2312" w:cs="仿宋_GB2312"/>
          <w:sz w:val="32"/>
          <w:szCs w:val="32"/>
        </w:rPr>
        <w:t>%；商品房销售额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月，商品房累计销售面积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23.8个百分点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；商品房累计销售额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39.2个百分点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三、工业生产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持续向好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规模以上工业完成总产值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同比增长19.2%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。按经济类型分，国有经济企业完成总产值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%；股份制企业完成总产值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%。从主要工业产品产量看，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供电量达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万千瓦小时，同比增长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14.8</w:t>
      </w:r>
      <w:r>
        <w:rPr>
          <w:rFonts w:hint="eastAsia" w:ascii="仿宋_GB2312" w:hAnsi="仿宋_GB2312" w:eastAsia="仿宋_GB2312" w:cs="仿宋_GB2312"/>
          <w:sz w:val="32"/>
          <w:szCs w:val="32"/>
        </w:rPr>
        <w:t>%；水泥产量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58728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，增速同比回升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18.5个百分点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；工业增加值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同比增长4.0%，增速同比回升24.0个百分点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，比全省低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。按经济类型分，国有经济企业完成总产值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%；股份制企业完成总产值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%。从主要工业产品产量看，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累计供电量达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万千瓦小时，同比增长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%；水泥累计产量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196983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入稳</w:t>
      </w:r>
      <w:r>
        <w:rPr>
          <w:rFonts w:hint="eastAsia" w:ascii="黑体" w:hAnsi="黑体" w:eastAsia="黑体" w:cs="黑体"/>
          <w:sz w:val="32"/>
          <w:szCs w:val="32"/>
        </w:rPr>
        <w:t>增长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，支出小幅下降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地方公共财政预算收入完成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20.1个百分点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。政府性基金收入完成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%。地方公共财政预算支出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21.3个百分点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92.5%。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月，地方公共财政预算收入累计完成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%，税收收入中，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个人所得税、土地增值税、车船税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，增速分别是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65.5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国内增值税、企业所得税、城市维护建设税、房产税、印花税、城镇土地使用税、契税下降幅度较大，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28.1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31.3%、45.1%、29.2%、54.8%、52.3%。</w:t>
      </w:r>
      <w:r>
        <w:rPr>
          <w:rFonts w:hint="eastAsia" w:ascii="仿宋_GB2312" w:hAnsi="仿宋_GB2312" w:eastAsia="仿宋_GB2312" w:cs="仿宋_GB2312"/>
          <w:sz w:val="32"/>
          <w:szCs w:val="32"/>
        </w:rPr>
        <w:t>非税收收入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政府性基金收入累计完成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月，地方公共财政预算支出累计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83985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。支出重点持续倾斜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一般公共服务、教育、社会保障和就业、医疗卫生、农林水事务等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14583万元，增长9.0%；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；医疗卫生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；农林水事务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57.0%。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</w:t>
      </w:r>
      <w:r>
        <w:rPr>
          <w:rFonts w:hint="eastAsia" w:ascii="黑体" w:hAnsi="黑体" w:eastAsia="黑体" w:cs="黑体"/>
          <w:sz w:val="32"/>
          <w:szCs w:val="32"/>
        </w:rPr>
        <w:t>消费平稳增长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全县社会消费品零售总额完成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5.5个百分点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其中，城镇市场完成零售额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%；乡村市场完成零售额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月，全县社会消费品零售总额完成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94372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。其中，城镇市场完成零售额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77157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%；乡村市场完成零售额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从消费形态</w:t>
      </w:r>
      <w:r>
        <w:rPr>
          <w:rFonts w:hint="eastAsia" w:ascii="仿宋_GB2312" w:hAnsi="仿宋_GB2312" w:eastAsia="仿宋_GB2312" w:cs="仿宋_GB2312"/>
          <w:sz w:val="32"/>
          <w:szCs w:val="32"/>
        </w:rPr>
        <w:t>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月，商品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</w:t>
      </w:r>
      <w:r>
        <w:rPr>
          <w:rFonts w:hint="eastAsia" w:ascii="仿宋_GB2312" w:hAnsi="仿宋_GB2312" w:eastAsia="仿宋_GB2312" w:cs="仿宋_GB2312"/>
          <w:sz w:val="32"/>
          <w:szCs w:val="32"/>
        </w:rPr>
        <w:t>售累计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；餐饮收入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微软雅黑" w:eastAsia="黑体" w:cs="黑体"/>
          <w:color w:val="333333"/>
          <w:sz w:val="32"/>
          <w:szCs w:val="32"/>
          <w:shd w:val="clear" w:fill="FFFFFF"/>
          <w:lang w:eastAsia="zh-CN"/>
        </w:rPr>
        <w:t>货物运输持续增长，旅客运输下降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4月当月，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全县货物运输量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</w:t>
      </w:r>
      <w:r>
        <w:rPr>
          <w:rFonts w:hint="eastAsia" w:ascii="仿宋_GB2312" w:hAnsi="仿宋_GB2312" w:eastAsia="仿宋_GB2312" w:cs="仿宋_GB2312"/>
          <w:sz w:val="32"/>
          <w:szCs w:val="32"/>
        </w:rPr>
        <w:t>%；货物周转量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567.97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58.5个百分点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。旅客运输量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sz w:val="32"/>
          <w:szCs w:val="32"/>
        </w:rPr>
        <w:t>%；旅客周转量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1722.85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9.6个百分点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月，全县货物运输量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%；货物周转量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2229.28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。旅客运输量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%；旅客周转量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7563.7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万人公里，同比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金融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运行良好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4月末，全县金融机构本外币各项存款余额104.02亿元，比去年同期增长18.0%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17.1个百分点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其中住户存款余额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65.02亿元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非金融企业存款余额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；广义政府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25.67亿元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全县金融机构本外币各项贷款余额41.42亿元，比去年同期增长9.5%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6.5个百分点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其中住户贷款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26.39亿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%；非金融企业及机关团体贷款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15.03亿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</w:pPr>
      <w:r>
        <w:rPr>
          <w:rFonts w:hint="eastAsia" w:ascii="黑体" w:hAnsi="微软雅黑" w:eastAsia="黑体" w:cs="黑体"/>
          <w:color w:val="000000"/>
          <w:sz w:val="32"/>
          <w:szCs w:val="32"/>
          <w:shd w:val="clear" w:fill="FFFFFF"/>
        </w:rPr>
        <w:t>八、全社会用电量</w:t>
      </w:r>
      <w:r>
        <w:rPr>
          <w:rFonts w:hint="eastAsia" w:ascii="黑体" w:hAnsi="微软雅黑" w:eastAsia="黑体" w:cs="黑体"/>
          <w:color w:val="000000"/>
          <w:sz w:val="32"/>
          <w:szCs w:val="32"/>
          <w:shd w:val="clear" w:fill="FFFFFF"/>
          <w:lang w:eastAsia="zh-CN"/>
        </w:rPr>
        <w:t>较快</w:t>
      </w:r>
      <w:r>
        <w:rPr>
          <w:rFonts w:hint="eastAsia" w:ascii="黑体" w:hAnsi="微软雅黑" w:eastAsia="黑体" w:cs="黑体"/>
          <w:color w:val="000000"/>
          <w:sz w:val="32"/>
          <w:szCs w:val="32"/>
          <w:shd w:val="clear" w:fill="FFFFFF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4月当月，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全社会用电量为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3335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35.3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17个百分点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。全行业用电量为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2422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44.7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%，其中第一产业用电量为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70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29.1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%；第二产业用电量为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1433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61.9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%；第三业用电量为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918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25.1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%。城乡居民用电量为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914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15.3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1-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月，全社会用电量为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11109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15.1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，增速比全省高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个百分点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。全行业用电量为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7458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22.2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%，其中第一产业用电量为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292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25.8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%；第二产业用电量为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3856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24.5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%；第三业用电量为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3310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19.3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%。城乡居民用电量为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3651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万度，同比增长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2.9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                                       审稿：曾令军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                                       核稿：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  <w:t>王春梅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 xml:space="preserve">                                        撰稿：郑辉林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ril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14DBE"/>
    <w:rsid w:val="0F286E8F"/>
    <w:rsid w:val="26E8523C"/>
    <w:rsid w:val="2DA11344"/>
    <w:rsid w:val="3376008B"/>
    <w:rsid w:val="4DA14DBE"/>
    <w:rsid w:val="52400C61"/>
    <w:rsid w:val="63B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2019-05-22T08:30:00Z</dcterms:created>
  <dc:creator>Administrator</dc:creator>
  <cp:lastModifiedBy>Administrator</cp:lastModifiedBy>
  <cp:lastPrinted>2019-05-23T02:35:10Z</cp:lastPrinted>
  <dcterms:modified xsi:type="dcterms:W3CDTF">2019-05-23T03:14:15Z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