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textAlignment w:val="baseline"/>
        <w:rPr>
          <w:rFonts w:ascii="微软雅黑" w:hAnsi="微软雅黑" w:eastAsia="微软雅黑" w:cs="微软雅黑"/>
          <w:i w:val="0"/>
          <w:caps w:val="0"/>
          <w:color w:val="000000"/>
          <w:spacing w:val="0"/>
          <w:sz w:val="21"/>
          <w:szCs w:val="21"/>
        </w:rPr>
      </w:pPr>
      <w:r>
        <w:rPr>
          <w:rFonts w:ascii="方正小标宋_GBK" w:hAnsi="方正小标宋_GBK" w:eastAsia="方正小标宋_GBK" w:cs="方正小标宋_GBK"/>
          <w:i w:val="0"/>
          <w:caps w:val="0"/>
          <w:color w:val="333333"/>
          <w:spacing w:val="0"/>
          <w:sz w:val="43"/>
          <w:szCs w:val="43"/>
          <w:shd w:val="clear" w:fill="FFFFFF"/>
          <w:vertAlign w:val="baseline"/>
        </w:rPr>
        <w:t>新兴镇人民政府</w:t>
      </w:r>
      <w:r>
        <w:rPr>
          <w:rFonts w:hint="eastAsia" w:ascii="方正小标宋_GBK" w:hAnsi="方正小标宋_GBK" w:eastAsia="方正小标宋_GBK" w:cs="方正小标宋_GBK"/>
          <w:i w:val="0"/>
          <w:caps w:val="0"/>
          <w:color w:val="333333"/>
          <w:spacing w:val="0"/>
          <w:sz w:val="43"/>
          <w:szCs w:val="43"/>
          <w:shd w:val="clear" w:fill="FFFFFF"/>
          <w:vertAlign w:val="baseline"/>
        </w:rPr>
        <w:t>202</w:t>
      </w:r>
      <w:r>
        <w:rPr>
          <w:rFonts w:hint="eastAsia" w:ascii="方正小标宋_GBK" w:hAnsi="方正小标宋_GBK" w:eastAsia="方正小标宋_GBK" w:cs="方正小标宋_GBK"/>
          <w:i w:val="0"/>
          <w:caps w:val="0"/>
          <w:color w:val="333333"/>
          <w:spacing w:val="0"/>
          <w:sz w:val="43"/>
          <w:szCs w:val="43"/>
          <w:shd w:val="clear" w:fill="FFFFFF"/>
          <w:vertAlign w:val="baseline"/>
          <w:lang w:val="en-US" w:eastAsia="zh-CN"/>
        </w:rPr>
        <w:t>5</w:t>
      </w:r>
      <w:r>
        <w:rPr>
          <w:rFonts w:hint="eastAsia" w:ascii="方正小标宋_GBK" w:hAnsi="方正小标宋_GBK" w:eastAsia="方正小标宋_GBK" w:cs="方正小标宋_GBK"/>
          <w:i w:val="0"/>
          <w:caps w:val="0"/>
          <w:color w:val="333333"/>
          <w:spacing w:val="0"/>
          <w:sz w:val="43"/>
          <w:szCs w:val="43"/>
          <w:shd w:val="clear" w:fill="FFFFFF"/>
          <w:vertAlign w:val="baseline"/>
        </w:rPr>
        <w:t>年政府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textAlignment w:val="baseline"/>
        <w:rPr>
          <w:rFonts w:hint="eastAsia" w:ascii="微软雅黑" w:hAnsi="微软雅黑" w:eastAsia="微软雅黑" w:cs="微软雅黑"/>
          <w:i w:val="0"/>
          <w:caps w:val="0"/>
          <w:color w:val="000000"/>
          <w:spacing w:val="0"/>
          <w:sz w:val="21"/>
          <w:szCs w:val="21"/>
        </w:rPr>
      </w:pPr>
      <w:r>
        <w:rPr>
          <w:rFonts w:hint="eastAsia" w:ascii="方正小标宋_GBK" w:hAnsi="方正小标宋_GBK" w:eastAsia="方正小标宋_GBK" w:cs="方正小标宋_GBK"/>
          <w:i w:val="0"/>
          <w:caps w:val="0"/>
          <w:color w:val="333333"/>
          <w:spacing w:val="0"/>
          <w:sz w:val="43"/>
          <w:szCs w:val="43"/>
          <w:shd w:val="clear" w:fill="FFFFFF"/>
          <w:vertAlign w:val="baseline"/>
        </w:rPr>
        <w:t>信息公开工作年度报告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textAlignment w:val="baseline"/>
        <w:rPr>
          <w:rFonts w:hint="eastAsia" w:ascii="微软雅黑" w:hAnsi="微软雅黑" w:eastAsia="微软雅黑" w:cs="微软雅黑"/>
          <w:i w:val="0"/>
          <w:caps w:val="0"/>
          <w:color w:val="000000"/>
          <w:spacing w:val="0"/>
          <w:sz w:val="21"/>
          <w:szCs w:val="21"/>
        </w:rPr>
      </w:pPr>
      <w:r>
        <w:rPr>
          <w:rFonts w:ascii="黑体" w:hAnsi="宋体" w:eastAsia="黑体" w:cs="黑体"/>
          <w:i w:val="0"/>
          <w:caps w:val="0"/>
          <w:color w:val="333333"/>
          <w:spacing w:val="0"/>
          <w:sz w:val="31"/>
          <w:szCs w:val="31"/>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textAlignment w:val="baseline"/>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333333"/>
          <w:spacing w:val="0"/>
          <w:sz w:val="31"/>
          <w:szCs w:val="31"/>
          <w:shd w:val="clear" w:fill="FFFFFF"/>
          <w:vertAlign w:val="baseline"/>
        </w:rPr>
        <w:t>一、总体情况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textAlignment w:val="baseline"/>
        <w:rPr>
          <w:rFonts w:hint="eastAsia" w:ascii="微软雅黑" w:hAnsi="微软雅黑" w:eastAsia="微软雅黑" w:cs="微软雅黑"/>
          <w:i w:val="0"/>
          <w:caps w:val="0"/>
          <w:color w:val="000000"/>
          <w:spacing w:val="0"/>
          <w:sz w:val="21"/>
          <w:szCs w:val="21"/>
        </w:rPr>
      </w:pPr>
      <w:r>
        <w:rPr>
          <w:rFonts w:hint="eastAsia" w:ascii="仿宋_GB2312" w:hAnsi="微软雅黑" w:eastAsia="仿宋_GB2312" w:cs="仿宋_GB2312"/>
          <w:i w:val="0"/>
          <w:caps w:val="0"/>
          <w:color w:val="000000"/>
          <w:spacing w:val="0"/>
          <w:sz w:val="31"/>
          <w:szCs w:val="31"/>
          <w:shd w:val="clear" w:fill="FFFFFF"/>
          <w:vertAlign w:val="baseline"/>
        </w:rPr>
        <w:t>2025年，</w:t>
      </w:r>
      <w:r>
        <w:rPr>
          <w:rFonts w:hint="eastAsia" w:ascii="仿宋_GB2312" w:hAnsi="微软雅黑" w:eastAsia="仿宋_GB2312" w:cs="仿宋_GB2312"/>
          <w:i w:val="0"/>
          <w:caps w:val="0"/>
          <w:color w:val="000000"/>
          <w:spacing w:val="0"/>
          <w:sz w:val="31"/>
          <w:szCs w:val="31"/>
          <w:shd w:val="clear" w:fill="FFFFFF"/>
          <w:vertAlign w:val="baseline"/>
          <w:lang w:eastAsia="zh-CN"/>
        </w:rPr>
        <w:t>新兴</w:t>
      </w:r>
      <w:r>
        <w:rPr>
          <w:rFonts w:hint="eastAsia" w:ascii="仿宋_GB2312" w:hAnsi="微软雅黑" w:eastAsia="仿宋_GB2312" w:cs="仿宋_GB2312"/>
          <w:i w:val="0"/>
          <w:caps w:val="0"/>
          <w:color w:val="000000"/>
          <w:spacing w:val="0"/>
          <w:sz w:val="31"/>
          <w:szCs w:val="31"/>
          <w:shd w:val="clear" w:fill="FFFFFF"/>
          <w:vertAlign w:val="baseline"/>
        </w:rPr>
        <w:t>镇坚守“以公开为常态、不公开为例外”原则，紧扣公民知情权、参与权、表达权和监督权保障目标，深入落实《中华人民共和国政府信息公开条例》，以规范化流程、多元化渠道、精准化内容推进信息公开工作，助力法治政府与服务型政府建设，切实提升政府工作透明度与治理效能。</w:t>
      </w:r>
      <w:bookmarkStart w:id="0" w:name="_GoBack"/>
      <w:bookmarkEnd w:id="0"/>
      <w:r>
        <w:rPr>
          <w:rFonts w:hint="eastAsia" w:ascii="黑体" w:hAnsi="宋体" w:eastAsia="黑体" w:cs="黑体"/>
          <w:i w:val="0"/>
          <w:caps w:val="0"/>
          <w:color w:val="000000"/>
          <w:spacing w:val="0"/>
          <w:sz w:val="31"/>
          <w:szCs w:val="31"/>
          <w:shd w:val="clear" w:fill="FFFFFF"/>
          <w:vertAlign w:val="baseline"/>
        </w:rPr>
        <w:t>二、主动公开情况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textAlignment w:val="baseline"/>
        <w:rPr>
          <w:rFonts w:hint="eastAsia" w:ascii="仿宋_GB2312" w:hAnsi="微软雅黑" w:eastAsia="仿宋_GB2312" w:cs="仿宋_GB2312"/>
          <w:i w:val="0"/>
          <w:caps w:val="0"/>
          <w:color w:val="000000"/>
          <w:spacing w:val="0"/>
          <w:sz w:val="31"/>
          <w:szCs w:val="31"/>
          <w:shd w:val="clear" w:fill="FFFFFF"/>
          <w:vertAlign w:val="baseline"/>
        </w:rPr>
      </w:pPr>
      <w:r>
        <w:rPr>
          <w:rFonts w:hint="eastAsia" w:ascii="仿宋_GB2312" w:hAnsi="微软雅黑" w:eastAsia="仿宋_GB2312" w:cs="仿宋_GB2312"/>
          <w:i w:val="0"/>
          <w:caps w:val="0"/>
          <w:color w:val="000000"/>
          <w:spacing w:val="0"/>
          <w:sz w:val="31"/>
          <w:szCs w:val="31"/>
          <w:shd w:val="clear" w:fill="FFFFFF"/>
          <w:vertAlign w:val="baseline"/>
        </w:rPr>
        <w:t>1. 公开内容：聚焦政策落实、政务运行、民生服务三大领域，公开上级政策落地细则、镇域规范性文件及政府工作报告、财政预决算、重大项目进展、政务服务清单等核心信息，覆盖农业补贴、乡村振兴、社会保障等群众关切事项，确保信息实用管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textAlignment w:val="baseline"/>
        <w:rPr>
          <w:rFonts w:hint="eastAsia" w:ascii="仿宋_GB2312" w:hAnsi="微软雅黑" w:eastAsia="仿宋_GB2312" w:cs="仿宋_GB2312"/>
          <w:i w:val="0"/>
          <w:caps w:val="0"/>
          <w:color w:val="000000"/>
          <w:spacing w:val="0"/>
          <w:sz w:val="31"/>
          <w:szCs w:val="31"/>
          <w:shd w:val="clear" w:fill="FFFFFF"/>
          <w:vertAlign w:val="baseline"/>
        </w:rPr>
      </w:pPr>
      <w:r>
        <w:rPr>
          <w:rFonts w:hint="eastAsia" w:ascii="仿宋_GB2312" w:hAnsi="微软雅黑" w:eastAsia="仿宋_GB2312" w:cs="仿宋_GB2312"/>
          <w:i w:val="0"/>
          <w:caps w:val="0"/>
          <w:color w:val="000000"/>
          <w:spacing w:val="0"/>
          <w:sz w:val="31"/>
          <w:szCs w:val="31"/>
          <w:shd w:val="clear" w:fill="FFFFFF"/>
          <w:vertAlign w:val="baseline"/>
        </w:rPr>
        <w:t>2. 公开</w:t>
      </w:r>
      <w:r>
        <w:rPr>
          <w:rFonts w:hint="eastAsia" w:ascii="仿宋_GB2312" w:hAnsi="微软雅黑" w:eastAsia="仿宋_GB2312" w:cs="仿宋_GB2312"/>
          <w:i w:val="0"/>
          <w:caps w:val="0"/>
          <w:color w:val="000000"/>
          <w:spacing w:val="0"/>
          <w:sz w:val="31"/>
          <w:szCs w:val="31"/>
          <w:shd w:val="clear" w:fill="FFFFFF"/>
          <w:vertAlign w:val="baseline"/>
          <w:lang w:val="en-US" w:eastAsia="zh-CN"/>
        </w:rPr>
        <w:t>渠道</w:t>
      </w:r>
      <w:r>
        <w:rPr>
          <w:rFonts w:hint="eastAsia" w:ascii="仿宋_GB2312" w:hAnsi="微软雅黑" w:eastAsia="仿宋_GB2312" w:cs="仿宋_GB2312"/>
          <w:i w:val="0"/>
          <w:caps w:val="0"/>
          <w:color w:val="000000"/>
          <w:spacing w:val="0"/>
          <w:sz w:val="31"/>
          <w:szCs w:val="31"/>
          <w:shd w:val="clear" w:fill="FFFFFF"/>
          <w:vertAlign w:val="baseline"/>
        </w:rPr>
        <w:t>：线上依托政府官方网站搭建信息公开专栏，按类别清晰呈现各类政务信息；充分运用微信公众号、微博等政务新媒体平台，以图文并茂、通俗易懂的形式定期推送重要政策、工作动态，增强信息传播的可读性与吸引力。线下通过镇政务服务大厅公示屏、各村（社区）公告栏等线下阵地，精准张贴政府工作报告、财政预决算、民生项目进展等核心信息，确保政务公开无死角、全覆盖。</w:t>
      </w:r>
    </w:p>
    <w:tbl>
      <w:tblPr>
        <w:tblStyle w:val="3"/>
        <w:tblW w:w="842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292"/>
        <w:gridCol w:w="2292"/>
        <w:gridCol w:w="2292"/>
        <w:gridCol w:w="15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45" w:hRule="atLeast"/>
          <w:jc w:val="center"/>
        </w:trPr>
        <w:tc>
          <w:tcPr>
            <w:tcW w:w="8426" w:type="dxa"/>
            <w:gridSpan w:val="4"/>
            <w:tcBorders>
              <w:top w:val="single" w:color="auto" w:sz="6" w:space="0"/>
              <w:left w:val="single" w:color="auto" w:sz="6" w:space="0"/>
              <w:bottom w:val="single" w:color="auto" w:sz="6" w:space="0"/>
              <w:right w:val="single" w:color="auto" w:sz="6" w:space="0"/>
            </w:tcBorders>
            <w:shd w:val="clear" w:color="auto" w:fill="C6D9F1"/>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jc w:val="center"/>
        </w:trPr>
        <w:tc>
          <w:tcPr>
            <w:tcW w:w="229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信息内容</w:t>
            </w:r>
          </w:p>
        </w:tc>
        <w:tc>
          <w:tcPr>
            <w:tcW w:w="2292" w:type="dxa"/>
            <w:tcBorders>
              <w:top w:val="single" w:color="auto" w:sz="6" w:space="0"/>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本年制发件数</w:t>
            </w:r>
          </w:p>
        </w:tc>
        <w:tc>
          <w:tcPr>
            <w:tcW w:w="2292" w:type="dxa"/>
            <w:tcBorders>
              <w:top w:val="single" w:color="auto" w:sz="6" w:space="0"/>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本年废止件数</w:t>
            </w:r>
          </w:p>
        </w:tc>
        <w:tc>
          <w:tcPr>
            <w:tcW w:w="1550" w:type="dxa"/>
            <w:tcBorders>
              <w:top w:val="single" w:color="auto" w:sz="6" w:space="0"/>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jc w:val="center"/>
        </w:trPr>
        <w:tc>
          <w:tcPr>
            <w:tcW w:w="229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规章</w:t>
            </w:r>
          </w:p>
        </w:tc>
        <w:tc>
          <w:tcPr>
            <w:tcW w:w="2292"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2292"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1550"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jc w:val="center"/>
        </w:trPr>
        <w:tc>
          <w:tcPr>
            <w:tcW w:w="229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行政规范性文件</w:t>
            </w:r>
          </w:p>
        </w:tc>
        <w:tc>
          <w:tcPr>
            <w:tcW w:w="2292"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2292"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1550"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jc w:val="center"/>
        </w:trPr>
        <w:tc>
          <w:tcPr>
            <w:tcW w:w="8426" w:type="dxa"/>
            <w:gridSpan w:val="4"/>
            <w:tcBorders>
              <w:top w:val="nil"/>
              <w:left w:val="single" w:color="auto" w:sz="6" w:space="0"/>
              <w:bottom w:val="single" w:color="auto" w:sz="6" w:space="0"/>
              <w:right w:val="single" w:color="auto" w:sz="6" w:space="0"/>
            </w:tcBorders>
            <w:shd w:val="clear" w:color="auto" w:fill="C6D9F1"/>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jc w:val="center"/>
        </w:trPr>
        <w:tc>
          <w:tcPr>
            <w:tcW w:w="229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信息内容</w:t>
            </w:r>
          </w:p>
        </w:tc>
        <w:tc>
          <w:tcPr>
            <w:tcW w:w="6134" w:type="dxa"/>
            <w:gridSpan w:val="3"/>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jc w:val="center"/>
        </w:trPr>
        <w:tc>
          <w:tcPr>
            <w:tcW w:w="229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行政许可</w:t>
            </w:r>
          </w:p>
        </w:tc>
        <w:tc>
          <w:tcPr>
            <w:tcW w:w="6134" w:type="dxa"/>
            <w:gridSpan w:val="3"/>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default" w:ascii="微软雅黑" w:hAnsi="微软雅黑" w:eastAsia="微软雅黑" w:cs="微软雅黑"/>
                <w:lang w:val="en-US" w:eastAsia="zh-CN"/>
              </w:rPr>
            </w:pPr>
            <w:r>
              <w:rPr>
                <w:rFonts w:hint="eastAsia" w:ascii="仿宋_GB2312" w:hAnsi="微软雅黑" w:eastAsia="仿宋_GB2312" w:cs="仿宋_GB2312"/>
                <w:spacing w:val="0"/>
                <w:sz w:val="19"/>
                <w:szCs w:val="19"/>
                <w:highlight w:val="none"/>
                <w:vertAlign w:val="baseline"/>
                <w:lang w:val="en-US" w:eastAsia="zh-CN"/>
              </w:rPr>
              <w:t>1024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jc w:val="center"/>
        </w:trPr>
        <w:tc>
          <w:tcPr>
            <w:tcW w:w="8426" w:type="dxa"/>
            <w:gridSpan w:val="4"/>
            <w:tcBorders>
              <w:top w:val="nil"/>
              <w:left w:val="single" w:color="auto" w:sz="6" w:space="0"/>
              <w:bottom w:val="single" w:color="auto" w:sz="6" w:space="0"/>
              <w:right w:val="single" w:color="auto" w:sz="6" w:space="0"/>
            </w:tcBorders>
            <w:shd w:val="clear" w:color="auto" w:fill="C6D9F1"/>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jc w:val="center"/>
        </w:trPr>
        <w:tc>
          <w:tcPr>
            <w:tcW w:w="229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信息内容</w:t>
            </w:r>
          </w:p>
        </w:tc>
        <w:tc>
          <w:tcPr>
            <w:tcW w:w="6134" w:type="dxa"/>
            <w:gridSpan w:val="3"/>
            <w:tcBorders>
              <w:top w:val="single" w:color="auto" w:sz="6" w:space="0"/>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7" w:hRule="atLeast"/>
          <w:jc w:val="center"/>
        </w:trPr>
        <w:tc>
          <w:tcPr>
            <w:tcW w:w="229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行政处罚</w:t>
            </w:r>
          </w:p>
        </w:tc>
        <w:tc>
          <w:tcPr>
            <w:tcW w:w="6134" w:type="dxa"/>
            <w:gridSpan w:val="3"/>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lang w:eastAsia="zh-CN"/>
              </w:rPr>
            </w:pPr>
            <w:r>
              <w:rPr>
                <w:rFonts w:hint="eastAsia" w:ascii="仿宋_GB2312" w:hAnsi="微软雅黑" w:eastAsia="仿宋_GB2312" w:cs="仿宋_GB2312"/>
                <w:spacing w:val="0"/>
                <w:sz w:val="19"/>
                <w:szCs w:val="19"/>
                <w:highlight w:val="none"/>
                <w:vertAlign w:val="baseline"/>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jc w:val="center"/>
        </w:trPr>
        <w:tc>
          <w:tcPr>
            <w:tcW w:w="229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行政强制</w:t>
            </w:r>
          </w:p>
        </w:tc>
        <w:tc>
          <w:tcPr>
            <w:tcW w:w="6134" w:type="dxa"/>
            <w:gridSpan w:val="3"/>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jc w:val="center"/>
        </w:trPr>
        <w:tc>
          <w:tcPr>
            <w:tcW w:w="8426" w:type="dxa"/>
            <w:gridSpan w:val="4"/>
            <w:tcBorders>
              <w:top w:val="nil"/>
              <w:left w:val="single" w:color="auto" w:sz="6" w:space="0"/>
              <w:bottom w:val="single" w:color="auto" w:sz="6" w:space="0"/>
              <w:right w:val="single" w:color="auto" w:sz="6" w:space="0"/>
            </w:tcBorders>
            <w:shd w:val="clear" w:color="auto" w:fill="C6D9F1"/>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jc w:val="center"/>
        </w:trPr>
        <w:tc>
          <w:tcPr>
            <w:tcW w:w="229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信息内容</w:t>
            </w:r>
          </w:p>
        </w:tc>
        <w:tc>
          <w:tcPr>
            <w:tcW w:w="6134" w:type="dxa"/>
            <w:gridSpan w:val="3"/>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jc w:val="center"/>
        </w:trPr>
        <w:tc>
          <w:tcPr>
            <w:tcW w:w="2292"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行政事业性收费</w:t>
            </w:r>
          </w:p>
        </w:tc>
        <w:tc>
          <w:tcPr>
            <w:tcW w:w="6134" w:type="dxa"/>
            <w:gridSpan w:val="3"/>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24"/>
                <w:szCs w:val="24"/>
                <w:vertAlign w:val="baseline"/>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15"/>
        <w:jc w:val="both"/>
        <w:textAlignment w:val="baseline"/>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333333"/>
          <w:spacing w:val="0"/>
          <w:sz w:val="31"/>
          <w:szCs w:val="31"/>
          <w:shd w:val="clear" w:fill="FFFFFF"/>
          <w:vertAlign w:val="baseline"/>
        </w:rPr>
        <w:t>三、收到和处理政府信息公开申请情况</w:t>
      </w:r>
      <w:r>
        <w:rPr>
          <w:rFonts w:hint="eastAsia" w:ascii="微软雅黑" w:hAnsi="微软雅黑" w:eastAsia="微软雅黑" w:cs="微软雅黑"/>
          <w:i w:val="0"/>
          <w:caps w:val="0"/>
          <w:color w:val="000000"/>
          <w:spacing w:val="0"/>
          <w:sz w:val="21"/>
          <w:szCs w:val="21"/>
          <w:shd w:val="clear" w:fill="FFFFFF"/>
          <w:vertAlign w:val="baseline"/>
        </w:rPr>
        <w:t> </w:t>
      </w:r>
    </w:p>
    <w:tbl>
      <w:tblPr>
        <w:tblStyle w:val="3"/>
        <w:tblW w:w="8471" w:type="dxa"/>
        <w:jc w:val="center"/>
        <w:tblInd w:w="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4"/>
        <w:gridCol w:w="896"/>
        <w:gridCol w:w="2713"/>
        <w:gridCol w:w="619"/>
        <w:gridCol w:w="619"/>
        <w:gridCol w:w="619"/>
        <w:gridCol w:w="619"/>
        <w:gridCol w:w="619"/>
        <w:gridCol w:w="619"/>
        <w:gridCol w:w="4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jc w:val="center"/>
        </w:trPr>
        <w:tc>
          <w:tcPr>
            <w:tcW w:w="4323" w:type="dxa"/>
            <w:gridSpan w:val="3"/>
            <w:vMerge w:val="restart"/>
            <w:tcBorders>
              <w:top w:val="single" w:color="auto" w:sz="6" w:space="0"/>
              <w:left w:val="single" w:color="auto" w:sz="6" w:space="0"/>
              <w:bottom w:val="outset"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（本列数据的勾稽关系为：第一项加第二项之和，等于第三项加第四项之和）</w:t>
            </w:r>
          </w:p>
        </w:tc>
        <w:tc>
          <w:tcPr>
            <w:tcW w:w="4148" w:type="dxa"/>
            <w:gridSpan w:val="7"/>
            <w:tcBorders>
              <w:top w:val="single" w:color="auto" w:sz="6" w:space="0"/>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4323" w:type="dxa"/>
            <w:gridSpan w:val="3"/>
            <w:vMerge w:val="continue"/>
            <w:tcBorders>
              <w:top w:val="single" w:color="auto" w:sz="6" w:space="0"/>
              <w:left w:val="single" w:color="auto" w:sz="6" w:space="0"/>
              <w:bottom w:val="outset" w:color="auto" w:sz="6" w:space="0"/>
              <w:right w:val="single" w:color="auto" w:sz="6" w:space="0"/>
            </w:tcBorders>
            <w:shd w:val="clear" w:color="auto" w:fill="auto"/>
            <w:tcMar>
              <w:left w:w="105" w:type="dxa"/>
              <w:right w:w="105" w:type="dxa"/>
            </w:tcMar>
            <w:vAlign w:val="top"/>
          </w:tcPr>
          <w:p>
            <w:pPr>
              <w:rPr>
                <w:rFonts w:hint="eastAsia" w:ascii="微软雅黑" w:hAnsi="微软雅黑" w:eastAsia="微软雅黑" w:cs="微软雅黑"/>
                <w:sz w:val="24"/>
                <w:szCs w:val="24"/>
                <w:vertAlign w:val="baseline"/>
              </w:rPr>
            </w:pPr>
          </w:p>
        </w:tc>
        <w:tc>
          <w:tcPr>
            <w:tcW w:w="619" w:type="dxa"/>
            <w:vMerge w:val="restart"/>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自然人</w:t>
            </w:r>
          </w:p>
        </w:tc>
        <w:tc>
          <w:tcPr>
            <w:tcW w:w="3095" w:type="dxa"/>
            <w:gridSpan w:val="5"/>
            <w:tcBorders>
              <w:top w:val="single" w:color="auto" w:sz="6" w:space="0"/>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法人或其他组织</w:t>
            </w:r>
          </w:p>
        </w:tc>
        <w:tc>
          <w:tcPr>
            <w:tcW w:w="434" w:type="dxa"/>
            <w:vMerge w:val="restart"/>
            <w:tcBorders>
              <w:top w:val="single" w:color="auto" w:sz="6" w:space="0"/>
              <w:left w:val="nil"/>
              <w:bottom w:val="outset"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4323" w:type="dxa"/>
            <w:gridSpan w:val="3"/>
            <w:vMerge w:val="continue"/>
            <w:tcBorders>
              <w:top w:val="single" w:color="auto" w:sz="6" w:space="0"/>
              <w:left w:val="single" w:color="auto" w:sz="6" w:space="0"/>
              <w:bottom w:val="outset" w:color="auto" w:sz="6" w:space="0"/>
              <w:right w:val="single" w:color="auto" w:sz="6" w:space="0"/>
            </w:tcBorders>
            <w:shd w:val="clear" w:color="auto" w:fill="auto"/>
            <w:tcMar>
              <w:left w:w="105" w:type="dxa"/>
              <w:right w:w="105" w:type="dxa"/>
            </w:tcMar>
            <w:vAlign w:val="top"/>
          </w:tcPr>
          <w:p>
            <w:pPr>
              <w:rPr>
                <w:rFonts w:hint="eastAsia" w:ascii="微软雅黑" w:hAnsi="微软雅黑" w:eastAsia="微软雅黑" w:cs="微软雅黑"/>
                <w:sz w:val="24"/>
                <w:szCs w:val="24"/>
                <w:vertAlign w:val="baseline"/>
              </w:rPr>
            </w:pPr>
          </w:p>
        </w:tc>
        <w:tc>
          <w:tcPr>
            <w:tcW w:w="619" w:type="dxa"/>
            <w:vMerge w:val="continue"/>
            <w:tcBorders>
              <w:top w:val="nil"/>
              <w:left w:val="nil"/>
              <w:bottom w:val="single"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商业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企业</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科研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机构</w:t>
            </w:r>
          </w:p>
        </w:tc>
        <w:tc>
          <w:tcPr>
            <w:tcW w:w="619" w:type="dxa"/>
            <w:tcBorders>
              <w:top w:val="single" w:color="auto" w:sz="6" w:space="0"/>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社会公益组织</w:t>
            </w:r>
          </w:p>
        </w:tc>
        <w:tc>
          <w:tcPr>
            <w:tcW w:w="619" w:type="dxa"/>
            <w:tcBorders>
              <w:top w:val="single" w:color="auto" w:sz="6" w:space="0"/>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法律服务机构</w:t>
            </w:r>
          </w:p>
        </w:tc>
        <w:tc>
          <w:tcPr>
            <w:tcW w:w="619" w:type="dxa"/>
            <w:tcBorders>
              <w:top w:val="single" w:color="auto" w:sz="6" w:space="0"/>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其他</w:t>
            </w:r>
          </w:p>
        </w:tc>
        <w:tc>
          <w:tcPr>
            <w:tcW w:w="434" w:type="dxa"/>
            <w:vMerge w:val="continue"/>
            <w:tcBorders>
              <w:top w:val="single" w:color="auto" w:sz="6" w:space="0"/>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4323"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一、本年新收政府信息公开申请数量</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 0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 0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 0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 0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0 </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 0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4323"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二、上年结转政府信息公开申请数量</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restart"/>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三、本年度办理结果</w:t>
            </w:r>
          </w:p>
        </w:tc>
        <w:tc>
          <w:tcPr>
            <w:tcW w:w="3609" w:type="dxa"/>
            <w:gridSpan w:val="2"/>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（一）予以公开</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single" w:color="auto" w:sz="6" w:space="0"/>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3609" w:type="dxa"/>
            <w:gridSpan w:val="2"/>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（二）部分公开（区分处理的，只计这一情形，不计其他情形）</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restart"/>
            <w:tcBorders>
              <w:top w:val="nil"/>
              <w:left w:val="nil"/>
              <w:bottom w:val="outset"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（三）不予公开</w:t>
            </w: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1.属于国家秘密</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single" w:color="auto" w:sz="6" w:space="0"/>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2.其他法律行政法规禁止公开</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3.危及“三安全一稳定”</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4.保护第三方合法权益</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5.属于三类内部事务信息</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6.属于四类过程性信息</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7.属于行政执法案卷</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8.属于行政查询事项</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restart"/>
            <w:tcBorders>
              <w:top w:val="nil"/>
              <w:left w:val="nil"/>
              <w:bottom w:val="outset"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（四）无法提供</w:t>
            </w: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1.本机关不掌握相关政府信息</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2.没有现成信息需要另行制作</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3.补正后申请内容仍不明确</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restart"/>
            <w:tcBorders>
              <w:top w:val="nil"/>
              <w:left w:val="nil"/>
              <w:bottom w:val="outset"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（五）不予处理</w:t>
            </w: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1.信访举报投诉类申请</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2.重复申请</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3.要求提供公开出版物</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4.无正当理由大量反复申请</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80" w:hRule="atLeast"/>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outset"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5.要求行政机关确认或重新出具已获取信息</w:t>
            </w:r>
          </w:p>
        </w:tc>
        <w:tc>
          <w:tcPr>
            <w:tcW w:w="619" w:type="dxa"/>
            <w:tcBorders>
              <w:top w:val="nil"/>
              <w:left w:val="nil"/>
              <w:bottom w:val="outset"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outset"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outset"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outset"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outset"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outset"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outset"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restart"/>
            <w:tcBorders>
              <w:top w:val="nil"/>
              <w:left w:val="nil"/>
              <w:bottom w:val="outset"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（六）其他处理</w:t>
            </w: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1.申请人无正当理由逾期不补正、行政机关不再处理其政府信息公开申请</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2.申请人逾期未按收费通知要求缴纳费用、行政机关不再处理其政府信息公开申请</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896" w:type="dxa"/>
            <w:vMerge w:val="continue"/>
            <w:tcBorders>
              <w:top w:val="nil"/>
              <w:left w:val="nil"/>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2713"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3.其他</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14" w:type="dxa"/>
            <w:vMerge w:val="continue"/>
            <w:tcBorders>
              <w:top w:val="nil"/>
              <w:left w:val="single" w:color="auto" w:sz="6" w:space="0"/>
              <w:bottom w:val="outset" w:color="auto" w:sz="6" w:space="0"/>
              <w:right w:val="single" w:color="auto" w:sz="6" w:space="0"/>
            </w:tcBorders>
            <w:shd w:val="clear" w:color="auto" w:fill="auto"/>
            <w:tcMar>
              <w:left w:w="60" w:type="dxa"/>
              <w:right w:w="60" w:type="dxa"/>
            </w:tcMar>
            <w:vAlign w:val="top"/>
          </w:tcPr>
          <w:p>
            <w:pPr>
              <w:rPr>
                <w:rFonts w:hint="eastAsia" w:ascii="微软雅黑" w:hAnsi="微软雅黑" w:eastAsia="微软雅黑" w:cs="微软雅黑"/>
                <w:sz w:val="24"/>
                <w:szCs w:val="24"/>
                <w:vertAlign w:val="baseline"/>
              </w:rPr>
            </w:pPr>
          </w:p>
        </w:tc>
        <w:tc>
          <w:tcPr>
            <w:tcW w:w="3609" w:type="dxa"/>
            <w:gridSpan w:val="2"/>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（七）总计</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 0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4323"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四、结转下年度继续办理</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0 </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 0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619"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34" w:type="dxa"/>
            <w:tcBorders>
              <w:top w:val="nil"/>
              <w:left w:val="nil"/>
              <w:bottom w:val="single" w:color="auto" w:sz="6" w:space="0"/>
              <w:right w:val="single" w:color="auto" w:sz="6" w:space="0"/>
            </w:tcBorders>
            <w:shd w:val="clear" w:color="auto" w:fill="auto"/>
            <w:tcMar>
              <w:left w:w="6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textAlignment w:val="baseline"/>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333333"/>
          <w:spacing w:val="0"/>
          <w:sz w:val="31"/>
          <w:szCs w:val="31"/>
          <w:shd w:val="clear" w:fill="FFFFFF"/>
          <w:vertAlign w:val="baseline"/>
        </w:rPr>
        <w:t>四、政府信息公开行政复议、行政诉讼情况</w:t>
      </w:r>
    </w:p>
    <w:tbl>
      <w:tblPr>
        <w:tblStyle w:val="3"/>
        <w:tblW w:w="851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74"/>
        <w:gridCol w:w="574"/>
        <w:gridCol w:w="574"/>
        <w:gridCol w:w="574"/>
        <w:gridCol w:w="585"/>
        <w:gridCol w:w="574"/>
        <w:gridCol w:w="574"/>
        <w:gridCol w:w="574"/>
        <w:gridCol w:w="574"/>
        <w:gridCol w:w="596"/>
        <w:gridCol w:w="574"/>
        <w:gridCol w:w="574"/>
        <w:gridCol w:w="574"/>
        <w:gridCol w:w="575"/>
        <w:gridCol w:w="4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jc w:val="center"/>
        </w:trPr>
        <w:tc>
          <w:tcPr>
            <w:tcW w:w="2881"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行政复议</w:t>
            </w:r>
          </w:p>
        </w:tc>
        <w:tc>
          <w:tcPr>
            <w:tcW w:w="5635"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574"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结果维持</w:t>
            </w:r>
          </w:p>
        </w:tc>
        <w:tc>
          <w:tcPr>
            <w:tcW w:w="574" w:type="dxa"/>
            <w:vMerge w:val="restart"/>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结果</w:t>
            </w:r>
            <w:r>
              <w:rPr>
                <w:rFonts w:hint="eastAsia" w:ascii="仿宋_GB2312" w:hAnsi="微软雅黑" w:eastAsia="仿宋_GB2312" w:cs="仿宋_GB2312"/>
                <w:spacing w:val="0"/>
                <w:sz w:val="19"/>
                <w:szCs w:val="19"/>
                <w:vertAlign w:val="baseline"/>
              </w:rPr>
              <w:br w:type="textWrapping"/>
            </w:r>
            <w:r>
              <w:rPr>
                <w:rFonts w:hint="eastAsia" w:ascii="仿宋_GB2312" w:hAnsi="微软雅黑" w:eastAsia="仿宋_GB2312" w:cs="仿宋_GB2312"/>
                <w:spacing w:val="0"/>
                <w:sz w:val="19"/>
                <w:szCs w:val="19"/>
                <w:vertAlign w:val="baseline"/>
              </w:rPr>
              <w:t>纠正</w:t>
            </w:r>
          </w:p>
        </w:tc>
        <w:tc>
          <w:tcPr>
            <w:tcW w:w="574"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其他</w:t>
            </w:r>
            <w:r>
              <w:rPr>
                <w:rFonts w:hint="eastAsia" w:ascii="仿宋_GB2312" w:hAnsi="微软雅黑" w:eastAsia="仿宋_GB2312" w:cs="仿宋_GB2312"/>
                <w:spacing w:val="0"/>
                <w:sz w:val="19"/>
                <w:szCs w:val="19"/>
                <w:vertAlign w:val="baseline"/>
              </w:rPr>
              <w:br w:type="textWrapping"/>
            </w:r>
            <w:r>
              <w:rPr>
                <w:rFonts w:hint="eastAsia" w:ascii="仿宋_GB2312" w:hAnsi="微软雅黑" w:eastAsia="仿宋_GB2312" w:cs="仿宋_GB2312"/>
                <w:spacing w:val="0"/>
                <w:sz w:val="19"/>
                <w:szCs w:val="19"/>
                <w:vertAlign w:val="baseline"/>
              </w:rPr>
              <w:t>结果</w:t>
            </w:r>
          </w:p>
        </w:tc>
        <w:tc>
          <w:tcPr>
            <w:tcW w:w="574"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尚未</w:t>
            </w:r>
            <w:r>
              <w:rPr>
                <w:rFonts w:hint="eastAsia" w:ascii="仿宋_GB2312" w:hAnsi="微软雅黑" w:eastAsia="仿宋_GB2312" w:cs="仿宋_GB2312"/>
                <w:spacing w:val="0"/>
                <w:sz w:val="19"/>
                <w:szCs w:val="19"/>
                <w:vertAlign w:val="baseline"/>
              </w:rPr>
              <w:br w:type="textWrapping"/>
            </w:r>
            <w:r>
              <w:rPr>
                <w:rFonts w:hint="eastAsia" w:ascii="仿宋_GB2312" w:hAnsi="微软雅黑" w:eastAsia="仿宋_GB2312" w:cs="仿宋_GB2312"/>
                <w:spacing w:val="0"/>
                <w:sz w:val="19"/>
                <w:szCs w:val="19"/>
                <w:vertAlign w:val="baseline"/>
              </w:rPr>
              <w:t>审结</w:t>
            </w:r>
          </w:p>
        </w:tc>
        <w:tc>
          <w:tcPr>
            <w:tcW w:w="585"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总计</w:t>
            </w:r>
          </w:p>
        </w:tc>
        <w:tc>
          <w:tcPr>
            <w:tcW w:w="2892"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未经复议直接起诉</w:t>
            </w:r>
          </w:p>
        </w:tc>
        <w:tc>
          <w:tcPr>
            <w:tcW w:w="2743"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574"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top"/>
          </w:tcPr>
          <w:p>
            <w:pPr>
              <w:rPr>
                <w:rFonts w:hint="eastAsia" w:ascii="微软雅黑" w:hAnsi="微软雅黑" w:eastAsia="微软雅黑" w:cs="微软雅黑"/>
                <w:sz w:val="24"/>
                <w:szCs w:val="24"/>
                <w:vertAlign w:val="baseline"/>
              </w:rPr>
            </w:pPr>
          </w:p>
        </w:tc>
        <w:tc>
          <w:tcPr>
            <w:tcW w:w="574" w:type="dxa"/>
            <w:vMerge w:val="continue"/>
            <w:tcBorders>
              <w:top w:val="nil"/>
              <w:left w:val="nil"/>
              <w:bottom w:val="single" w:color="auto" w:sz="6" w:space="0"/>
              <w:right w:val="single" w:color="auto" w:sz="6" w:space="0"/>
            </w:tcBorders>
            <w:shd w:val="clear" w:color="auto" w:fill="auto"/>
            <w:tcMar>
              <w:left w:w="105" w:type="dxa"/>
              <w:right w:w="105" w:type="dxa"/>
            </w:tcMar>
            <w:vAlign w:val="top"/>
          </w:tcPr>
          <w:p>
            <w:pPr>
              <w:rPr>
                <w:rFonts w:hint="eastAsia" w:ascii="微软雅黑" w:hAnsi="微软雅黑" w:eastAsia="微软雅黑" w:cs="微软雅黑"/>
                <w:sz w:val="24"/>
                <w:szCs w:val="24"/>
                <w:vertAlign w:val="baseline"/>
              </w:rPr>
            </w:pPr>
          </w:p>
        </w:tc>
        <w:tc>
          <w:tcPr>
            <w:tcW w:w="574"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rPr>
                <w:rFonts w:hint="eastAsia" w:ascii="微软雅黑" w:hAnsi="微软雅黑" w:eastAsia="微软雅黑" w:cs="微软雅黑"/>
                <w:sz w:val="24"/>
                <w:szCs w:val="24"/>
                <w:vertAlign w:val="baseline"/>
              </w:rPr>
            </w:pPr>
          </w:p>
        </w:tc>
        <w:tc>
          <w:tcPr>
            <w:tcW w:w="574"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rPr>
                <w:rFonts w:hint="eastAsia" w:ascii="微软雅黑" w:hAnsi="微软雅黑" w:eastAsia="微软雅黑" w:cs="微软雅黑"/>
                <w:sz w:val="24"/>
                <w:szCs w:val="24"/>
                <w:vertAlign w:val="baseline"/>
              </w:rPr>
            </w:pPr>
          </w:p>
        </w:tc>
        <w:tc>
          <w:tcPr>
            <w:tcW w:w="585"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rPr>
                <w:rFonts w:hint="eastAsia" w:ascii="微软雅黑" w:hAnsi="微软雅黑" w:eastAsia="微软雅黑" w:cs="微软雅黑"/>
                <w:sz w:val="24"/>
                <w:szCs w:val="24"/>
                <w:vertAlign w:val="baseline"/>
              </w:rPr>
            </w:pPr>
          </w:p>
        </w:tc>
        <w:tc>
          <w:tcPr>
            <w:tcW w:w="574"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结果</w:t>
            </w:r>
            <w:r>
              <w:rPr>
                <w:rFonts w:hint="eastAsia" w:ascii="仿宋_GB2312" w:hAnsi="微软雅黑" w:eastAsia="仿宋_GB2312" w:cs="仿宋_GB2312"/>
                <w:spacing w:val="0"/>
                <w:sz w:val="19"/>
                <w:szCs w:val="19"/>
                <w:vertAlign w:val="baseline"/>
              </w:rPr>
              <w:br w:type="textWrapping"/>
            </w:r>
            <w:r>
              <w:rPr>
                <w:rFonts w:hint="eastAsia" w:ascii="仿宋_GB2312" w:hAnsi="微软雅黑" w:eastAsia="仿宋_GB2312" w:cs="仿宋_GB2312"/>
                <w:spacing w:val="0"/>
                <w:sz w:val="19"/>
                <w:szCs w:val="19"/>
                <w:vertAlign w:val="baseline"/>
              </w:rPr>
              <w:t>维持</w:t>
            </w:r>
          </w:p>
        </w:tc>
        <w:tc>
          <w:tcPr>
            <w:tcW w:w="574"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结果</w:t>
            </w:r>
            <w:r>
              <w:rPr>
                <w:rFonts w:hint="eastAsia" w:ascii="仿宋_GB2312" w:hAnsi="微软雅黑" w:eastAsia="仿宋_GB2312" w:cs="仿宋_GB2312"/>
                <w:spacing w:val="0"/>
                <w:sz w:val="19"/>
                <w:szCs w:val="19"/>
                <w:vertAlign w:val="baseline"/>
              </w:rPr>
              <w:br w:type="textWrapping"/>
            </w:r>
            <w:r>
              <w:rPr>
                <w:rFonts w:hint="eastAsia" w:ascii="仿宋_GB2312" w:hAnsi="微软雅黑" w:eastAsia="仿宋_GB2312" w:cs="仿宋_GB2312"/>
                <w:spacing w:val="0"/>
                <w:sz w:val="19"/>
                <w:szCs w:val="19"/>
                <w:vertAlign w:val="baseline"/>
              </w:rPr>
              <w:t>纠正</w:t>
            </w:r>
          </w:p>
        </w:tc>
        <w:tc>
          <w:tcPr>
            <w:tcW w:w="574" w:type="dxa"/>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其他</w:t>
            </w:r>
            <w:r>
              <w:rPr>
                <w:rFonts w:hint="eastAsia" w:ascii="仿宋_GB2312" w:hAnsi="微软雅黑" w:eastAsia="仿宋_GB2312" w:cs="仿宋_GB2312"/>
                <w:spacing w:val="0"/>
                <w:sz w:val="19"/>
                <w:szCs w:val="19"/>
                <w:vertAlign w:val="baseline"/>
              </w:rPr>
              <w:br w:type="textWrapping"/>
            </w:r>
            <w:r>
              <w:rPr>
                <w:rFonts w:hint="eastAsia" w:ascii="仿宋_GB2312" w:hAnsi="微软雅黑" w:eastAsia="仿宋_GB2312" w:cs="仿宋_GB2312"/>
                <w:spacing w:val="0"/>
                <w:sz w:val="19"/>
                <w:szCs w:val="19"/>
                <w:vertAlign w:val="baseline"/>
              </w:rPr>
              <w:t>结果</w:t>
            </w:r>
          </w:p>
        </w:tc>
        <w:tc>
          <w:tcPr>
            <w:tcW w:w="574" w:type="dxa"/>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尚未</w:t>
            </w:r>
            <w:r>
              <w:rPr>
                <w:rFonts w:hint="eastAsia" w:ascii="仿宋_GB2312" w:hAnsi="微软雅黑" w:eastAsia="仿宋_GB2312" w:cs="仿宋_GB2312"/>
                <w:spacing w:val="0"/>
                <w:sz w:val="19"/>
                <w:szCs w:val="19"/>
                <w:vertAlign w:val="baseline"/>
              </w:rPr>
              <w:br w:type="textWrapping"/>
            </w:r>
            <w:r>
              <w:rPr>
                <w:rFonts w:hint="eastAsia" w:ascii="仿宋_GB2312" w:hAnsi="微软雅黑" w:eastAsia="仿宋_GB2312" w:cs="仿宋_GB2312"/>
                <w:spacing w:val="0"/>
                <w:sz w:val="19"/>
                <w:szCs w:val="19"/>
                <w:vertAlign w:val="baseline"/>
              </w:rPr>
              <w:t>审结</w:t>
            </w:r>
          </w:p>
        </w:tc>
        <w:tc>
          <w:tcPr>
            <w:tcW w:w="596" w:type="dxa"/>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总计</w:t>
            </w:r>
          </w:p>
        </w:tc>
        <w:tc>
          <w:tcPr>
            <w:tcW w:w="574" w:type="dxa"/>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结果</w:t>
            </w:r>
            <w:r>
              <w:rPr>
                <w:rFonts w:hint="eastAsia" w:ascii="仿宋_GB2312" w:hAnsi="微软雅黑" w:eastAsia="仿宋_GB2312" w:cs="仿宋_GB2312"/>
                <w:spacing w:val="0"/>
                <w:sz w:val="19"/>
                <w:szCs w:val="19"/>
                <w:vertAlign w:val="baseline"/>
              </w:rPr>
              <w:br w:type="textWrapping"/>
            </w:r>
            <w:r>
              <w:rPr>
                <w:rFonts w:hint="eastAsia" w:ascii="仿宋_GB2312" w:hAnsi="微软雅黑" w:eastAsia="仿宋_GB2312" w:cs="仿宋_GB2312"/>
                <w:spacing w:val="0"/>
                <w:sz w:val="19"/>
                <w:szCs w:val="19"/>
                <w:vertAlign w:val="baseline"/>
              </w:rPr>
              <w:t>维持</w:t>
            </w:r>
          </w:p>
        </w:tc>
        <w:tc>
          <w:tcPr>
            <w:tcW w:w="574" w:type="dxa"/>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结果</w:t>
            </w:r>
            <w:r>
              <w:rPr>
                <w:rFonts w:hint="eastAsia" w:ascii="仿宋_GB2312" w:hAnsi="微软雅黑" w:eastAsia="仿宋_GB2312" w:cs="仿宋_GB2312"/>
                <w:spacing w:val="0"/>
                <w:sz w:val="19"/>
                <w:szCs w:val="19"/>
                <w:vertAlign w:val="baseline"/>
              </w:rPr>
              <w:br w:type="textWrapping"/>
            </w:r>
            <w:r>
              <w:rPr>
                <w:rFonts w:hint="eastAsia" w:ascii="仿宋_GB2312" w:hAnsi="微软雅黑" w:eastAsia="仿宋_GB2312" w:cs="仿宋_GB2312"/>
                <w:spacing w:val="0"/>
                <w:sz w:val="19"/>
                <w:szCs w:val="19"/>
                <w:vertAlign w:val="baseline"/>
              </w:rPr>
              <w:t>纠正</w:t>
            </w:r>
          </w:p>
        </w:tc>
        <w:tc>
          <w:tcPr>
            <w:tcW w:w="574" w:type="dxa"/>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其他</w:t>
            </w:r>
            <w:r>
              <w:rPr>
                <w:rFonts w:hint="eastAsia" w:ascii="仿宋_GB2312" w:hAnsi="微软雅黑" w:eastAsia="仿宋_GB2312" w:cs="仿宋_GB2312"/>
                <w:spacing w:val="0"/>
                <w:sz w:val="19"/>
                <w:szCs w:val="19"/>
                <w:vertAlign w:val="baseline"/>
              </w:rPr>
              <w:br w:type="textWrapping"/>
            </w:r>
            <w:r>
              <w:rPr>
                <w:rFonts w:hint="eastAsia" w:ascii="仿宋_GB2312" w:hAnsi="微软雅黑" w:eastAsia="仿宋_GB2312" w:cs="仿宋_GB2312"/>
                <w:spacing w:val="0"/>
                <w:sz w:val="19"/>
                <w:szCs w:val="19"/>
                <w:vertAlign w:val="baseline"/>
              </w:rPr>
              <w:t>结果</w:t>
            </w:r>
          </w:p>
        </w:tc>
        <w:tc>
          <w:tcPr>
            <w:tcW w:w="575" w:type="dxa"/>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尚未</w:t>
            </w:r>
            <w:r>
              <w:rPr>
                <w:rFonts w:hint="eastAsia" w:ascii="仿宋_GB2312" w:hAnsi="微软雅黑" w:eastAsia="仿宋_GB2312" w:cs="仿宋_GB2312"/>
                <w:spacing w:val="0"/>
                <w:sz w:val="19"/>
                <w:szCs w:val="19"/>
                <w:vertAlign w:val="baseline"/>
              </w:rPr>
              <w:br w:type="textWrapping"/>
            </w:r>
            <w:r>
              <w:rPr>
                <w:rFonts w:hint="eastAsia" w:ascii="仿宋_GB2312" w:hAnsi="微软雅黑" w:eastAsia="仿宋_GB2312" w:cs="仿宋_GB2312"/>
                <w:spacing w:val="0"/>
                <w:sz w:val="19"/>
                <w:szCs w:val="19"/>
                <w:vertAlign w:val="baseline"/>
              </w:rPr>
              <w:t>审结</w:t>
            </w:r>
          </w:p>
        </w:tc>
        <w:tc>
          <w:tcPr>
            <w:tcW w:w="446" w:type="dxa"/>
            <w:tcBorders>
              <w:top w:val="single" w:color="auto" w:sz="6" w:space="0"/>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574" w:type="dxa"/>
            <w:tcBorders>
              <w:top w:val="nil"/>
              <w:left w:val="single" w:color="auto" w:sz="6" w:space="0"/>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574"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574"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574"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585"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574"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574"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574"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574"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596"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574"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574"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574"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575"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c>
          <w:tcPr>
            <w:tcW w:w="446" w:type="dxa"/>
            <w:tcBorders>
              <w:top w:val="nil"/>
              <w:left w:val="nil"/>
              <w:bottom w:val="single" w:color="auto" w:sz="6" w:space="0"/>
              <w:right w:val="single" w:color="auto" w:sz="6" w:space="0"/>
            </w:tcBorders>
            <w:shd w:val="clear" w:color="auto" w:fill="auto"/>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textAlignment w:val="baseline"/>
              <w:rPr>
                <w:rFonts w:hint="eastAsia" w:ascii="微软雅黑" w:hAnsi="微软雅黑" w:eastAsia="微软雅黑" w:cs="微软雅黑"/>
              </w:rPr>
            </w:pPr>
            <w:r>
              <w:rPr>
                <w:rFonts w:hint="eastAsia" w:ascii="仿宋_GB2312" w:hAnsi="微软雅黑" w:eastAsia="仿宋_GB2312" w:cs="仿宋_GB2312"/>
                <w:spacing w:val="0"/>
                <w:sz w:val="19"/>
                <w:szCs w:val="19"/>
                <w:vertAlign w:val="baseline"/>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textAlignment w:val="baseline"/>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31"/>
          <w:szCs w:val="31"/>
          <w:shd w:val="clear" w:fill="FFFFFF"/>
          <w:vertAlign w:val="baseline"/>
        </w:rPr>
        <w:t>五、政府信息管理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atLeast"/>
        <w:ind w:left="0" w:right="0" w:firstLine="620" w:firstLineChars="200"/>
        <w:jc w:val="both"/>
        <w:textAlignment w:val="baseline"/>
        <w:rPr>
          <w:rFonts w:hint="eastAsia" w:ascii="仿宋_GB2312" w:hAnsi="微软雅黑" w:eastAsia="仿宋_GB2312" w:cs="仿宋_GB2312"/>
          <w:i w:val="0"/>
          <w:caps w:val="0"/>
          <w:color w:val="000000"/>
          <w:spacing w:val="0"/>
          <w:sz w:val="31"/>
          <w:szCs w:val="31"/>
          <w:shd w:val="clear" w:fill="FFFFFF"/>
          <w:vertAlign w:val="baseline"/>
          <w:lang w:eastAsia="zh-CN"/>
        </w:rPr>
      </w:pPr>
      <w:r>
        <w:rPr>
          <w:rFonts w:hint="eastAsia" w:ascii="仿宋_GB2312" w:hAnsi="微软雅黑" w:eastAsia="仿宋_GB2312" w:cs="仿宋_GB2312"/>
          <w:i w:val="0"/>
          <w:caps w:val="0"/>
          <w:color w:val="000000"/>
          <w:spacing w:val="0"/>
          <w:sz w:val="31"/>
          <w:szCs w:val="31"/>
          <w:shd w:val="clear" w:fill="FFFFFF"/>
          <w:vertAlign w:val="baseline"/>
        </w:rPr>
        <w:t>1.制度建设：完善信息发布审核机制，明确信息采集、审核、发布各环节的责任主体与操作规范，严把信息质量关；建立常态化信息更新维护制度，定期梳理公开信息库，及时剔除失效信息、补充新增内容，确保公开信息的准确性与时效性</w:t>
      </w:r>
      <w:r>
        <w:rPr>
          <w:rFonts w:hint="eastAsia" w:ascii="仿宋_GB2312" w:hAnsi="微软雅黑" w:eastAsia="仿宋_GB2312" w:cs="仿宋_GB2312"/>
          <w:i w:val="0"/>
          <w:caps w:val="0"/>
          <w:color w:val="000000"/>
          <w:spacing w:val="0"/>
          <w:sz w:val="31"/>
          <w:szCs w:val="31"/>
          <w:shd w:val="clear" w:fill="FFFFFF"/>
          <w:vertAlign w:val="baseline"/>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atLeast"/>
        <w:ind w:left="0" w:right="0" w:firstLine="620" w:firstLineChars="200"/>
        <w:jc w:val="both"/>
        <w:textAlignment w:val="baseline"/>
        <w:rPr>
          <w:rFonts w:hint="eastAsia" w:ascii="仿宋_GB2312" w:hAnsi="微软雅黑" w:eastAsia="仿宋_GB2312" w:cs="仿宋_GB2312"/>
          <w:i w:val="0"/>
          <w:caps w:val="0"/>
          <w:color w:val="000000"/>
          <w:spacing w:val="0"/>
          <w:sz w:val="31"/>
          <w:szCs w:val="31"/>
          <w:shd w:val="clear" w:fill="FFFFFF"/>
          <w:vertAlign w:val="baseline"/>
        </w:rPr>
      </w:pPr>
      <w:r>
        <w:rPr>
          <w:rFonts w:hint="eastAsia" w:ascii="仿宋_GB2312" w:hAnsi="微软雅黑" w:eastAsia="仿宋_GB2312" w:cs="仿宋_GB2312"/>
          <w:i w:val="0"/>
          <w:caps w:val="0"/>
          <w:color w:val="000000"/>
          <w:spacing w:val="0"/>
          <w:sz w:val="31"/>
          <w:szCs w:val="31"/>
          <w:shd w:val="clear" w:fill="FFFFFF"/>
          <w:vertAlign w:val="baseline"/>
          <w:lang w:val="en-US" w:eastAsia="zh-CN"/>
        </w:rPr>
        <w:t>2.</w:t>
      </w:r>
      <w:r>
        <w:rPr>
          <w:rFonts w:hint="eastAsia" w:ascii="仿宋_GB2312" w:hAnsi="微软雅黑" w:eastAsia="仿宋_GB2312" w:cs="仿宋_GB2312"/>
          <w:i w:val="0"/>
          <w:caps w:val="0"/>
          <w:color w:val="000000"/>
          <w:spacing w:val="0"/>
          <w:sz w:val="31"/>
          <w:szCs w:val="31"/>
          <w:shd w:val="clear" w:fill="FFFFFF"/>
          <w:vertAlign w:val="baseline"/>
        </w:rPr>
        <w:t>平台管理：加强政府官方网站与政务新媒体平台的日常管理，配备专人负责平台维护，定期开展网站运行状态监测与信息发布核查，及时处置各类突发问题，保障平台稳定、安全、高效运行，为信息公开提供可靠载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textAlignment w:val="baseline"/>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31"/>
          <w:szCs w:val="31"/>
          <w:shd w:val="clear" w:fill="FFFFFF"/>
          <w:vertAlign w:val="baseline"/>
        </w:rPr>
        <w:t>六、监督保障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textAlignment w:val="baseline"/>
        <w:rPr>
          <w:rFonts w:hint="eastAsia" w:ascii="仿宋_GB2312" w:hAnsi="微软雅黑" w:eastAsia="仿宋_GB2312" w:cs="仿宋_GB2312"/>
          <w:i w:val="0"/>
          <w:caps w:val="0"/>
          <w:color w:val="333333"/>
          <w:spacing w:val="0"/>
          <w:sz w:val="31"/>
          <w:szCs w:val="31"/>
          <w:shd w:val="clear" w:fill="FFFFFF"/>
          <w:vertAlign w:val="baseline"/>
        </w:rPr>
      </w:pPr>
      <w:r>
        <w:rPr>
          <w:rFonts w:hint="eastAsia" w:ascii="仿宋_GB2312" w:hAnsi="微软雅黑" w:eastAsia="仿宋_GB2312" w:cs="仿宋_GB2312"/>
          <w:i w:val="0"/>
          <w:caps w:val="0"/>
          <w:color w:val="333333"/>
          <w:spacing w:val="0"/>
          <w:sz w:val="31"/>
          <w:szCs w:val="31"/>
          <w:shd w:val="clear" w:fill="FFFFFF"/>
          <w:vertAlign w:val="baseline"/>
        </w:rPr>
        <w:t>为切实保障政务公开扎实有效，由各分管领导对各科室政务公开状况进行监督检查，完善常态化检查考核机制，把第三方监测作为有效动力，实施动态管理，发布日常监测整改通报，以监督促公开，以公开促落实。调高干部职工规范政务公开的自觉性。我镇还公开了投诉电话、设置信箱，接受群众监督，广泛听取意见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textAlignment w:val="baseline"/>
        <w:rPr>
          <w:rFonts w:hint="eastAsia" w:ascii="微软雅黑" w:hAnsi="微软雅黑" w:eastAsia="微软雅黑" w:cs="微软雅黑"/>
          <w:i w:val="0"/>
          <w:caps w:val="0"/>
          <w:color w:val="000000"/>
          <w:spacing w:val="0"/>
          <w:sz w:val="21"/>
          <w:szCs w:val="21"/>
        </w:rPr>
      </w:pPr>
      <w:r>
        <w:rPr>
          <w:rFonts w:hint="eastAsia" w:ascii="黑体" w:hAnsi="宋体" w:eastAsia="黑体" w:cs="黑体"/>
          <w:i w:val="0"/>
          <w:caps w:val="0"/>
          <w:color w:val="000000"/>
          <w:spacing w:val="0"/>
          <w:sz w:val="31"/>
          <w:szCs w:val="31"/>
          <w:shd w:val="clear" w:fill="FFFFFF"/>
          <w:vertAlign w:val="baseline"/>
        </w:rPr>
        <w:t>七、存在问题与改进措施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textAlignment w:val="baseline"/>
        <w:rPr>
          <w:rFonts w:hint="eastAsia" w:ascii="仿宋_GB2312" w:hAnsi="微软雅黑" w:eastAsia="仿宋_GB2312" w:cs="仿宋_GB2312"/>
          <w:i w:val="0"/>
          <w:caps w:val="0"/>
          <w:color w:val="000000"/>
          <w:spacing w:val="0"/>
          <w:sz w:val="31"/>
          <w:szCs w:val="31"/>
          <w:shd w:val="clear" w:fill="FFFFFF"/>
          <w:vertAlign w:val="baseline"/>
        </w:rPr>
      </w:pPr>
      <w:r>
        <w:rPr>
          <w:rFonts w:hint="eastAsia" w:ascii="仿宋_GB2312" w:hAnsi="微软雅黑" w:eastAsia="仿宋_GB2312" w:cs="仿宋_GB2312"/>
          <w:i w:val="0"/>
          <w:caps w:val="0"/>
          <w:color w:val="000000"/>
          <w:spacing w:val="0"/>
          <w:sz w:val="31"/>
          <w:szCs w:val="31"/>
          <w:shd w:val="clear" w:fill="FFFFFF"/>
          <w:vertAlign w:val="baseline"/>
        </w:rPr>
        <w:t>1.存在问题：部分公开信息精细化程度不足，如财政预决算公开中部分项目支出的说明不够详实，数据解读不够深入；公开渠道宣传推广力度有待加强，部分群众尤其是农村地区群众对线上公开渠道的知晓率和使用率较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both"/>
        <w:textAlignment w:val="baseline"/>
        <w:rPr>
          <w:rFonts w:hint="eastAsia" w:ascii="仿宋_GB2312" w:hAnsi="微软雅黑" w:eastAsia="仿宋_GB2312" w:cs="仿宋_GB2312"/>
          <w:i w:val="0"/>
          <w:caps w:val="0"/>
          <w:color w:val="000000"/>
          <w:spacing w:val="0"/>
          <w:sz w:val="31"/>
          <w:szCs w:val="31"/>
          <w:shd w:val="clear" w:fill="FFFFFF"/>
          <w:vertAlign w:val="baseline"/>
        </w:rPr>
      </w:pPr>
      <w:r>
        <w:rPr>
          <w:rFonts w:hint="eastAsia" w:ascii="仿宋_GB2312" w:hAnsi="微软雅黑" w:eastAsia="仿宋_GB2312" w:cs="仿宋_GB2312"/>
          <w:i w:val="0"/>
          <w:caps w:val="0"/>
          <w:color w:val="000000"/>
          <w:spacing w:val="0"/>
          <w:sz w:val="31"/>
          <w:szCs w:val="31"/>
          <w:shd w:val="clear" w:fill="FFFFFF"/>
          <w:vertAlign w:val="baseline"/>
        </w:rPr>
        <w:t>2.改进措施：细化公开标准，聚焦财政预决算等重点领域，优化信息公开内容结构，增加项目支出明细说明与数据解读材料，提升信息公开的实用性；拓宽宣传路径，通过村屯广播、宣传手册、入户讲解等多种形式，广泛普及线上线下公开渠道的查询使用方法，着力提高群众对政府信息公开工作的知晓率、参与度和支持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531FC5"/>
    <w:rsid w:val="149E39A6"/>
    <w:rsid w:val="21531FC5"/>
    <w:rsid w:val="64087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屯昌县（屯城镇）</Company>
  <Pages>1</Pages>
  <Words>0</Words>
  <Characters>0</Characters>
  <Lines>0</Lines>
  <Paragraphs>0</Paragraphs>
  <TotalTime>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2026-01-28T09:18:00Z</dcterms:created>
  <dc:creator>Administrator</dc:creator>
  <cp:lastModifiedBy>Administrator</cp:lastModifiedBy>
  <dcterms:modified xsi:type="dcterms:W3CDTF">2026-01-29T02:13:16Z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