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44DBC">
      <w:pPr>
        <w:spacing w:line="560" w:lineRule="exact"/>
        <w:rPr>
          <w:sz w:val="84"/>
          <w:szCs w:val="84"/>
          <w:u w:val="none"/>
        </w:rPr>
      </w:pPr>
    </w:p>
    <w:p w14:paraId="060A661F">
      <w:pPr>
        <w:spacing w:line="560" w:lineRule="exact"/>
        <w:rPr>
          <w:sz w:val="84"/>
          <w:szCs w:val="84"/>
          <w:u w:val="none"/>
        </w:rPr>
      </w:pPr>
    </w:p>
    <w:p w14:paraId="4B660AB9">
      <w:pPr>
        <w:spacing w:line="560" w:lineRule="exact"/>
        <w:rPr>
          <w:sz w:val="84"/>
          <w:szCs w:val="84"/>
          <w:u w:val="none"/>
        </w:rPr>
      </w:pPr>
    </w:p>
    <w:p w14:paraId="65786A27">
      <w:pPr>
        <w:spacing w:line="560" w:lineRule="exact"/>
        <w:rPr>
          <w:sz w:val="84"/>
          <w:szCs w:val="84"/>
          <w:u w:val="none"/>
        </w:rPr>
      </w:pPr>
    </w:p>
    <w:p w14:paraId="076A7F92">
      <w:pPr>
        <w:spacing w:line="560" w:lineRule="exact"/>
        <w:jc w:val="center"/>
        <w:rPr>
          <w:rFonts w:hint="eastAsia"/>
          <w:sz w:val="52"/>
          <w:szCs w:val="52"/>
          <w:u w:val="none"/>
          <w:lang w:val="en-US" w:eastAsia="zh-CN"/>
        </w:rPr>
      </w:pPr>
    </w:p>
    <w:p w14:paraId="14B3B3F0">
      <w:pPr>
        <w:spacing w:line="560" w:lineRule="exact"/>
        <w:jc w:val="center"/>
        <w:rPr>
          <w:rFonts w:hint="eastAsia"/>
          <w:sz w:val="52"/>
          <w:szCs w:val="52"/>
          <w:u w:val="none"/>
          <w:lang w:val="en-US" w:eastAsia="zh-CN"/>
        </w:rPr>
      </w:pPr>
    </w:p>
    <w:p w14:paraId="3AB6D677">
      <w:pPr>
        <w:spacing w:line="560" w:lineRule="exact"/>
        <w:jc w:val="center"/>
        <w:rPr>
          <w:rFonts w:hint="eastAsia"/>
          <w:sz w:val="52"/>
          <w:szCs w:val="52"/>
          <w:u w:val="none"/>
          <w:lang w:val="en-US" w:eastAsia="zh-CN"/>
        </w:rPr>
      </w:pPr>
    </w:p>
    <w:p w14:paraId="4CD33B7E">
      <w:pPr>
        <w:spacing w:line="560" w:lineRule="exact"/>
        <w:jc w:val="center"/>
        <w:rPr>
          <w:rFonts w:hint="eastAsia"/>
          <w:sz w:val="52"/>
          <w:szCs w:val="52"/>
          <w:u w:val="none"/>
          <w:lang w:val="en-US" w:eastAsia="zh-CN"/>
        </w:rPr>
      </w:pPr>
    </w:p>
    <w:p w14:paraId="1FEE8FD7">
      <w:pPr>
        <w:spacing w:line="560" w:lineRule="exact"/>
        <w:jc w:val="center"/>
        <w:rPr>
          <w:rFonts w:hint="eastAsia"/>
          <w:sz w:val="52"/>
          <w:szCs w:val="52"/>
          <w:u w:val="none"/>
          <w:lang w:val="en-US" w:eastAsia="zh-CN"/>
        </w:rPr>
      </w:pPr>
    </w:p>
    <w:p w14:paraId="7276A1BD">
      <w:pPr>
        <w:spacing w:line="560" w:lineRule="exact"/>
        <w:jc w:val="center"/>
        <w:rPr>
          <w:rFonts w:hint="eastAsia"/>
          <w:sz w:val="52"/>
          <w:szCs w:val="52"/>
          <w:u w:val="none"/>
          <w:lang w:val="en-US" w:eastAsia="zh-CN"/>
        </w:rPr>
      </w:pPr>
    </w:p>
    <w:p w14:paraId="7BEB3E25">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u w:val="none"/>
          <w:lang w:val="en-US" w:eastAsia="zh-CN"/>
        </w:rPr>
        <w:t>海南屯昌思源实验学校</w:t>
      </w: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14:paraId="72735FE2">
      <w:pPr>
        <w:spacing w:line="560" w:lineRule="exact"/>
        <w:ind w:firstLine="1680"/>
        <w:jc w:val="center"/>
        <w:rPr>
          <w:sz w:val="84"/>
          <w:szCs w:val="84"/>
          <w:u w:val="none"/>
        </w:rPr>
      </w:pPr>
    </w:p>
    <w:p w14:paraId="76EF787A">
      <w:pPr>
        <w:spacing w:line="560" w:lineRule="exact"/>
        <w:ind w:firstLine="1680"/>
        <w:jc w:val="center"/>
        <w:rPr>
          <w:sz w:val="84"/>
          <w:szCs w:val="84"/>
          <w:u w:val="none"/>
        </w:rPr>
      </w:pPr>
    </w:p>
    <w:p w14:paraId="7BF8B329">
      <w:pPr>
        <w:spacing w:line="560" w:lineRule="exact"/>
        <w:ind w:firstLine="1680"/>
        <w:jc w:val="center"/>
        <w:rPr>
          <w:sz w:val="84"/>
          <w:szCs w:val="84"/>
          <w:u w:val="none"/>
        </w:rPr>
      </w:pPr>
    </w:p>
    <w:p w14:paraId="6D89E681">
      <w:pPr>
        <w:spacing w:line="560" w:lineRule="exact"/>
        <w:ind w:firstLine="1680"/>
        <w:jc w:val="center"/>
        <w:rPr>
          <w:sz w:val="84"/>
          <w:szCs w:val="84"/>
          <w:u w:val="none"/>
        </w:rPr>
      </w:pPr>
    </w:p>
    <w:p w14:paraId="6DA913B1">
      <w:pPr>
        <w:rPr>
          <w:sz w:val="84"/>
          <w:szCs w:val="84"/>
          <w:u w:val="none"/>
        </w:rPr>
      </w:pPr>
      <w:r>
        <w:rPr>
          <w:sz w:val="84"/>
          <w:szCs w:val="84"/>
          <w:u w:val="none"/>
        </w:rPr>
        <w:br w:type="page"/>
      </w:r>
    </w:p>
    <w:p w14:paraId="746EAD6F">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74CEE80E">
      <w:pPr>
        <w:pStyle w:val="6"/>
        <w:numPr>
          <w:ilvl w:val="0"/>
          <w:numId w:val="1"/>
        </w:numPr>
        <w:spacing w:line="578" w:lineRule="exact"/>
        <w:ind w:firstLineChars="0"/>
        <w:jc w:val="left"/>
        <w:rPr>
          <w:rFonts w:ascii="黑体" w:hAnsi="黑体" w:eastAsia="黑体"/>
          <w:sz w:val="32"/>
          <w:szCs w:val="32"/>
        </w:rPr>
      </w:pPr>
      <w:r>
        <w:rPr>
          <w:rFonts w:hint="eastAsia" w:ascii="黑体" w:hAnsi="黑体" w:eastAsia="黑体"/>
          <w:sz w:val="32"/>
          <w:szCs w:val="32"/>
          <w:u w:val="none"/>
          <w:lang w:val="en-US" w:eastAsia="zh-CN"/>
        </w:rPr>
        <w:t xml:space="preserve">  </w:t>
      </w:r>
      <w:r>
        <w:rPr>
          <w:rFonts w:hint="eastAsia" w:ascii="黑体" w:hAnsi="黑体" w:eastAsia="黑体"/>
          <w:sz w:val="32"/>
          <w:szCs w:val="32"/>
        </w:rPr>
        <w:t xml:space="preserve">  </w:t>
      </w:r>
      <w:r>
        <w:rPr>
          <w:rFonts w:hint="eastAsia" w:ascii="黑体" w:hAnsi="黑体" w:eastAsia="黑体"/>
          <w:sz w:val="32"/>
          <w:szCs w:val="32"/>
          <w:lang w:val="en-US" w:eastAsia="zh-CN"/>
        </w:rPr>
        <w:t>海南屯昌思源实验学校</w:t>
      </w:r>
      <w:r>
        <w:rPr>
          <w:rFonts w:hint="eastAsia" w:ascii="黑体" w:hAnsi="黑体" w:eastAsia="黑体"/>
          <w:sz w:val="32"/>
          <w:szCs w:val="32"/>
        </w:rPr>
        <w:t>单位概况</w:t>
      </w:r>
    </w:p>
    <w:p w14:paraId="10DDA6DA">
      <w:pPr>
        <w:pStyle w:val="6"/>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14:paraId="52E6A90A">
      <w:pPr>
        <w:pStyle w:val="6"/>
        <w:numPr>
          <w:ilvl w:val="0"/>
          <w:numId w:val="2"/>
        </w:numPr>
        <w:spacing w:line="578" w:lineRule="exact"/>
        <w:ind w:firstLineChars="0"/>
        <w:jc w:val="left"/>
        <w:rPr>
          <w:rFonts w:ascii="黑体" w:hAnsi="黑体" w:eastAsia="黑体"/>
          <w:sz w:val="32"/>
          <w:szCs w:val="32"/>
          <w:u w:val="none"/>
        </w:rPr>
      </w:pPr>
      <w:r>
        <w:rPr>
          <w:rFonts w:hint="eastAsia" w:ascii="黑体" w:hAnsi="黑体" w:eastAsia="黑体"/>
          <w:sz w:val="32"/>
          <w:szCs w:val="32"/>
        </w:rPr>
        <w:t>预算单位构成</w:t>
      </w:r>
    </w:p>
    <w:p w14:paraId="66CAE2F5">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黑体" w:hAnsi="黑体" w:eastAsia="黑体"/>
          <w:sz w:val="32"/>
          <w:szCs w:val="32"/>
          <w:lang w:val="en-US" w:eastAsia="zh-CN"/>
        </w:rPr>
        <w:t>海南屯昌思源实验学校</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14:paraId="7426861F">
      <w:pPr>
        <w:pStyle w:val="6"/>
        <w:numPr>
          <w:ilvl w:val="0"/>
          <w:numId w:val="3"/>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67B430FD">
      <w:pPr>
        <w:pStyle w:val="6"/>
        <w:numPr>
          <w:ilvl w:val="0"/>
          <w:numId w:val="3"/>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209AB691">
      <w:pPr>
        <w:pStyle w:val="6"/>
        <w:numPr>
          <w:ilvl w:val="0"/>
          <w:numId w:val="3"/>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7A02BE90">
      <w:pPr>
        <w:pStyle w:val="6"/>
        <w:numPr>
          <w:ilvl w:val="0"/>
          <w:numId w:val="3"/>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4795E00F">
      <w:pPr>
        <w:pStyle w:val="6"/>
        <w:numPr>
          <w:ilvl w:val="0"/>
          <w:numId w:val="3"/>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444CD72C">
      <w:pPr>
        <w:pStyle w:val="6"/>
        <w:numPr>
          <w:ilvl w:val="0"/>
          <w:numId w:val="3"/>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7A76A756">
      <w:pPr>
        <w:pStyle w:val="6"/>
        <w:numPr>
          <w:ilvl w:val="0"/>
          <w:numId w:val="3"/>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621D6E52">
      <w:pPr>
        <w:pStyle w:val="6"/>
        <w:numPr>
          <w:ilvl w:val="0"/>
          <w:numId w:val="3"/>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2612431D">
      <w:pPr>
        <w:pStyle w:val="6"/>
        <w:numPr>
          <w:ilvl w:val="0"/>
          <w:numId w:val="3"/>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7D140CFD">
      <w:pPr>
        <w:pStyle w:val="6"/>
        <w:numPr>
          <w:ilvl w:val="0"/>
          <w:numId w:val="3"/>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7D01C22B">
      <w:pPr>
        <w:pStyle w:val="6"/>
        <w:numPr>
          <w:ilvl w:val="0"/>
          <w:numId w:val="3"/>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581F7E51">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黑体" w:hAnsi="黑体" w:eastAsia="黑体"/>
          <w:sz w:val="32"/>
          <w:szCs w:val="32"/>
          <w:lang w:val="en-US" w:eastAsia="zh-CN"/>
        </w:rPr>
        <w:t>海南屯昌思源实验学校</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14:paraId="7DDA20CB">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681CEDAE">
      <w:pPr>
        <w:jc w:val="left"/>
        <w:rPr>
          <w:rFonts w:hint="eastAsia" w:ascii="黑体" w:hAnsi="黑体" w:eastAsia="黑体"/>
          <w:sz w:val="52"/>
          <w:szCs w:val="52"/>
          <w:u w:val="none"/>
        </w:rPr>
      </w:pPr>
    </w:p>
    <w:p w14:paraId="4E0295EE">
      <w:pPr>
        <w:pStyle w:val="6"/>
        <w:spacing w:line="560" w:lineRule="exact"/>
        <w:ind w:left="1320" w:firstLine="0" w:firstLineChars="0"/>
        <w:jc w:val="left"/>
        <w:rPr>
          <w:rFonts w:ascii="黑体" w:hAnsi="黑体" w:eastAsia="黑体"/>
          <w:sz w:val="32"/>
          <w:szCs w:val="32"/>
          <w:u w:val="none"/>
        </w:rPr>
      </w:pPr>
    </w:p>
    <w:p w14:paraId="4E98A33E">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黑体" w:hAnsi="黑体" w:eastAsia="黑体"/>
          <w:sz w:val="32"/>
          <w:szCs w:val="32"/>
          <w:lang w:val="en-US" w:eastAsia="zh-CN"/>
        </w:rPr>
        <w:t>海南屯昌思源实验学校</w:t>
      </w:r>
      <w:r>
        <w:rPr>
          <w:rFonts w:hint="eastAsia" w:ascii="方正黑体_GBK" w:hAnsi="方正黑体_GBK" w:eastAsia="方正黑体_GBK" w:cs="方正黑体_GBK"/>
          <w:sz w:val="32"/>
          <w:szCs w:val="32"/>
          <w:u w:val="none"/>
        </w:rPr>
        <w:t>概况</w:t>
      </w:r>
    </w:p>
    <w:p w14:paraId="2116CE14">
      <w:pPr>
        <w:pStyle w:val="6"/>
        <w:numPr>
          <w:ilvl w:val="0"/>
          <w:numId w:val="4"/>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4D43FED5">
      <w:pPr>
        <w:pStyle w:val="6"/>
        <w:numPr>
          <w:ilvl w:val="0"/>
          <w:numId w:val="0"/>
        </w:num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sz w:val="32"/>
          <w:szCs w:val="32"/>
          <w:lang w:val="en-US" w:eastAsia="zh-CN"/>
        </w:rPr>
        <w:t>实施九年义务教育，促进基础教育发展，进行小学、初中学历教育，相关社会服务。</w:t>
      </w:r>
    </w:p>
    <w:p w14:paraId="7B019BA3">
      <w:pPr>
        <w:pStyle w:val="6"/>
        <w:numPr>
          <w:ilvl w:val="0"/>
          <w:numId w:val="4"/>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lang w:val="en-US" w:eastAsia="zh-CN"/>
        </w:rPr>
        <w:t>单位</w:t>
      </w:r>
      <w:r>
        <w:rPr>
          <w:rFonts w:hint="eastAsia" w:ascii="黑体" w:hAnsi="黑体" w:eastAsia="黑体" w:cs="仿宋_GB2312"/>
          <w:sz w:val="32"/>
          <w:szCs w:val="32"/>
        </w:rPr>
        <w:t>预算单位构成</w:t>
      </w:r>
    </w:p>
    <w:p w14:paraId="3C83D4ED">
      <w:pPr>
        <w:spacing w:line="578" w:lineRule="exact"/>
        <w:ind w:left="800"/>
        <w:jc w:val="left"/>
        <w:rPr>
          <w:rFonts w:ascii="仿宋_GB2312" w:hAnsi="黑体" w:eastAsia="仿宋_GB2312" w:cs="仿宋_GB2312"/>
          <w:sz w:val="32"/>
          <w:szCs w:val="32"/>
          <w:highlight w:val="yellow"/>
          <w:u w:val="none"/>
        </w:rPr>
      </w:pPr>
      <w:r>
        <w:rPr>
          <w:rFonts w:hint="eastAsia" w:ascii="仿宋_GB2312" w:hAnsi="黑体" w:eastAsia="仿宋_GB2312" w:cs="仿宋_GB2312"/>
          <w:sz w:val="32"/>
          <w:szCs w:val="32"/>
          <w:lang w:val="en-US" w:eastAsia="zh-CN"/>
        </w:rPr>
        <w:t>无</w:t>
      </w:r>
    </w:p>
    <w:p w14:paraId="1E51F5AD">
      <w:pPr>
        <w:pStyle w:val="6"/>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14:paraId="77DF9FCB">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14:paraId="09F2E39B">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14:paraId="727CAE06">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14:paraId="443C419E">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14:paraId="71B84934">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14:paraId="10F9E151">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黑体" w:hAnsi="黑体" w:eastAsia="黑体"/>
          <w:sz w:val="32"/>
          <w:szCs w:val="32"/>
          <w:u w:val="none"/>
        </w:rPr>
      </w:pPr>
      <w:r>
        <w:rPr>
          <w:rFonts w:hint="eastAsia" w:ascii="黑体" w:hAnsi="黑体" w:eastAsia="黑体"/>
          <w:sz w:val="32"/>
          <w:szCs w:val="32"/>
          <w:u w:val="none"/>
        </w:rPr>
        <w:t>一、财政拨款收支预算</w:t>
      </w:r>
      <w:r>
        <w:rPr>
          <w:rFonts w:hint="eastAsia" w:ascii="黑体" w:hAnsi="黑体" w:eastAsia="黑体"/>
          <w:sz w:val="32"/>
          <w:szCs w:val="32"/>
          <w:u w:val="none"/>
          <w:lang w:eastAsia="zh-CN"/>
        </w:rPr>
        <w:t>总体</w:t>
      </w:r>
      <w:r>
        <w:rPr>
          <w:rFonts w:hint="eastAsia" w:ascii="黑体" w:hAnsi="黑体" w:eastAsia="黑体"/>
          <w:sz w:val="32"/>
          <w:szCs w:val="32"/>
          <w:u w:val="none"/>
        </w:rPr>
        <w:t>情况说明</w:t>
      </w:r>
    </w:p>
    <w:p w14:paraId="18151501">
      <w:pPr>
        <w:widowControl w:val="0"/>
        <w:numPr>
          <w:ilvl w:val="0"/>
          <w:numId w:val="0"/>
        </w:numPr>
        <w:spacing w:line="578" w:lineRule="exact"/>
        <w:ind w:left="0" w:leftChars="0" w:firstLine="640" w:firstLineChars="200"/>
        <w:jc w:val="left"/>
        <w:rPr>
          <w:rFonts w:hint="eastAsia" w:ascii="仿宋_GB2312" w:hAnsi="黑体" w:eastAsia="仿宋_GB2312" w:cs="黑体"/>
          <w:kern w:val="2"/>
          <w:sz w:val="32"/>
          <w:szCs w:val="32"/>
          <w:u w:val="none"/>
          <w:lang w:val="en-US" w:eastAsia="zh-CN" w:bidi="ar-SA"/>
        </w:rPr>
      </w:pPr>
      <w:r>
        <w:rPr>
          <w:rFonts w:hint="eastAsia" w:ascii="仿宋_GB2312" w:hAnsi="黑体" w:eastAsia="仿宋_GB2312" w:cs="黑体"/>
          <w:kern w:val="2"/>
          <w:sz w:val="32"/>
          <w:szCs w:val="32"/>
          <w:u w:val="none"/>
          <w:lang w:val="en-US" w:eastAsia="zh-CN" w:bidi="ar-SA"/>
        </w:rPr>
        <w:t>海南屯昌思源实验学校2026年财政拨款收支总预2311.39万元，比上年预算数减少589.82万元，主要是人员减少、学生减少等。其中，收入总计2311.39万元，包括一般公共预算本年收入2304.22万元、上年结转7.17万元，政府性基金预算本年收入0万元、上年结转0万元，国有资本经营预算本年收入0万元、上年结转0万元；支出总计2311.39万元，包括教育支出1551.75万元、社会保障和就业支出364.76万元、卫生健康支出230.87万元、住房保障支出164.01万元，结转下年0万元。</w:t>
      </w:r>
    </w:p>
    <w:p w14:paraId="5C8AE647">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22628F88">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6CF0D236">
      <w:pPr>
        <w:spacing w:before="120" w:after="120" w:line="288" w:lineRule="auto"/>
        <w:ind w:left="0"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海南屯昌思源实验学校2026年一般公共预算当年拨款2304.22万元，比上年预算数减少596.99万元，主要是人员经费的减少，学生减少。</w:t>
      </w:r>
    </w:p>
    <w:p w14:paraId="05DF9652">
      <w:pPr>
        <w:spacing w:before="120" w:after="120" w:line="288" w:lineRule="auto"/>
        <w:ind w:left="0"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（二）一般公共预算当年拨款结构情况</w:t>
      </w:r>
    </w:p>
    <w:p w14:paraId="4CDA7908">
      <w:pPr>
        <w:spacing w:before="120" w:after="120" w:line="288" w:lineRule="auto"/>
        <w:ind w:left="0"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教育（类）支出1551.75万元，占67.35%；社会保障和就业（类）支出364.76万元，占15.83%；卫生健康（类）支出230.87万元，占10.02%；住房保障（类）支出164.01万元，占7.12%。</w:t>
      </w:r>
    </w:p>
    <w:p w14:paraId="0FFD48EB">
      <w:pPr>
        <w:spacing w:before="120" w:after="120" w:line="288" w:lineRule="auto"/>
        <w:ind w:left="0"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（三）一般公共预算当年拨款具体使用情况</w:t>
      </w:r>
    </w:p>
    <w:p w14:paraId="18E7CC31">
      <w:pPr>
        <w:spacing w:before="120" w:after="120" w:line="288" w:lineRule="auto"/>
        <w:ind w:left="0"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1.教育支出（类）普通教育（款）初中教育（项）2026年预算数为1551.75万元，比上年预算数减少412.74万元，主要是人员减少、学生减少。</w:t>
      </w:r>
    </w:p>
    <w:p w14:paraId="6C65DCE3">
      <w:pPr>
        <w:spacing w:before="120" w:after="120" w:line="288" w:lineRule="auto"/>
        <w:ind w:left="0"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2.社会保障和就业支出（类）行政事业单位养老支出（款）机关事业单位基本养老保险缴费支出（项）2026年预算数为245.51万元，比上年预算数减少27.25万元，主要是人员减少。</w:t>
      </w:r>
    </w:p>
    <w:p w14:paraId="2748451B">
      <w:pPr>
        <w:spacing w:before="120" w:after="120" w:line="288" w:lineRule="auto"/>
        <w:ind w:left="0"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3.社会保障和就业支出（类）行政事业单位养老支出（款）机关事业单位职业年金缴费支出（项）2026年预算数为119.25万元，比上年预算数减少17.13万元，主要是人员减少。</w:t>
      </w:r>
    </w:p>
    <w:p w14:paraId="14EB6003">
      <w:pPr>
        <w:spacing w:before="120" w:after="120" w:line="288" w:lineRule="auto"/>
        <w:ind w:left="0"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4.卫生健康支出（类）行政事业单位医疗（款）事业单位医疗（项）2026年预算数为82.85万元，比上年预算数减少14.10万元，主要是人员减少。</w:t>
      </w:r>
    </w:p>
    <w:p w14:paraId="3F82F68B">
      <w:pPr>
        <w:spacing w:before="120" w:after="120" w:line="288" w:lineRule="auto"/>
        <w:ind w:left="0"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5.卫生健康支出（类）行政事业单位医疗（款）公务员医疗补助（项）2026年预算数为141.62万元，比上年预算数减少55.11万元，主要是人员减少。</w:t>
      </w:r>
    </w:p>
    <w:p w14:paraId="22A115ED">
      <w:pPr>
        <w:spacing w:before="120" w:after="120" w:line="288" w:lineRule="auto"/>
        <w:ind w:left="0"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6.卫生健康支出（类）行政事业单位医疗（款）其他行政事业单位医疗支出（项）2026年预算数为6.41万元，比上年预算数减少0.06万元，主要是人员减少。</w:t>
      </w:r>
    </w:p>
    <w:p w14:paraId="7E0BBCA5">
      <w:pPr>
        <w:spacing w:before="120" w:after="120" w:line="288" w:lineRule="auto"/>
        <w:ind w:left="0"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7.住房保障支出（类）住房改革支出（款）住房公积金（项）2026年预算数为164.01万元，比上年预算数减少63.42万元，主要是人员减少。</w:t>
      </w:r>
    </w:p>
    <w:p w14:paraId="7F7268FA">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6EFFD673">
      <w:pPr>
        <w:spacing w:before="120" w:after="120" w:line="288" w:lineRule="auto"/>
        <w:ind w:left="0"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海南屯昌思源实验学校2026年一般公共预算基本支出为2303.88万元，其中：</w:t>
      </w:r>
    </w:p>
    <w:p w14:paraId="4A743047">
      <w:pPr>
        <w:spacing w:before="120" w:after="120" w:line="288" w:lineRule="auto"/>
        <w:ind w:left="0"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人员经费2288.39万元，主要包括：基本工资、津贴补贴、绩效工资、机关事业单位基本养老保险缴费、职业年金缴费、职工基本医疗保险缴费、公务员医疗补助缴费、其他社会保障缴费、住房公积金、医疗费；公用经费15.49万元，主要包括：工会经费。</w:t>
      </w:r>
    </w:p>
    <w:p w14:paraId="2EACA41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14:paraId="1E6AA968">
      <w:pPr>
        <w:spacing w:before="120" w:after="120" w:line="288" w:lineRule="auto"/>
        <w:ind w:left="0" w:firstLine="640" w:firstLineChars="200"/>
        <w:jc w:val="left"/>
        <w:rPr>
          <w:rFonts w:hint="eastAsia" w:ascii="仿宋_GB2312" w:hAnsi="黑体" w:eastAsia="仿宋_GB2312"/>
          <w:sz w:val="32"/>
          <w:szCs w:val="32"/>
          <w:u w:val="none"/>
          <w:lang w:val="en-US" w:eastAsia="zh-CN"/>
        </w:rPr>
      </w:pPr>
      <w:bookmarkStart w:id="0" w:name="heading_14"/>
      <w:r>
        <w:rPr>
          <w:rFonts w:hint="eastAsia" w:ascii="仿宋_GB2312" w:hAnsi="黑体" w:eastAsia="仿宋_GB2312"/>
          <w:sz w:val="32"/>
          <w:szCs w:val="32"/>
          <w:u w:val="none"/>
          <w:lang w:val="en-US" w:eastAsia="zh-CN"/>
        </w:rPr>
        <w:t>（一）海南屯昌思源实验学校2026年一般公共预算“三公”经费预算数为0万元，其中：</w:t>
      </w:r>
      <w:bookmarkEnd w:id="0"/>
    </w:p>
    <w:p w14:paraId="5A1966BB">
      <w:pPr>
        <w:spacing w:before="120" w:after="120" w:line="288" w:lineRule="auto"/>
        <w:ind w:left="0"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因公出国（境）经费0万元，与上年预算持平，无出国（境）计划安排。根据外事部门安排的出国计划，2026年拟安排出国（境）团（组）0次，出国（境）0人。</w:t>
      </w:r>
    </w:p>
    <w:p w14:paraId="04F92AF8">
      <w:pPr>
        <w:spacing w:before="120" w:after="120" w:line="288" w:lineRule="auto"/>
        <w:ind w:left="0"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公务用车购置及运行费0万元（其中，公务用车购置费0万元，公务用车运行费0万元），与上年预算持平，单位无公务用车保有量，也无计划购置公务用车；公务车保有量0辆，计划购置0辆。</w:t>
      </w:r>
    </w:p>
    <w:p w14:paraId="70F41944">
      <w:pPr>
        <w:spacing w:before="120" w:after="120" w:line="288" w:lineRule="auto"/>
        <w:ind w:left="0"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公务接待费0万元，与上年预算持平，无公务接待计划安排，计划接待0批0人。</w:t>
      </w:r>
    </w:p>
    <w:p w14:paraId="07963444">
      <w:pPr>
        <w:spacing w:before="120" w:after="120" w:line="288" w:lineRule="auto"/>
        <w:ind w:left="0" w:firstLine="640" w:firstLineChars="200"/>
        <w:jc w:val="left"/>
        <w:rPr>
          <w:rFonts w:hint="eastAsia" w:ascii="仿宋_GB2312" w:hAnsi="黑体" w:eastAsia="仿宋_GB2312"/>
          <w:sz w:val="32"/>
          <w:szCs w:val="32"/>
          <w:u w:val="none"/>
          <w:lang w:eastAsia="zh-CN"/>
        </w:rPr>
      </w:pPr>
      <w:bookmarkStart w:id="1" w:name="heading_15"/>
      <w:r>
        <w:rPr>
          <w:rFonts w:hint="eastAsia" w:ascii="仿宋_GB2312" w:hAnsi="黑体" w:eastAsia="仿宋_GB2312"/>
          <w:sz w:val="32"/>
          <w:szCs w:val="32"/>
          <w:u w:val="none"/>
          <w:lang w:eastAsia="zh-CN"/>
        </w:rPr>
        <w:t>（二）海南屯昌思源实验学校2026年政府性基金预算“三公”经费预算数为0万元，其中：</w:t>
      </w:r>
      <w:bookmarkEnd w:id="1"/>
    </w:p>
    <w:p w14:paraId="5B350BB8">
      <w:pPr>
        <w:spacing w:before="120" w:after="120" w:line="288" w:lineRule="auto"/>
        <w:ind w:left="0" w:firstLine="640" w:firstLineChars="200"/>
        <w:jc w:val="left"/>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因公出国（境）经费0万元，与上年预算持平，无出国（境）计划安排。根据外事部门安排的2026年出国计划，拟安排出国（境）组0次，出国（境）0人。</w:t>
      </w:r>
    </w:p>
    <w:p w14:paraId="3B4784D4">
      <w:pPr>
        <w:spacing w:before="120" w:after="120" w:line="288" w:lineRule="auto"/>
        <w:ind w:left="0" w:firstLine="640" w:firstLineChars="200"/>
        <w:jc w:val="left"/>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公务用车购置及运行费0万元（其中，公务用车购置费0万元，公务用车运行费0万元），与上年预算持平，单位无公务用车保有量，也无计划购置公务用车；公务车保有量0辆，计划购置0辆。</w:t>
      </w:r>
    </w:p>
    <w:p w14:paraId="54721590">
      <w:pPr>
        <w:spacing w:before="120" w:after="120" w:line="288" w:lineRule="auto"/>
        <w:ind w:left="0" w:firstLine="640" w:firstLineChars="200"/>
        <w:jc w:val="left"/>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公务接待费0万元，与上年预算持平，无公务接待计划安排，计划接待0批0人。</w:t>
      </w:r>
    </w:p>
    <w:p w14:paraId="21DFBBC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14:paraId="6843D7A3">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楷体" w:hAnsi="楷体" w:eastAsia="楷体"/>
          <w:sz w:val="32"/>
          <w:szCs w:val="32"/>
          <w:u w:val="none"/>
        </w:rPr>
      </w:pPr>
      <w:bookmarkStart w:id="2" w:name="heading_17"/>
      <w:r>
        <w:rPr>
          <w:rFonts w:hint="eastAsia" w:ascii="楷体" w:hAnsi="楷体" w:eastAsia="楷体"/>
          <w:sz w:val="32"/>
          <w:szCs w:val="32"/>
          <w:u w:val="none"/>
        </w:rPr>
        <w:t>（一）政府性基金预算当年规模变化情况</w:t>
      </w:r>
      <w:bookmarkEnd w:id="2"/>
    </w:p>
    <w:p w14:paraId="1D269B57">
      <w:pPr>
        <w:spacing w:before="120" w:after="120" w:line="288" w:lineRule="auto"/>
        <w:ind w:left="0" w:firstLine="640" w:firstLineChars="200"/>
        <w:jc w:val="left"/>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海南屯昌思源实验学校2026年政府性基金预算当年拨款0万元，比上年预算数持平，无政府性基金预算相关安排。</w:t>
      </w:r>
    </w:p>
    <w:p w14:paraId="75DEFDF0">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楷体" w:hAnsi="楷体" w:eastAsia="楷体"/>
          <w:sz w:val="32"/>
          <w:szCs w:val="32"/>
          <w:u w:val="none"/>
        </w:rPr>
      </w:pPr>
      <w:bookmarkStart w:id="3" w:name="heading_18"/>
      <w:r>
        <w:rPr>
          <w:rFonts w:hint="eastAsia" w:ascii="楷体" w:hAnsi="楷体" w:eastAsia="楷体"/>
          <w:sz w:val="32"/>
          <w:szCs w:val="32"/>
          <w:u w:val="none"/>
        </w:rPr>
        <w:t>（二）政府性基金预算当年拨款结构情况</w:t>
      </w:r>
      <w:bookmarkEnd w:id="3"/>
    </w:p>
    <w:p w14:paraId="64EF0B59">
      <w:pPr>
        <w:spacing w:before="120" w:after="120" w:line="288" w:lineRule="auto"/>
        <w:ind w:left="0" w:firstLine="640" w:firstLineChars="200"/>
        <w:jc w:val="left"/>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无政府性基金预算拨款支出。</w:t>
      </w:r>
    </w:p>
    <w:p w14:paraId="22CA16E4">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楷体" w:hAnsi="楷体" w:eastAsia="楷体"/>
          <w:sz w:val="32"/>
          <w:szCs w:val="32"/>
          <w:u w:val="none"/>
        </w:rPr>
      </w:pPr>
      <w:bookmarkStart w:id="4" w:name="heading_19"/>
      <w:r>
        <w:rPr>
          <w:rFonts w:hint="eastAsia" w:ascii="楷体" w:hAnsi="楷体" w:eastAsia="楷体"/>
          <w:sz w:val="32"/>
          <w:szCs w:val="32"/>
          <w:u w:val="none"/>
        </w:rPr>
        <w:t>（三）政府性基金预算当年拨款具体使用情况</w:t>
      </w:r>
      <w:bookmarkEnd w:id="4"/>
    </w:p>
    <w:p w14:paraId="38E551D9">
      <w:pPr>
        <w:spacing w:before="120" w:after="120" w:line="288" w:lineRule="auto"/>
        <w:ind w:left="0" w:firstLine="640" w:firstLineChars="200"/>
        <w:jc w:val="left"/>
        <w:rPr>
          <w:rFonts w:hint="eastAsia" w:ascii="仿宋" w:hAnsi="仿宋" w:eastAsia="仿宋" w:cs="仿宋"/>
          <w:b w:val="0"/>
          <w:bCs/>
          <w:sz w:val="32"/>
          <w:szCs w:val="32"/>
        </w:rPr>
      </w:pPr>
      <w:r>
        <w:rPr>
          <w:rFonts w:hint="eastAsia" w:ascii="仿宋_GB2312" w:hAnsi="黑体" w:eastAsia="仿宋_GB2312"/>
          <w:sz w:val="32"/>
          <w:szCs w:val="32"/>
          <w:u w:val="none"/>
          <w:lang w:eastAsia="zh-CN"/>
        </w:rPr>
        <w:t>无政府性基金预算拨款相关使用安排。</w:t>
      </w:r>
    </w:p>
    <w:p w14:paraId="6F24E586">
      <w:pPr>
        <w:keepNext w:val="0"/>
        <w:keepLines w:val="0"/>
        <w:pageBreakBefore w:val="0"/>
        <w:numPr>
          <w:ilvl w:val="0"/>
          <w:numId w:val="5"/>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14:paraId="1C8C4FC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海南屯昌思源实验学校2026年国有资本经营预算当年拨款0万元，比上年预算数持平，无国有资本经营预算相关安排。</w:t>
      </w:r>
    </w:p>
    <w:p w14:paraId="5D116D7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14:paraId="063E281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按照综合预算原则，海南屯昌思源实验学校所有收入和支出均纳入部门预算管理。海南屯昌思源实验学校2026年收支总预算2311.39万元。收入包括：一般公共预算收入、上年结转资金；支出包括：教育支出、社会保障和就业支出、卫生健康支出、住房保障支出。</w:t>
      </w:r>
    </w:p>
    <w:p w14:paraId="7CC7A96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p>
    <w:p w14:paraId="7829CAF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14:paraId="3A0AB43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 w:hAnsi="仿宋" w:eastAsia="仿宋" w:cs="仿宋"/>
          <w:sz w:val="32"/>
          <w:szCs w:val="32"/>
        </w:rPr>
      </w:pPr>
      <w:r>
        <w:rPr>
          <w:rFonts w:hint="eastAsia" w:ascii="仿宋_GB2312" w:hAnsi="黑体" w:eastAsia="仿宋_GB2312" w:cs="仿宋_GB2312"/>
          <w:sz w:val="32"/>
          <w:szCs w:val="32"/>
          <w:u w:val="none"/>
          <w:lang w:val="en-US" w:eastAsia="zh-CN"/>
        </w:rPr>
        <w:t>海南屯昌思源实验学校2026年收入预算2311.39万元，其中：上年结转7.17万元，占0.31%；一般公共预算拨款收入2304.22万元，占99.69%；政府性基金预算拨款收入0万元，占0%；国有资本经营预算拨款收入0万元，占0%。比上年预算数减少589.82万元，主要是一般公共预算拨款收入因人员经费相关标准调整有所减少。</w:t>
      </w:r>
    </w:p>
    <w:p w14:paraId="6119200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14:paraId="781F615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海南屯昌思源实验学校2026年支出预算2311.39万元，其中：基本支出2303.88万元，占99.67%；项目支出7.52万元，占0.33%。比上年预算数减少589.82万元，主要是人员经费支出随人员调整有所减少，项目支出小幅调整。其中委托业务费预算总额0万元，比上年预算数持平。</w:t>
      </w:r>
    </w:p>
    <w:p w14:paraId="7AED86E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14:paraId="13AF180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4D0C788C">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2026年海南屯昌思源实验学校的机关运行经费预算0万元，比上年预算数持平，学校为事业单位，无机关运行经费相关预算。</w:t>
      </w:r>
    </w:p>
    <w:p w14:paraId="5AC7D5D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（二）政府采购情况</w:t>
      </w:r>
    </w:p>
    <w:p w14:paraId="0362895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highlight w:val="none"/>
          <w:u w:val="none"/>
        </w:rPr>
      </w:pPr>
      <w:r>
        <w:rPr>
          <w:rFonts w:hint="eastAsia" w:ascii="仿宋_GB2312" w:hAnsi="黑体" w:eastAsia="仿宋_GB2312"/>
          <w:sz w:val="32"/>
          <w:szCs w:val="32"/>
          <w:highlight w:val="none"/>
          <w:u w:val="none"/>
        </w:rPr>
        <w:t>2026年海南屯昌思源实验学校政府采购预算总额0万元，其中：政府采购货物预算0万元，政府采购工程预算0万元，政府采购服务预算0万元。</w:t>
      </w:r>
    </w:p>
    <w:p w14:paraId="4AA996F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（三）国有资产占有使用情况</w:t>
      </w:r>
    </w:p>
    <w:p w14:paraId="5FF00F6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截至2025年12月31日，海南屯昌思源实验学校本级及下属各预算单位共有车辆0辆，其中，领导干部用车0辆，机要通信应急用车0辆、一般执法执勤用车0辆、特种专业技术用车0辆、其他用车0辆。单位价值100万元以上设备0台（套）。</w:t>
      </w:r>
    </w:p>
    <w:p w14:paraId="63C790CD">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679E623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2026年海南屯昌思源实验学校11个项目实行绩效目标管理，涉及一般公共预算2311.39万元、政府性基金0万元。其中，重点项目预算绩效情况：</w:t>
      </w:r>
    </w:p>
    <w:p w14:paraId="411F839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1.工资奖金津补贴项目，预算安排1518.57万元，主要用于保障学校教职工工资、奖金、津补贴及时足额发放，绩效目标是严格执行相关政策，发放覆盖率100%，标准执行率100%，足额保障率100%。</w:t>
      </w:r>
    </w:p>
    <w:p w14:paraId="0097607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2.公用支出项目，预算安排15.49万元，主要用于保障学校日常运转所需工会经费等公用开支，绩效目标是提高预算编制质量，科目调整次数不超过5次，预算编制质量偏差不超过5%，三公经费控制率100%，运转保障率100%。</w:t>
      </w:r>
    </w:p>
    <w:p w14:paraId="3C47C47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3.事业人员公务用车补助经费项目，预算安排0.35万元，主要用于教职工公务出行、教师家访等交通补助，绩效目标是保障教职工公务出行及家访需求，人均年补助不低于30元，受益人数超1人。</w:t>
      </w:r>
    </w:p>
    <w:p w14:paraId="19CA8C02">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黑体" w:hAnsi="黑体" w:eastAsia="黑体"/>
          <w:b w:val="0"/>
          <w:bCs/>
          <w:sz w:val="32"/>
          <w:szCs w:val="32"/>
          <w:u w:val="none"/>
          <w:lang w:eastAsia="zh-CN"/>
        </w:rPr>
      </w:pPr>
      <w:bookmarkStart w:id="5" w:name="_GoBack"/>
      <w:bookmarkEnd w:id="5"/>
    </w:p>
    <w:p w14:paraId="4051D835">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08397D3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14:paraId="3C31FDD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14:paraId="5D88AAB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14:paraId="13239AB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14:paraId="03B902B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14:paraId="3042C68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14:paraId="5284831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14:paraId="703D4BB5">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14:paraId="4DB00CF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14:paraId="2FD1A74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14:paraId="04933B8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14:paraId="43904B1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1AD11F7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14:paraId="72B20FA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14:paraId="65D88CC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2F2BAA4D">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14:paraId="1227ABBC"/>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D475020-95AA-43C6-9DF6-BFF02D9B9A0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2" w:fontKey="{C935A6A5-E476-4879-9333-3748F14F56B4}"/>
  </w:font>
  <w:font w:name="方正黑体_GBK">
    <w:altName w:val="微软雅黑"/>
    <w:panose1 w:val="02000000000000000000"/>
    <w:charset w:val="86"/>
    <w:family w:val="auto"/>
    <w:pitch w:val="default"/>
    <w:sig w:usb0="00000000" w:usb1="00000000" w:usb2="00082016" w:usb3="00000000" w:csb0="00040001" w:csb1="00000000"/>
    <w:embedRegular r:id="rId3" w:fontKey="{7977242B-F2C7-4CF5-8F18-0E92686778DB}"/>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embedRegular r:id="rId4" w:fontKey="{EC871A52-7838-4ECE-9275-70A7E4A8B9A3}"/>
  </w:font>
  <w:font w:name="仿宋">
    <w:panose1 w:val="02010609060101010101"/>
    <w:charset w:val="86"/>
    <w:family w:val="auto"/>
    <w:pitch w:val="default"/>
    <w:sig w:usb0="800002BF" w:usb1="38CF7CFA" w:usb2="00000016" w:usb3="00000000" w:csb0="00040001" w:csb1="00000000"/>
    <w:embedRegular r:id="rId5" w:fontKey="{CDC5BFDD-C7ED-432C-9B6C-D82F0479BF24}"/>
  </w:font>
  <w:font w:name="楷体">
    <w:panose1 w:val="02010609060101010101"/>
    <w:charset w:val="86"/>
    <w:family w:val="auto"/>
    <w:pitch w:val="default"/>
    <w:sig w:usb0="800002BF" w:usb1="38CF7CFA" w:usb2="00000016" w:usb3="00000000" w:csb0="00040001" w:csb1="00000000"/>
    <w:embedRegular r:id="rId6" w:fontKey="{A0129691-F816-4853-9E82-8D9D18B4E737}"/>
  </w:font>
  <w:font w:name="方正仿宋_GBK">
    <w:altName w:val="微软雅黑"/>
    <w:panose1 w:val="02000000000000000000"/>
    <w:charset w:val="86"/>
    <w:family w:val="auto"/>
    <w:pitch w:val="default"/>
    <w:sig w:usb0="00000000" w:usb1="00000000" w:usb2="00082016" w:usb3="00000000" w:csb0="00040001" w:csb1="00000000"/>
  </w:font>
  <w:font w:name="KSOFEC83043A">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F4CB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9AA453">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9264;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7M5a7tMAAAAEAQAADwAAAAAAAAABACAAAAAiAAAAZHJzL2Rvd25yZXYueG1s&#10;UEsBAhQAFAAAAAgAh07iQIWn1LU2AgAAYQQAAA4AAAAAAAAAAQAgAAAAIgEAAGRycy9lMm9Eb2Mu&#10;eG1sUEsFBgAAAAAGAAYAWQEAAMoFAAAAAA==&#10;">
              <v:fill on="f" focussize="0,0"/>
              <v:stroke on="f" weight="0.5pt"/>
              <v:imagedata o:title=""/>
              <o:lock v:ext="edit" aspectratio="f"/>
              <v:textbox inset="0mm,0mm,0mm,0mm">
                <w:txbxContent>
                  <w:p w14:paraId="4E9AA453">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D7F66E0"/>
    <w:rsid w:val="415D6A9A"/>
    <w:rsid w:val="48E90743"/>
    <w:rsid w:val="62BD13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12</Pages>
  <Words>3965</Words>
  <Characters>4070</Characters>
  <Lines>0</Lines>
  <Paragraphs>0</Paragraphs>
  <TotalTime>0</TotalTime>
  <ScaleCrop>false</ScaleCrop>
  <LinksUpToDate>false</LinksUpToDate>
  <CharactersWithSpaces>4097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扁舟烟波</cp:lastModifiedBy>
  <dcterms:modified xsi:type="dcterms:W3CDTF">2026-02-28T13:10:04Z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eyJoZGlkIjoiNWQwMGJkYTdhOTVjMWY4YzczNDFkZWVhMzUzOGYwNTUiLCJ1c2VySWQiOiIzNjUxMTQ2NjkifQ==</vt:lpwstr>
  </property>
  <property fmtid="{D5CDD505-2E9C-101B-9397-08002B2CF9AE}" pid="4" name="ICV">
    <vt:lpwstr>86D96631275C4DC995094589BBEC508F_12</vt:lpwstr>
  </property>
</Properties>
</file>