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教育部门</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屯昌县教育部门</w:t>
      </w:r>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屯昌县教育部门</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4"/>
        <w:widowControl/>
        <w:spacing w:beforeAutospacing="0" w:afterAutospacing="0"/>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（一）贯彻执行党和国家的教育、科技创新工作的方针、政策、法律、法规；落实县委县政府和县委教育工作领导小组的决策部署、中国（海南）自由贸易试验区和中国特色自由贸易港政策措施。</w:t>
      </w:r>
    </w:p>
    <w:p>
      <w:pPr>
        <w:pStyle w:val="4"/>
        <w:widowControl/>
        <w:spacing w:beforeAutospacing="0" w:afterAutospacing="0"/>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（二）负责对全县各级各类学校贯彻落实中央、省委关于加强党的建设和思想政治工作的方针政策和县委有关决策部署情况进行检查、指导与督促；领导局机关及所属单位（学校）党组织的工作。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三）研究拟订教育改革与发展的政策、计划、规划并组织实施。指导全县各级各类学校的教育教学改革与发展，研究提出有关教育工作的意见和建议。统筹规划和协调管理全县各级各类教育资源，指导监督全县各级各类学校及其他教育机构的设置。统筹协调全县教育信息化建设工作。 负责教育基本信息的统计、分析和发布。</w:t>
      </w:r>
    </w:p>
    <w:p>
      <w:pPr>
        <w:pStyle w:val="4"/>
        <w:widowControl/>
        <w:spacing w:beforeAutospacing="0" w:afterAutospacing="0"/>
        <w:ind w:firstLine="640" w:firstLineChars="200"/>
        <w:jc w:val="both"/>
      </w:pPr>
      <w:r>
        <w:rPr>
          <w:rFonts w:ascii="仿宋_GB2312" w:hAnsi="仿宋_GB2312" w:eastAsia="仿宋_GB2312" w:cs="仿宋_GB2312"/>
          <w:sz w:val="32"/>
          <w:szCs w:val="32"/>
        </w:rPr>
        <w:t>（四）依法组织实施对全县各级各类学校及其他教育机构督导评估和检查验收工作。负责对各镇人民政府履行教育职责、各级各类教育机构及其他教育机构的办学情况进行督导、检查、评估。监测全县各级各类教育发展水平和质量。 负责组织全县教育重大事项的专项督导。</w:t>
      </w:r>
    </w:p>
    <w:p>
      <w:pPr>
        <w:pStyle w:val="4"/>
        <w:widowControl/>
        <w:spacing w:beforeAutospacing="0" w:afterAutospacing="0"/>
        <w:ind w:firstLine="640" w:firstLineChars="200"/>
        <w:jc w:val="both"/>
      </w:pPr>
      <w:r>
        <w:rPr>
          <w:rFonts w:ascii="仿宋_GB2312" w:hAnsi="仿宋_GB2312" w:eastAsia="仿宋_GB2312" w:cs="仿宋_GB2312"/>
          <w:sz w:val="32"/>
          <w:szCs w:val="32"/>
        </w:rPr>
        <w:t>（五）负责推进义务教育均衡发展， 促进教育公平。 统筹指导少数民族教育工作，协调对少数民族地区教育的扶持与援助。负责全县幼儿教育、义务教育、普通高中教育、特殊教育和校外教育的统筹管理工作，全面实施素质教育。</w:t>
      </w:r>
    </w:p>
    <w:p>
      <w:pPr>
        <w:pStyle w:val="4"/>
        <w:widowControl/>
        <w:spacing w:beforeAutospacing="0" w:afterAutospacing="0"/>
        <w:ind w:firstLine="640" w:firstLineChars="200"/>
        <w:jc w:val="both"/>
      </w:pPr>
      <w:r>
        <w:rPr>
          <w:rFonts w:ascii="仿宋_GB2312" w:hAnsi="仿宋_GB2312" w:eastAsia="仿宋_GB2312" w:cs="仿宋_GB2312"/>
          <w:sz w:val="32"/>
          <w:szCs w:val="32"/>
        </w:rPr>
        <w:t>（六）负责全县教学教研、教学信息化建设管理等工作；统筹管理本部门教育经费及县外对本县的教育援助、教育贷款；参与拟订教育经费筹措、教育拨款、教育基建投资、教育收费的政策规定；监测全县教育经费的筹措和使用情况； 组织管理全县学生资助工作；协调开展全县教育系统内部审计工作。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（七）指导全县各级各类学校思想政治工作、德育工作、 法制宣传教育工作、体育卫生与美育工作、劳动教育及国防教育工作。指导、协调教育系统维护稳定以及学校安全工作。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八）主管全县教师和外国专家工作。统筹协调各级各类学校校长、教师培训和教师教育，指导教师资格制度、教师专业技术职务制度的实施。指导全县各级各类学校人事制度改革工作，推进全县教育领域人才及外国专家队伍建设。</w:t>
      </w:r>
    </w:p>
    <w:p>
      <w:pPr>
        <w:pStyle w:val="4"/>
        <w:widowControl/>
        <w:spacing w:beforeAutospacing="0" w:afterAutospacing="0"/>
        <w:ind w:firstLine="640" w:firstLineChars="200"/>
        <w:jc w:val="both"/>
      </w:pPr>
      <w:r>
        <w:rPr>
          <w:rFonts w:ascii="仿宋_GB2312" w:hAnsi="仿宋_GB2312" w:eastAsia="仿宋_GB2312" w:cs="仿宋_GB2312"/>
          <w:sz w:val="32"/>
          <w:szCs w:val="32"/>
        </w:rPr>
        <w:t>（九）负责全县中小学的学籍管理工作，指导义务教育和学前教育的学籍管理工作。负责招生考务工作。制定实施中小学招生改革方案，制订中小学招生计划并负责组织实施。负责中小学校和高中毕业证书的验印和发放。</w:t>
      </w:r>
    </w:p>
    <w:p>
      <w:pPr>
        <w:pStyle w:val="4"/>
        <w:widowControl/>
        <w:spacing w:beforeAutospacing="0" w:afterAutospacing="0"/>
        <w:ind w:firstLine="640" w:firstLineChars="200"/>
        <w:jc w:val="both"/>
      </w:pPr>
      <w:r>
        <w:rPr>
          <w:rFonts w:ascii="仿宋_GB2312" w:hAnsi="仿宋_GB2312" w:eastAsia="仿宋_GB2312" w:cs="仿宋_GB2312"/>
          <w:sz w:val="32"/>
          <w:szCs w:val="32"/>
        </w:rPr>
        <w:t>（十）加强教育领域对外开放。组织和开展国内外教育交流与合作。</w:t>
      </w:r>
    </w:p>
    <w:p>
      <w:pPr>
        <w:pStyle w:val="4"/>
        <w:widowControl/>
        <w:spacing w:beforeAutospacing="0" w:afterAutospacing="0"/>
        <w:ind w:firstLine="640" w:firstLineChars="200"/>
        <w:jc w:val="both"/>
      </w:pPr>
      <w:r>
        <w:rPr>
          <w:rFonts w:ascii="仿宋_GB2312" w:hAnsi="仿宋_GB2312" w:eastAsia="仿宋_GB2312" w:cs="仿宋_GB2312"/>
          <w:sz w:val="32"/>
          <w:szCs w:val="32"/>
        </w:rPr>
        <w:t>（十一）承担全县语言文字的管理工作。制订全县语言文字中长期规划并组织实施，指导语言文字规范化建设，监督检查语言文字的应用情况，负责普通话推广和普通话水平测试管理工作。</w:t>
      </w:r>
    </w:p>
    <w:p>
      <w:pPr>
        <w:pStyle w:val="4"/>
        <w:widowControl/>
        <w:spacing w:beforeAutospacing="0" w:afterAutospacing="0"/>
        <w:ind w:firstLine="640" w:firstLineChars="200"/>
        <w:jc w:val="both"/>
      </w:pPr>
      <w:r>
        <w:rPr>
          <w:rFonts w:ascii="仿宋_GB2312" w:hAnsi="仿宋_GB2312" w:eastAsia="仿宋_GB2312" w:cs="仿宋_GB2312"/>
          <w:sz w:val="32"/>
          <w:szCs w:val="32"/>
        </w:rPr>
        <w:t>（十二）管理全县科技成果、科技奖励、科技保密、技术市场等工作；促进科技咨询、科技评估、专利服务、技术交易等社会中介组织的发展，推动科技服务体系的建设。</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（十三）承办县委、县政府和上级部门交办的其他任务。</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val="en-US" w:eastAsia="zh-CN"/>
        </w:rPr>
        <w:t>屯昌县</w:t>
      </w:r>
      <w:r>
        <w:rPr>
          <w:rFonts w:hint="eastAsia" w:ascii="仿宋_GB2312" w:hAnsi="黑体" w:eastAsia="仿宋_GB2312" w:cs="仿宋_GB2312"/>
          <w:sz w:val="32"/>
          <w:szCs w:val="32"/>
        </w:rPr>
        <w:t>教育部门202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年预算编制范围的二级预算单位包括5</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个单位：</w:t>
      </w: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rPr>
        <w:t>屯昌县教育研究培训中心、屯昌县青少年活动中心、屯昌县向阳中心小学、屯昌县屯昌小学、屯昌实验小学、屯昌县水口中心小学、屯昌县屯城镇大同中心小学、屯昌县新兴镇新兴中心小学、屯昌县坡心镇坡心中心小学、屯昌县枫木镇枫木中心小学、屯昌县南吕镇南吕中心小学、屯昌县西昌镇西昌中心小学、屯昌县南坤镇榕仔中心小学、屯昌县南坤镇藤寨中心小学、屯昌县南坤镇南坤中心小学、屯昌县屯城镇红旗中学、屯昌县屯城镇大同中学、屯昌县新兴镇新兴中学、屯昌县南吕镇南吕中学、屯昌县枫木镇枫木中学、屯昌县南坤镇南坤中学、屯昌县南坤镇黄岭中学、海南屯昌思源实验中学、屯昌县屯昌中学、海南屯昌思源实验学校、屯昌县乌坡镇乌坡学校、屯昌县西昌镇晨星学校、屯昌县屯城镇中建学校、</w:t>
      </w:r>
      <w:r>
        <w:rPr>
          <w:rFonts w:hint="eastAsia" w:ascii="仿宋_GB2312" w:hAnsi="黑体" w:eastAsia="仿宋_GB2312" w:cs="仿宋_GB2312"/>
          <w:sz w:val="32"/>
          <w:szCs w:val="32"/>
          <w:lang w:val="en-US" w:eastAsia="zh-CN"/>
        </w:rPr>
        <w:t>屯昌县屯城镇光明学校、</w:t>
      </w:r>
      <w:r>
        <w:rPr>
          <w:rFonts w:hint="eastAsia" w:ascii="仿宋_GB2312" w:hAnsi="黑体" w:eastAsia="仿宋_GB2312" w:cs="仿宋_GB2312"/>
          <w:sz w:val="32"/>
          <w:szCs w:val="32"/>
        </w:rPr>
        <w:t>屯昌县特殊教育学校、屯昌县幼儿园、常州市武进区实验小学教育集团屯昌实验幼儿园、屯昌县枫木镇中心幼儿园、屯昌县南吕镇中心幼儿园、屯昌县西昌镇中心幼儿园、屯昌县南坤镇中心幼儿园、屯昌县新兴镇中心幼儿园、屯昌县坡心镇中心幼儿园、屯昌县乌坡镇中心幼儿园、屯昌县南坤镇藤寨幼儿园、屯昌县屯城镇大陆坡幼儿园</w:t>
      </w:r>
      <w:r>
        <w:rPr>
          <w:rFonts w:hint="eastAsia" w:ascii="仿宋_GB2312" w:hAnsi="黑体" w:eastAsia="仿宋_GB2312" w:cs="仿宋_GB2312"/>
          <w:b w:val="0"/>
          <w:bCs w:val="0"/>
          <w:sz w:val="32"/>
          <w:szCs w:val="32"/>
        </w:rPr>
        <w:t>、屯昌县屯城镇中心幼儿园、屯昌县南坤镇黄岭幼儿园、屯昌县</w:t>
      </w:r>
      <w:r>
        <w:rPr>
          <w:rFonts w:hint="eastAsia" w:ascii="仿宋_GB2312" w:hAnsi="黑体" w:eastAsia="仿宋_GB2312" w:cs="仿宋_GB2312"/>
          <w:sz w:val="32"/>
          <w:szCs w:val="32"/>
        </w:rPr>
        <w:t>南坤镇中坤幼儿园</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屯昌县南坤镇加握幼儿园、</w:t>
      </w:r>
      <w:r>
        <w:rPr>
          <w:rFonts w:hint="eastAsia" w:ascii="仿宋_GB2312" w:hAnsi="仿宋_GB2312" w:eastAsia="仿宋_GB2312" w:cs="仿宋_GB2312"/>
          <w:sz w:val="32"/>
        </w:rPr>
        <w:t>屯昌县第二幼儿园、屯昌县新兴镇第二幼儿园、屯昌县西昌镇</w:t>
      </w:r>
      <w:r>
        <w:rPr>
          <w:rFonts w:hint="eastAsia" w:ascii="仿宋_GB2312" w:hAnsi="仿宋_GB2312" w:eastAsia="仿宋_GB2312" w:cs="仿宋_GB2312"/>
          <w:sz w:val="32"/>
          <w:lang w:eastAsia="zh-CN"/>
        </w:rPr>
        <w:t>南田</w:t>
      </w:r>
      <w:r>
        <w:rPr>
          <w:rFonts w:hint="eastAsia" w:ascii="仿宋_GB2312" w:hAnsi="仿宋_GB2312" w:eastAsia="仿宋_GB2312" w:cs="仿宋_GB2312"/>
          <w:sz w:val="32"/>
        </w:rPr>
        <w:t>幼儿园、屯昌县南吕镇第二幼儿园、屯昌县乌坡镇第二幼儿园</w:t>
      </w:r>
      <w:r>
        <w:rPr>
          <w:rFonts w:hint="eastAsia" w:ascii="仿宋_GB2312" w:hAnsi="仿宋_GB2312" w:eastAsia="仿宋_GB2312" w:cs="仿宋_GB2312"/>
          <w:sz w:val="32"/>
          <w:lang w:eastAsia="zh-CN"/>
        </w:rPr>
        <w:t>。</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hint="eastAsia" w:ascii="方正黑体_GBK" w:hAnsi="方正黑体_GBK" w:eastAsia="方正黑体_GBK" w:cs="方正黑体_GBK"/>
          <w:b w:val="0"/>
          <w:bCs/>
          <w:sz w:val="32"/>
          <w:szCs w:val="32"/>
          <w:u w:val="none"/>
          <w:lang w:eastAsia="zh-CN"/>
        </w:rPr>
      </w:pPr>
    </w:p>
    <w:p>
      <w:pPr>
        <w:pStyle w:val="7"/>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屯昌县教育部门2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159606.26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减少25384.4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教育系统建设、采购项目减少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79803.13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78640.22</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1162.91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highlight w:val="none"/>
          <w:u w:val="none"/>
        </w:rPr>
        <w:t>79803.13</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rPr>
        <w:t>48.38</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val="en-US" w:eastAsia="zh-CN"/>
        </w:rPr>
        <w:t>教育支出</w:t>
      </w:r>
      <w:r>
        <w:rPr>
          <w:rFonts w:hint="eastAsia" w:ascii="仿宋_GB2312" w:hAnsi="黑体" w:eastAsia="仿宋_GB2312" w:cs="仿宋_GB2312"/>
          <w:color w:val="auto"/>
          <w:sz w:val="32"/>
          <w:szCs w:val="32"/>
          <w:u w:val="none"/>
        </w:rPr>
        <w:t>57885.03</w:t>
      </w:r>
      <w:r>
        <w:rPr>
          <w:rFonts w:hint="eastAsia" w:ascii="仿宋_GB2312" w:hAnsi="黑体" w:eastAsia="仿宋_GB2312"/>
          <w:color w:val="auto"/>
          <w:sz w:val="32"/>
          <w:szCs w:val="32"/>
          <w:u w:val="none"/>
        </w:rPr>
        <w:t>万元、 社会保障和就业支出9717.6</w:t>
      </w:r>
      <w:r>
        <w:rPr>
          <w:rFonts w:hint="eastAsia" w:ascii="仿宋_GB2312" w:hAnsi="黑体" w:eastAsia="仿宋_GB2312"/>
          <w:color w:val="auto"/>
          <w:sz w:val="32"/>
          <w:szCs w:val="32"/>
          <w:u w:val="none"/>
          <w:lang w:val="en-US" w:eastAsia="zh-CN"/>
        </w:rPr>
        <w:t>万元、 卫生健康支出7739.77万元、住房保障支出4409.77万元、 债务还本支出2.56万元</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屯昌县教育部门</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79803.13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减少12691.37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教育系统建设、采购项目减少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 w:hAnsi="仿宋" w:eastAsia="仿宋" w:cs="仿宋"/>
          <w:sz w:val="32"/>
          <w:szCs w:val="32"/>
        </w:rPr>
        <w:t>一般公共服务（类）支出48.38万元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占0.06%；教育支出57885.03万元，占72.53%；</w:t>
      </w:r>
      <w:r>
        <w:rPr>
          <w:rFonts w:hint="eastAsia" w:ascii="仿宋" w:hAnsi="仿宋" w:eastAsia="仿宋" w:cs="仿宋"/>
          <w:sz w:val="32"/>
          <w:szCs w:val="32"/>
        </w:rPr>
        <w:t>社会保障和就业支出9717.6</w:t>
      </w:r>
      <w:r>
        <w:rPr>
          <w:rFonts w:hint="eastAsia" w:ascii="仿宋" w:hAnsi="仿宋" w:eastAsia="仿宋" w:cs="仿宋"/>
          <w:sz w:val="32"/>
          <w:szCs w:val="32"/>
          <w:lang w:val="en-US" w:eastAsia="zh-CN"/>
        </w:rPr>
        <w:t>万元，占12.18%；卫生健康支出7739.77万元，占9.7%；  住房保障支出4409.77万元，占5.53%；</w:t>
      </w:r>
      <w:r>
        <w:rPr>
          <w:rFonts w:hint="eastAsia" w:ascii="仿宋_GB2312" w:hAnsi="黑体" w:eastAsia="仿宋_GB2312"/>
          <w:color w:val="auto"/>
          <w:sz w:val="32"/>
          <w:szCs w:val="32"/>
          <w:u w:val="none"/>
          <w:lang w:val="en-US" w:eastAsia="zh-CN"/>
        </w:rPr>
        <w:t>债务还本支出2.56万元，占0.00%</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1.</w:t>
      </w:r>
      <w:r>
        <w:rPr>
          <w:rFonts w:hint="eastAsia" w:ascii="仿宋_GB2312" w:hAnsi="黑体" w:eastAsia="仿宋_GB2312" w:cs="仿宋_GB2312"/>
          <w:sz w:val="32"/>
          <w:szCs w:val="32"/>
        </w:rPr>
        <w:t>一般公共服务（类）其他共产党事务支出（款）其他共产党事务支出（项）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48.38</w:t>
      </w:r>
      <w:r>
        <w:rPr>
          <w:rFonts w:hint="eastAsia" w:ascii="仿宋_GB2312" w:hAnsi="黑体" w:eastAsia="仿宋_GB2312"/>
          <w:sz w:val="32"/>
          <w:szCs w:val="32"/>
        </w:rPr>
        <w:t>万元，比上年</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了</w:t>
      </w:r>
      <w:r>
        <w:rPr>
          <w:rFonts w:hint="eastAsia" w:ascii="仿宋_GB2312" w:hAnsi="黑体" w:eastAsia="仿宋_GB2312"/>
          <w:sz w:val="32"/>
          <w:szCs w:val="32"/>
          <w:lang w:val="en-US" w:eastAsia="zh-CN"/>
        </w:rPr>
        <w:t>0.05</w:t>
      </w:r>
      <w:r>
        <w:rPr>
          <w:rFonts w:hint="eastAsia" w:ascii="仿宋_GB2312" w:hAnsi="黑体" w:eastAsia="仿宋_GB2312"/>
          <w:sz w:val="32"/>
          <w:szCs w:val="32"/>
        </w:rPr>
        <w:t>元，主要原因是党建经费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u w:val="none"/>
        </w:rPr>
        <w:t>2.</w:t>
      </w:r>
      <w:r>
        <w:rPr>
          <w:rFonts w:hint="eastAsia" w:ascii="仿宋_GB2312" w:hAnsi="黑体" w:eastAsia="仿宋_GB2312" w:cs="仿宋_GB2312"/>
          <w:sz w:val="32"/>
          <w:szCs w:val="32"/>
        </w:rPr>
        <w:t>（1）教育支出（类）教育管理事务（款）</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预算数为370.07万元，比上年预算数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14.43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教育经费减少</w:t>
      </w:r>
      <w:r>
        <w:rPr>
          <w:rFonts w:hint="eastAsia" w:ascii="仿宋_GB2312" w:hAnsi="黑体" w:eastAsia="仿宋_GB2312"/>
          <w:sz w:val="32"/>
          <w:szCs w:val="32"/>
        </w:rPr>
        <w:t>；（2）</w:t>
      </w:r>
      <w:r>
        <w:rPr>
          <w:rFonts w:hint="eastAsia" w:ascii="仿宋_GB2312" w:hAnsi="黑体" w:eastAsia="仿宋_GB2312" w:cs="仿宋_GB2312"/>
          <w:sz w:val="32"/>
          <w:szCs w:val="32"/>
        </w:rPr>
        <w:t>教育支出（类）普通教育（款）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56439.81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lang w:eastAsia="zh-CN"/>
        </w:rPr>
        <w:t>8504.04</w:t>
      </w:r>
      <w:r>
        <w:rPr>
          <w:rFonts w:hint="eastAsia" w:ascii="仿宋_GB2312" w:hAnsi="黑体" w:eastAsia="仿宋_GB2312"/>
          <w:sz w:val="32"/>
          <w:szCs w:val="32"/>
        </w:rPr>
        <w:t>万元，主要是</w:t>
      </w:r>
      <w:r>
        <w:rPr>
          <w:rFonts w:hint="eastAsia" w:ascii="仿宋_GB2312" w:hAnsi="黑体" w:eastAsia="仿宋_GB2312"/>
          <w:sz w:val="32"/>
          <w:szCs w:val="32"/>
          <w:u w:val="none"/>
          <w:lang w:val="en-US" w:eastAsia="zh-CN"/>
        </w:rPr>
        <w:t>教育系统建设、采购项目减少</w:t>
      </w:r>
      <w:r>
        <w:rPr>
          <w:rFonts w:hint="eastAsia" w:ascii="仿宋_GB2312" w:hAnsi="黑体" w:eastAsia="仿宋_GB2312"/>
          <w:sz w:val="32"/>
          <w:szCs w:val="32"/>
        </w:rPr>
        <w:t>；（3）</w:t>
      </w:r>
      <w:r>
        <w:rPr>
          <w:rFonts w:hint="eastAsia" w:ascii="仿宋_GB2312" w:hAnsi="黑体" w:eastAsia="仿宋_GB2312" w:cs="仿宋_GB2312"/>
          <w:sz w:val="32"/>
          <w:szCs w:val="32"/>
        </w:rPr>
        <w:t>教育支出（类）特殊教育（款）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511</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减少42.29</w:t>
      </w:r>
      <w:r>
        <w:rPr>
          <w:rFonts w:hint="eastAsia" w:ascii="仿宋_GB2312" w:hAnsi="黑体" w:eastAsia="仿宋_GB2312"/>
          <w:sz w:val="32"/>
          <w:szCs w:val="32"/>
        </w:rPr>
        <w:t>万元，主要是特殊教育经费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教育支出（类）</w:t>
      </w:r>
      <w:r>
        <w:rPr>
          <w:rFonts w:hint="eastAsia" w:ascii="仿宋_GB2312" w:hAnsi="黑体" w:eastAsia="仿宋_GB2312"/>
          <w:sz w:val="32"/>
          <w:szCs w:val="32"/>
          <w:lang w:eastAsia="zh-CN"/>
        </w:rPr>
        <w:t>进修及培训</w:t>
      </w:r>
      <w:r>
        <w:rPr>
          <w:rFonts w:hint="eastAsia" w:ascii="仿宋_GB2312" w:hAnsi="黑体" w:eastAsia="仿宋_GB2312" w:cs="仿宋_GB2312"/>
          <w:sz w:val="32"/>
          <w:szCs w:val="32"/>
        </w:rPr>
        <w:t>（款）417.73</w:t>
      </w:r>
      <w:r>
        <w:rPr>
          <w:rFonts w:hint="eastAsia" w:ascii="仿宋_GB2312" w:hAnsi="黑体" w:eastAsia="仿宋_GB2312" w:cs="仿宋_GB2312"/>
          <w:sz w:val="32"/>
          <w:szCs w:val="32"/>
          <w:lang w:val="en-US"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减少126.66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进修及培训</w:t>
      </w:r>
      <w:r>
        <w:rPr>
          <w:rFonts w:hint="eastAsia" w:ascii="仿宋_GB2312" w:hAnsi="黑体" w:eastAsia="仿宋_GB2312"/>
          <w:sz w:val="32"/>
          <w:szCs w:val="32"/>
          <w:lang w:val="en-US" w:eastAsia="zh-CN"/>
        </w:rPr>
        <w:t>经费减少；</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5</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教育支出（类）其他教育支出（款）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146.43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增加38.35</w:t>
      </w:r>
      <w:r>
        <w:rPr>
          <w:rFonts w:hint="eastAsia" w:ascii="仿宋_GB2312" w:hAnsi="黑体" w:eastAsia="仿宋_GB2312"/>
          <w:sz w:val="32"/>
          <w:szCs w:val="32"/>
        </w:rPr>
        <w:t>万元，主</w:t>
      </w:r>
      <w:r>
        <w:rPr>
          <w:rFonts w:hint="eastAsia" w:ascii="仿宋_GB2312" w:hAnsi="黑体" w:eastAsia="仿宋_GB2312" w:cs="仿宋_GB2312"/>
          <w:sz w:val="32"/>
          <w:szCs w:val="32"/>
        </w:rPr>
        <w:t>要是教育</w:t>
      </w:r>
      <w:r>
        <w:rPr>
          <w:rFonts w:hint="eastAsia" w:ascii="仿宋_GB2312" w:hAnsi="黑体" w:eastAsia="仿宋_GB2312" w:cs="仿宋_GB2312"/>
          <w:sz w:val="32"/>
          <w:szCs w:val="32"/>
          <w:lang w:eastAsia="zh-CN"/>
        </w:rPr>
        <w:t>支出项目</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社会保障和就业支出（类）行政事业单位养老支出（款）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9593.93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减少739.17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社会保障和就业支出（类）抚恤（款）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123.67万元，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增加15.81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2026比2025年遗属抚养人数增加</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.卫生健康支出</w:t>
      </w:r>
      <w:r>
        <w:rPr>
          <w:rFonts w:hint="eastAsia" w:ascii="仿宋_GB2312" w:hAnsi="黑体" w:eastAsia="仿宋_GB2312" w:cs="仿宋_GB2312"/>
          <w:sz w:val="32"/>
          <w:szCs w:val="32"/>
        </w:rPr>
        <w:t>（类）行政事业单位医疗（款）</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预算数为7739.77万元，比上年预算数</w:t>
      </w:r>
      <w:r>
        <w:rPr>
          <w:rFonts w:hint="eastAsia" w:ascii="仿宋_GB2312" w:hAnsi="黑体" w:eastAsia="仿宋_GB2312"/>
          <w:sz w:val="32"/>
          <w:szCs w:val="32"/>
          <w:lang w:val="en-US" w:eastAsia="zh-CN"/>
        </w:rPr>
        <w:t>减少1628.59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rPr>
        <w:t>6.住房保障支出</w:t>
      </w:r>
      <w:r>
        <w:rPr>
          <w:rFonts w:hint="eastAsia" w:ascii="仿宋_GB2312" w:hAnsi="黑体" w:eastAsia="仿宋_GB2312" w:cs="仿宋_GB2312"/>
          <w:sz w:val="32"/>
          <w:szCs w:val="32"/>
        </w:rPr>
        <w:t>（类）住房改革支出（款）住房公积金（项）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4409.77万元，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减少1501.11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屯昌县教育部门2026年</w:t>
      </w:r>
      <w:r>
        <w:rPr>
          <w:rFonts w:hint="eastAsia" w:ascii="仿宋_GB2312" w:hAnsi="黑体" w:eastAsia="仿宋_GB2312"/>
          <w:sz w:val="32"/>
          <w:szCs w:val="32"/>
          <w:u w:val="none"/>
        </w:rPr>
        <w:t>一般公共预算基本支出为</w:t>
      </w:r>
      <w:r>
        <w:rPr>
          <w:rFonts w:hint="eastAsia" w:ascii="仿宋_GB2312" w:hAnsi="黑体" w:eastAsia="仿宋_GB2312" w:cs="仿宋_GB2312"/>
          <w:sz w:val="32"/>
          <w:szCs w:val="32"/>
          <w:u w:val="none"/>
        </w:rPr>
        <w:t>63809.95</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63312.13</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val="en-US" w:eastAsia="zh-CN"/>
        </w:rPr>
        <w:t>等</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497.82</w:t>
      </w:r>
      <w:r>
        <w:rPr>
          <w:rFonts w:hint="eastAsia" w:ascii="仿宋_GB2312" w:hAnsi="黑体" w:eastAsia="仿宋_GB2312"/>
          <w:sz w:val="32"/>
          <w:szCs w:val="32"/>
          <w:u w:val="none"/>
        </w:rPr>
        <w:t>万元，主要包括：办公费、咨询费、手续费、水费、电费、</w:t>
      </w:r>
      <w:r>
        <w:rPr>
          <w:rFonts w:hint="eastAsia" w:ascii="仿宋_GB2312" w:hAnsi="黑体" w:eastAsia="仿宋_GB2312"/>
          <w:sz w:val="32"/>
          <w:szCs w:val="32"/>
          <w:u w:val="none"/>
          <w:lang w:val="en-US" w:eastAsia="zh-CN"/>
        </w:rPr>
        <w:t>工会费等</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eastAsia="zh-CN"/>
        </w:rPr>
        <w:t>屯昌县教育部门2026年</w:t>
      </w:r>
      <w:r>
        <w:rPr>
          <w:rFonts w:hint="eastAsia" w:ascii="仿宋_GB2312" w:hAnsi="黑体" w:eastAsia="仿宋_GB2312"/>
          <w:sz w:val="32"/>
          <w:szCs w:val="32"/>
          <w:u w:val="none"/>
        </w:rPr>
        <w:t>一般公共预算“三公”经费预算数为</w:t>
      </w:r>
      <w:r>
        <w:rPr>
          <w:rFonts w:hint="eastAsia" w:ascii="仿宋_GB2312" w:hAnsi="黑体" w:eastAsia="仿宋_GB2312"/>
          <w:sz w:val="32"/>
          <w:szCs w:val="32"/>
          <w:u w:val="none"/>
          <w:lang w:val="en-US" w:eastAsia="zh-CN"/>
        </w:rPr>
        <w:t>2.6</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2</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0.6</w:t>
      </w:r>
      <w:r>
        <w:rPr>
          <w:rFonts w:hint="eastAsia" w:ascii="仿宋_GB2312" w:hAnsi="黑体" w:eastAsia="仿宋_GB2312"/>
          <w:sz w:val="32"/>
          <w:szCs w:val="32"/>
          <w:u w:val="none"/>
        </w:rPr>
        <w:t>万元），较上年预算下降</w:t>
      </w:r>
      <w:r>
        <w:rPr>
          <w:rFonts w:hint="eastAsia" w:ascii="仿宋_GB2312" w:hAnsi="黑体" w:eastAsia="仿宋_GB2312"/>
          <w:sz w:val="32"/>
          <w:szCs w:val="32"/>
          <w:u w:val="none"/>
          <w:lang w:val="en-US" w:eastAsia="zh-CN"/>
        </w:rPr>
        <w:t>100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下降的主要原因包括：</w:t>
      </w:r>
      <w:r>
        <w:rPr>
          <w:rFonts w:hint="eastAsia" w:ascii="仿宋_GB2312" w:hAnsi="黑体" w:eastAsia="仿宋_GB2312"/>
          <w:sz w:val="32"/>
          <w:szCs w:val="32"/>
          <w:u w:val="none"/>
          <w:lang w:val="en-US" w:eastAsia="zh-CN"/>
        </w:rPr>
        <w:t>教育系统除了教育局外已无公车</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公务车保有量</w:t>
      </w:r>
      <w:r>
        <w:rPr>
          <w:rFonts w:hint="eastAsia" w:ascii="仿宋_GB2312" w:hAnsi="黑体" w:eastAsia="仿宋_GB2312"/>
          <w:sz w:val="32"/>
          <w:szCs w:val="32"/>
          <w:u w:val="none"/>
          <w:lang w:val="en-US" w:eastAsia="zh-CN"/>
        </w:rPr>
        <w:t>1</w:t>
      </w:r>
      <w:r>
        <w:rPr>
          <w:rFonts w:hint="eastAsia" w:ascii="仿宋_GB2312" w:hAnsi="黑体" w:eastAsia="仿宋_GB2312"/>
          <w:sz w:val="32"/>
          <w:szCs w:val="32"/>
          <w:u w:val="none"/>
        </w:rPr>
        <w:t>辆，计划购置</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辆</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06</w:t>
      </w:r>
      <w:r>
        <w:rPr>
          <w:rFonts w:hint="eastAsia" w:ascii="仿宋_GB2312" w:hAnsi="黑体" w:eastAsia="仿宋_GB2312"/>
          <w:sz w:val="32"/>
          <w:szCs w:val="32"/>
          <w:u w:val="none"/>
        </w:rPr>
        <w:t>万元，较上年预算下降</w:t>
      </w:r>
      <w:r>
        <w:rPr>
          <w:rFonts w:hint="eastAsia" w:ascii="仿宋_GB2312" w:hAnsi="黑体" w:eastAsia="仿宋_GB2312"/>
          <w:sz w:val="32"/>
          <w:szCs w:val="32"/>
          <w:u w:val="none"/>
          <w:lang w:val="en-US" w:eastAsia="zh-CN"/>
        </w:rPr>
        <w:t>25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下降的主要原因</w:t>
      </w:r>
      <w:r>
        <w:rPr>
          <w:rFonts w:hint="eastAsia" w:ascii="仿宋_GB2312" w:hAnsi="黑体" w:eastAsia="仿宋_GB2312"/>
          <w:sz w:val="32"/>
          <w:szCs w:val="32"/>
          <w:u w:val="none"/>
          <w:lang w:val="en-US" w:eastAsia="zh-CN"/>
        </w:rPr>
        <w:t>是迎检次数减少</w:t>
      </w:r>
      <w:r>
        <w:rPr>
          <w:rFonts w:hint="eastAsia" w:ascii="仿宋_GB2312" w:hAnsi="黑体" w:eastAsia="仿宋_GB2312"/>
          <w:sz w:val="32"/>
          <w:szCs w:val="32"/>
          <w:u w:val="none"/>
        </w:rPr>
        <w:t>，计划接待</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批</w:t>
      </w:r>
      <w:r>
        <w:rPr>
          <w:rFonts w:hint="eastAsia" w:ascii="仿宋_GB2312" w:hAnsi="黑体" w:eastAsia="仿宋_GB2312"/>
          <w:sz w:val="32"/>
          <w:szCs w:val="32"/>
          <w:u w:val="none"/>
          <w:lang w:val="en-US" w:eastAsia="zh-CN"/>
        </w:rPr>
        <w:t>50</w:t>
      </w:r>
      <w:r>
        <w:rPr>
          <w:rFonts w:hint="eastAsia" w:ascii="仿宋_GB2312" w:hAnsi="黑体" w:eastAsia="仿宋_GB2312"/>
          <w:sz w:val="32"/>
          <w:szCs w:val="32"/>
          <w:u w:val="none"/>
        </w:rPr>
        <w:t>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eastAsia="zh-CN"/>
        </w:rPr>
        <w:t>屯昌县教育部门2026年</w:t>
      </w:r>
      <w:r>
        <w:rPr>
          <w:rFonts w:hint="eastAsia" w:ascii="仿宋_GB2312" w:hAnsi="黑体" w:eastAsia="仿宋_GB2312"/>
          <w:sz w:val="32"/>
          <w:szCs w:val="32"/>
          <w:u w:val="none"/>
        </w:rPr>
        <w:t>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屯昌县教育部门2026年</w:t>
      </w:r>
      <w:r>
        <w:rPr>
          <w:rFonts w:hint="eastAsia" w:ascii="仿宋_GB2312" w:hAnsi="黑体" w:eastAsia="仿宋_GB2312"/>
          <w:sz w:val="32"/>
          <w:szCs w:val="32"/>
          <w:u w:val="none"/>
        </w:rPr>
        <w:t>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0.83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2026年没有安排</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无</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无</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屯昌县教育部门2026年国有资本经营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bookmarkStart w:id="0" w:name="OLE_LINK1"/>
      <w:r>
        <w:rPr>
          <w:rFonts w:hint="eastAsia" w:ascii="仿宋_GB2312" w:hAnsi="黑体" w:eastAsia="仿宋_GB2312" w:cs="仿宋_GB2312"/>
          <w:sz w:val="32"/>
          <w:szCs w:val="32"/>
          <w:u w:val="none"/>
          <w:lang w:val="en-US" w:eastAsia="zh-CN"/>
        </w:rPr>
        <w:t>屯昌县教育部门</w:t>
      </w:r>
      <w:bookmarkEnd w:id="0"/>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屯昌县教育部门2026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160575.36</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cs="仿宋_GB2312"/>
          <w:sz w:val="32"/>
          <w:szCs w:val="32"/>
          <w:highlight w:val="none"/>
          <w:u w:val="none"/>
          <w:lang w:val="en-US" w:eastAsia="zh-CN"/>
        </w:rPr>
        <w:t>等</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highlight w:val="none"/>
          <w:u w:val="none"/>
          <w:lang w:val="en-US" w:eastAsia="zh-CN"/>
        </w:rPr>
        <w:t>等</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屯昌县教育部门2026年</w:t>
      </w:r>
      <w:r>
        <w:rPr>
          <w:rFonts w:hint="eastAsia" w:ascii="仿宋_GB2312" w:hAnsi="黑体" w:eastAsia="仿宋_GB2312"/>
          <w:sz w:val="32"/>
          <w:szCs w:val="32"/>
          <w:u w:val="none"/>
        </w:rPr>
        <w:t>收入预算</w:t>
      </w:r>
      <w:r>
        <w:rPr>
          <w:rFonts w:hint="eastAsia" w:ascii="仿宋_GB2312" w:hAnsi="黑体" w:eastAsia="仿宋_GB2312" w:cs="仿宋_GB2312"/>
          <w:sz w:val="32"/>
          <w:szCs w:val="32"/>
          <w:u w:val="none"/>
        </w:rPr>
        <w:t>80287.68</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1162.91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79124.77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98.55</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减少13646.08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教育系统建设、采购项目减少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both"/>
        <w:textAlignment w:val="auto"/>
        <w:rPr>
          <w:sz w:val="32"/>
          <w:szCs w:val="32"/>
        </w:rPr>
      </w:pPr>
      <w:r>
        <w:rPr>
          <w:rFonts w:hint="eastAsia" w:ascii="仿宋_GB2312" w:hAnsi="黑体" w:eastAsia="仿宋_GB2312" w:cs="仿宋_GB2312"/>
          <w:sz w:val="32"/>
          <w:szCs w:val="32"/>
          <w:u w:val="none"/>
          <w:lang w:eastAsia="zh-CN"/>
        </w:rPr>
        <w:t>屯昌县教育部门2026年</w:t>
      </w:r>
      <w:r>
        <w:rPr>
          <w:rFonts w:hint="eastAsia" w:ascii="仿宋_GB2312" w:hAnsi="黑体" w:eastAsia="仿宋_GB2312"/>
          <w:sz w:val="32"/>
          <w:szCs w:val="32"/>
          <w:u w:val="none"/>
        </w:rPr>
        <w:t>支出预算</w:t>
      </w:r>
      <w:r>
        <w:rPr>
          <w:rFonts w:hint="eastAsia" w:ascii="仿宋_GB2312" w:hAnsi="黑体" w:eastAsia="仿宋_GB2312" w:cs="仿宋_GB2312"/>
          <w:sz w:val="32"/>
          <w:szCs w:val="32"/>
          <w:u w:val="none"/>
        </w:rPr>
        <w:t>79856.68</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63809.95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79.91</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16046.73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20.09</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减少12677.08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教育系统建设、采购项目减少</w:t>
      </w:r>
      <w:r>
        <w:rPr>
          <w:rFonts w:hint="eastAsia" w:ascii="仿宋_GB2312" w:hAnsi="宋体" w:eastAsia="仿宋_GB2312" w:cs="仿宋_GB2312"/>
          <w:kern w:val="2"/>
          <w:sz w:val="32"/>
          <w:szCs w:val="32"/>
          <w:lang w:val="en-US" w:eastAsia="zh-CN" w:bidi="ar"/>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屯昌县教育部门</w:t>
      </w:r>
      <w:r>
        <w:rPr>
          <w:rFonts w:hint="eastAsia" w:ascii="仿宋_GB2312" w:hAnsi="黑体" w:eastAsia="仿宋_GB2312" w:cs="仿宋_GB2312"/>
          <w:sz w:val="32"/>
          <w:szCs w:val="32"/>
          <w:u w:val="none"/>
        </w:rPr>
        <w:t>的机关运行经费预算497.82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68.22</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屯昌县教育部门</w:t>
      </w: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eastAsia="zh-CN"/>
        </w:rPr>
        <w:t>屯昌县教育部门</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辆，其中其他用车</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屯昌县教育部门</w:t>
      </w:r>
      <w:r>
        <w:rPr>
          <w:rFonts w:hint="eastAsia" w:ascii="仿宋_GB2312" w:hAnsi="黑体" w:eastAsia="仿宋_GB2312" w:cs="仿宋_GB2312"/>
          <w:sz w:val="32"/>
          <w:szCs w:val="32"/>
          <w:u w:val="none"/>
          <w:lang w:val="en-US" w:eastAsia="zh-CN"/>
        </w:rPr>
        <w:t>673</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78693.77</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仿宋_GB2312" w:hAnsi="黑体" w:eastAsia="仿宋_GB2312" w:cs="仿宋_GB2312"/>
          <w:sz w:val="32"/>
          <w:szCs w:val="32"/>
          <w:u w:val="none"/>
          <w:lang w:val="en-US" w:eastAsia="zh-CN"/>
        </w:rPr>
      </w:pPr>
      <w:bookmarkStart w:id="1" w:name="_GoBack"/>
      <w:bookmarkEnd w:id="1"/>
    </w:p>
    <w:p>
      <w:pPr>
        <w:keepNext w:val="0"/>
        <w:keepLines w:val="0"/>
        <w:pageBreakBefore w:val="0"/>
        <w:kinsoku/>
        <w:wordWrap/>
        <w:overflowPunct/>
        <w:topLinePunct w:val="0"/>
        <w:autoSpaceDE/>
        <w:autoSpaceDN/>
        <w:bidi w:val="0"/>
        <w:adjustRightInd/>
        <w:snapToGrid/>
        <w:spacing w:line="590" w:lineRule="exact"/>
        <w:jc w:val="center"/>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3BE0465"/>
    <w:rsid w:val="03BE4555"/>
    <w:rsid w:val="087C03B6"/>
    <w:rsid w:val="0D7F66E0"/>
    <w:rsid w:val="20CF76FF"/>
    <w:rsid w:val="2CD963E1"/>
    <w:rsid w:val="3BFE1E7A"/>
    <w:rsid w:val="3D2B57FD"/>
    <w:rsid w:val="415D6A9A"/>
    <w:rsid w:val="45D36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子净</cp:lastModifiedBy>
  <dcterms:modified xsi:type="dcterms:W3CDTF">2026-03-05T02:01:23Z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