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屯昌县教育局本级</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240" w:lineRule="auto"/>
        <w:jc w:val="center"/>
        <w:rPr>
          <w:rFonts w:hint="eastAsia" w:ascii="黑体" w:hAnsi="黑体" w:eastAsia="黑体"/>
          <w:sz w:val="52"/>
          <w:szCs w:val="52"/>
          <w:u w:val="none"/>
        </w:rPr>
        <w:sectPr>
          <w:pgSz w:w="11906" w:h="16838"/>
          <w:pgMar w:top="1928" w:right="1474" w:bottom="1701" w:left="1587" w:header="851" w:footer="992" w:gutter="0"/>
          <w:pgNumType w:fmt="decimal"/>
          <w:cols w:space="720" w:num="1"/>
          <w:docGrid w:type="lines" w:linePitch="312" w:charSpace="0"/>
        </w:sectPr>
      </w:pP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屯昌县</w:t>
      </w:r>
      <w:r>
        <w:rPr>
          <w:rFonts w:hint="eastAsia" w:ascii="方正黑体_GBK" w:hAnsi="方正黑体_GBK" w:eastAsia="方正黑体_GBK" w:cs="方正黑体_GBK"/>
          <w:sz w:val="32"/>
          <w:szCs w:val="32"/>
          <w:u w:val="none"/>
          <w:lang w:val="en-US" w:eastAsia="zh-CN"/>
        </w:rPr>
        <w:t>教育局</w:t>
      </w:r>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屯昌县教育局</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4"/>
        <w:widowControl/>
        <w:spacing w:beforeAutospacing="0" w:afterAutospacing="0"/>
        <w:ind w:firstLine="640" w:firstLineChars="200"/>
        <w:jc w:val="both"/>
        <w:rPr>
          <w:rFonts w:ascii="仿宋_GB2312" w:hAnsi="仿宋_GB2312" w:eastAsia="仿宋_GB2312" w:cs="仿宋_GB2312"/>
          <w:sz w:val="32"/>
          <w:szCs w:val="32"/>
        </w:rPr>
      </w:pPr>
      <w:bookmarkStart w:id="0" w:name="OLE_LINK1"/>
      <w:r>
        <w:rPr>
          <w:rFonts w:ascii="仿宋_GB2312" w:hAnsi="仿宋_GB2312" w:eastAsia="仿宋_GB2312" w:cs="仿宋_GB2312"/>
          <w:sz w:val="32"/>
          <w:szCs w:val="32"/>
        </w:rPr>
        <w:t>（一）贯彻执行党和国家的教育、科技创新工作的方针、政策、法律、法规；落实县委县政府和县委教育工作领导小组的决策部署、中国（海南）自由贸易试验区和中国特色自由贸易港政策措施。</w:t>
      </w:r>
    </w:p>
    <w:p>
      <w:pPr>
        <w:pStyle w:val="4"/>
        <w:widowControl/>
        <w:spacing w:beforeAutospacing="0" w:afterAutospacing="0"/>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（二）负责对全县各级各类学校贯彻落实中央、省委关于加强党的建设和思想政治工作的方针政策和县委有关决策部署情况进行检查、指导与督促；领导局机关及所属单位（学校）党组织的工作。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三）研究拟订教育改革与发展的政策、计划、规划并组织实施。指导全县各级各类学校的教育教学改革与发展，研究提出有关教育工作的意见和建议。统筹规划和协调管理全县各级各类教育资源，指导监督全县各级各类学校及其他教育机构的设置。统筹协调全县教育信息化建设工作。 负责教育基本信息的统计、分析和发布。</w:t>
      </w:r>
    </w:p>
    <w:p>
      <w:pPr>
        <w:pStyle w:val="4"/>
        <w:widowControl/>
        <w:spacing w:beforeAutospacing="0" w:afterAutospacing="0"/>
        <w:ind w:firstLine="640" w:firstLineChars="200"/>
        <w:jc w:val="both"/>
      </w:pPr>
      <w:r>
        <w:rPr>
          <w:rFonts w:ascii="仿宋_GB2312" w:hAnsi="仿宋_GB2312" w:eastAsia="仿宋_GB2312" w:cs="仿宋_GB2312"/>
          <w:sz w:val="32"/>
          <w:szCs w:val="32"/>
        </w:rPr>
        <w:t>（四）依法组织实施对全县各级各类学校及其他教育机构督导评估和检查验收工作。负责对各镇人民政府履行教育职责、各级各类教育机构及其他教育机构的办学情况进行督导、检查、评估。监测全县各级各类教育发展水平和质量。 负责组织全县教育重大事项的专项督导。</w:t>
      </w:r>
    </w:p>
    <w:p>
      <w:pPr>
        <w:pStyle w:val="4"/>
        <w:widowControl/>
        <w:spacing w:beforeAutospacing="0" w:afterAutospacing="0"/>
        <w:ind w:firstLine="640" w:firstLineChars="200"/>
        <w:jc w:val="both"/>
      </w:pPr>
      <w:r>
        <w:rPr>
          <w:rFonts w:ascii="仿宋_GB2312" w:hAnsi="仿宋_GB2312" w:eastAsia="仿宋_GB2312" w:cs="仿宋_GB2312"/>
          <w:sz w:val="32"/>
          <w:szCs w:val="32"/>
        </w:rPr>
        <w:t>（五）负责推进义务教育均衡发展， 促进教育公平。 统筹指导少数民族教育工作，协调对少数民族地区教育的扶持与援助。负责全县幼儿教育、义务教育、普通高中教育、特殊教育和校外教育的统筹管理工作，全面实施素质教育。</w:t>
      </w:r>
    </w:p>
    <w:p>
      <w:pPr>
        <w:pStyle w:val="4"/>
        <w:widowControl/>
        <w:spacing w:beforeAutospacing="0" w:afterAutospacing="0"/>
        <w:ind w:firstLine="640" w:firstLineChars="200"/>
        <w:jc w:val="both"/>
      </w:pPr>
      <w:r>
        <w:rPr>
          <w:rFonts w:ascii="仿宋_GB2312" w:hAnsi="仿宋_GB2312" w:eastAsia="仿宋_GB2312" w:cs="仿宋_GB2312"/>
          <w:sz w:val="32"/>
          <w:szCs w:val="32"/>
        </w:rPr>
        <w:t>（六）负责全县教学教研、教学信息化建设管理等工作；统筹管理本部门教育经费及县外对本县的教育援助、教育贷款；参与拟订教育经费筹措、教育拨款、教育基建投资、教育收费的政策规定；监测全县教育经费的筹措和使用情况； 组织管理全县学生资助工作；协调开展全县教育系统内部审计工作。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（七）指导全县各级各类学校思想政治工作、德育工作、 法制宣传教育工作、体育卫生与美育工作、劳动教育及国防教育工作。指导、协调教育系统维护稳定以及学校安全工作。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八）主管全县教师和外国专家工作。统筹协调各级各类学校校长、教师培训和教师教育，指导教师资格制度、教师专业技术职务制度的实施。指导全县各级各类学校人事制度改革工作，推进全县教育领域人才及外国专家队伍建设。</w:t>
      </w:r>
    </w:p>
    <w:p>
      <w:pPr>
        <w:pStyle w:val="4"/>
        <w:widowControl/>
        <w:spacing w:beforeAutospacing="0" w:afterAutospacing="0"/>
        <w:ind w:firstLine="640" w:firstLineChars="200"/>
        <w:jc w:val="both"/>
      </w:pPr>
      <w:r>
        <w:rPr>
          <w:rFonts w:ascii="仿宋_GB2312" w:hAnsi="仿宋_GB2312" w:eastAsia="仿宋_GB2312" w:cs="仿宋_GB2312"/>
          <w:sz w:val="32"/>
          <w:szCs w:val="32"/>
        </w:rPr>
        <w:t>（九）负责全县中小学的学籍管理工作，指导义务教育和学前教育的学籍管理工作。负责招生考务工作。制定实施中小学招生改革方案，制订中小学招生计划并负责组织实施。负责中小学校和高中毕业证书的验印和发放。</w:t>
      </w:r>
    </w:p>
    <w:p>
      <w:pPr>
        <w:pStyle w:val="4"/>
        <w:widowControl/>
        <w:spacing w:beforeAutospacing="0" w:afterAutospacing="0"/>
        <w:ind w:firstLine="640" w:firstLineChars="200"/>
        <w:jc w:val="both"/>
      </w:pPr>
      <w:r>
        <w:rPr>
          <w:rFonts w:ascii="仿宋_GB2312" w:hAnsi="仿宋_GB2312" w:eastAsia="仿宋_GB2312" w:cs="仿宋_GB2312"/>
          <w:sz w:val="32"/>
          <w:szCs w:val="32"/>
        </w:rPr>
        <w:t>（十）加强教育领域对外开放。组织和开展国内外教育交流与合作。</w:t>
      </w:r>
    </w:p>
    <w:p>
      <w:pPr>
        <w:pStyle w:val="4"/>
        <w:widowControl/>
        <w:spacing w:beforeAutospacing="0" w:afterAutospacing="0"/>
        <w:ind w:firstLine="640" w:firstLineChars="200"/>
        <w:jc w:val="both"/>
      </w:pPr>
      <w:r>
        <w:rPr>
          <w:rFonts w:ascii="仿宋_GB2312" w:hAnsi="仿宋_GB2312" w:eastAsia="仿宋_GB2312" w:cs="仿宋_GB2312"/>
          <w:sz w:val="32"/>
          <w:szCs w:val="32"/>
        </w:rPr>
        <w:t>（十一）承担全县语言文字的管理工作。制订全县语言文字中长期规划并组织实施，指导语言文字规范化建设，监督检查语言文字的应用情况，负责普通话推广和普通话水平测试管理工作。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（十二）管理全县科技成果、科技奖励、科技保密、技术市场等工作；促进科技咨询、科技评估、专利服务、技术交易等社会中介组织的发展，推动科技服务体系的建设。</w:t>
      </w:r>
    </w:p>
    <w:p>
      <w:pPr>
        <w:pStyle w:val="7"/>
        <w:numPr>
          <w:ilvl w:val="0"/>
          <w:numId w:val="0"/>
        </w:numPr>
        <w:spacing w:line="578" w:lineRule="exact"/>
        <w:ind w:leftChars="0" w:firstLine="640" w:firstLineChars="200"/>
        <w:jc w:val="both"/>
        <w:rPr>
          <w:rFonts w:ascii="黑体" w:hAnsi="黑体" w:eastAsia="黑体" w:cs="仿宋_GB2312"/>
          <w:sz w:val="32"/>
          <w:szCs w:val="32"/>
        </w:rPr>
      </w:pPr>
      <w:r>
        <w:rPr>
          <w:rFonts w:ascii="仿宋_GB2312" w:hAnsi="仿宋_GB2312" w:eastAsia="仿宋_GB2312" w:cs="仿宋_GB2312"/>
          <w:sz w:val="32"/>
          <w:szCs w:val="32"/>
        </w:rPr>
        <w:t>（十三）承办县委、县政府和上级部门交办的其他任务。</w:t>
      </w:r>
      <w:bookmarkEnd w:id="0"/>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u w:val="none"/>
          <w:lang w:val="en-US" w:eastAsia="zh-CN"/>
        </w:rPr>
        <w:t>屯昌县教育局</w:t>
      </w:r>
      <w:r>
        <w:rPr>
          <w:rFonts w:hint="eastAsia" w:ascii="仿宋_GB2312" w:hAnsi="黑体" w:eastAsia="仿宋_GB2312" w:cs="仿宋_GB2312"/>
          <w:sz w:val="32"/>
          <w:szCs w:val="32"/>
          <w:highlight w:val="none"/>
          <w:u w:val="none"/>
          <w:lang w:val="en-US" w:eastAsia="zh-CN"/>
        </w:rPr>
        <w:t>内设8个股室，包括行政室、督导室、人事室、基教室、计财室、体卫艺室、安全室、教育综合服务中心。</w:t>
      </w: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pPr>
        <w:pStyle w:val="7"/>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屯昌县教育局2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31354.82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增加812.35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双普工作费用增加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15677.41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15182.67</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494.74</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15677.41</w:t>
      </w:r>
      <w:r>
        <w:rPr>
          <w:rFonts w:hint="eastAsia" w:ascii="仿宋_GB2312" w:hAnsi="黑体" w:eastAsia="仿宋_GB2312"/>
          <w:color w:val="auto"/>
          <w:sz w:val="32"/>
          <w:szCs w:val="32"/>
          <w:u w:val="none"/>
        </w:rPr>
        <w:t>万元，包括一般公共服务支出47.99</w:t>
      </w:r>
      <w:r>
        <w:rPr>
          <w:rFonts w:hint="eastAsia" w:ascii="仿宋_GB2312" w:hAnsi="黑体" w:eastAsia="仿宋_GB2312"/>
          <w:color w:val="auto"/>
          <w:sz w:val="32"/>
          <w:szCs w:val="32"/>
          <w:u w:val="none"/>
          <w:lang w:val="en-US" w:eastAsia="zh-CN"/>
        </w:rPr>
        <w:t>万元、 教育支出</w:t>
      </w:r>
      <w:r>
        <w:rPr>
          <w:rFonts w:hint="eastAsia" w:ascii="仿宋_GB2312" w:hAnsi="黑体" w:eastAsia="仿宋_GB2312" w:cs="仿宋_GB2312"/>
          <w:color w:val="auto"/>
          <w:sz w:val="32"/>
          <w:szCs w:val="32"/>
          <w:u w:val="none"/>
        </w:rPr>
        <w:t>15417.14</w:t>
      </w:r>
      <w:r>
        <w:rPr>
          <w:rFonts w:hint="eastAsia" w:ascii="仿宋_GB2312" w:hAnsi="黑体" w:eastAsia="仿宋_GB2312"/>
          <w:color w:val="auto"/>
          <w:sz w:val="32"/>
          <w:szCs w:val="32"/>
          <w:u w:val="none"/>
        </w:rPr>
        <w:t>万元、 社会保障和就业支出70.32</w:t>
      </w:r>
      <w:r>
        <w:rPr>
          <w:rFonts w:hint="eastAsia" w:ascii="仿宋_GB2312" w:hAnsi="黑体" w:eastAsia="仿宋_GB2312"/>
          <w:color w:val="auto"/>
          <w:sz w:val="32"/>
          <w:szCs w:val="32"/>
          <w:u w:val="none"/>
          <w:lang w:val="en-US" w:eastAsia="zh-CN"/>
        </w:rPr>
        <w:t>万元、 卫生健康支出107.02万元、住房保障支出34.95万元</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屯昌县教育局本级</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rPr>
        <w:t>15677.41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增加405.76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双普工作费用增加</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default" w:ascii="仿宋_GB2312" w:hAnsi="黑体" w:eastAsia="仿宋_GB2312"/>
          <w:sz w:val="32"/>
          <w:szCs w:val="32"/>
          <w:u w:val="none"/>
          <w:lang w:val="en-US" w:eastAsia="zh-CN"/>
        </w:rPr>
      </w:pPr>
      <w:r>
        <w:rPr>
          <w:rFonts w:hint="eastAsia" w:ascii="仿宋_GB2312" w:hAnsi="黑体" w:eastAsia="仿宋_GB2312" w:cs="仿宋_GB2312"/>
          <w:sz w:val="32"/>
          <w:szCs w:val="32"/>
          <w:u w:val="none"/>
        </w:rPr>
        <w:t>一般公共服务（类）支出47.99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0.31</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支出15417.14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98.34</w:t>
      </w:r>
      <w:r>
        <w:rPr>
          <w:rFonts w:hint="eastAsia" w:ascii="仿宋_GB2312" w:hAnsi="黑体" w:eastAsia="仿宋_GB2312"/>
          <w:sz w:val="32"/>
          <w:szCs w:val="32"/>
          <w:u w:val="none"/>
        </w:rPr>
        <w:t>%； 社会保障和就业支出卫生健康支出70.32</w:t>
      </w:r>
      <w:r>
        <w:rPr>
          <w:rFonts w:hint="eastAsia" w:ascii="仿宋_GB2312" w:hAnsi="黑体" w:eastAsia="仿宋_GB2312"/>
          <w:sz w:val="32"/>
          <w:szCs w:val="32"/>
          <w:u w:val="none"/>
          <w:lang w:val="en-US" w:eastAsia="zh-CN"/>
        </w:rPr>
        <w:t>万元，占0.45%；</w:t>
      </w:r>
      <w:r>
        <w:rPr>
          <w:rFonts w:hint="eastAsia" w:ascii="仿宋_GB2312" w:hAnsi="黑体" w:eastAsia="仿宋_GB2312" w:cs="仿宋_GB2312"/>
          <w:sz w:val="32"/>
          <w:szCs w:val="32"/>
          <w:u w:val="none"/>
        </w:rPr>
        <w:t>107.02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0.68</w:t>
      </w:r>
      <w:r>
        <w:rPr>
          <w:rFonts w:hint="eastAsia" w:ascii="仿宋_GB2312" w:hAnsi="黑体" w:eastAsia="仿宋_GB2312"/>
          <w:sz w:val="32"/>
          <w:szCs w:val="32"/>
          <w:u w:val="none"/>
        </w:rPr>
        <w:t>%；住房保障支出34.95</w:t>
      </w:r>
      <w:r>
        <w:rPr>
          <w:rFonts w:hint="eastAsia" w:ascii="仿宋_GB2312" w:hAnsi="黑体" w:eastAsia="仿宋_GB2312"/>
          <w:sz w:val="32"/>
          <w:szCs w:val="32"/>
          <w:u w:val="none"/>
          <w:lang w:val="en-US" w:eastAsia="zh-CN"/>
        </w:rPr>
        <w:t>万元，占0.22%。</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1.</w:t>
      </w:r>
      <w:r>
        <w:rPr>
          <w:rFonts w:hint="eastAsia" w:ascii="仿宋_GB2312" w:hAnsi="黑体" w:eastAsia="仿宋_GB2312" w:cs="仿宋_GB2312"/>
          <w:sz w:val="32"/>
          <w:szCs w:val="32"/>
        </w:rPr>
        <w:t>一般公共服务（类）其他共产党事务支出（款）其他共产党事务支出（项）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47.99</w:t>
      </w:r>
      <w:r>
        <w:rPr>
          <w:rFonts w:hint="eastAsia" w:ascii="仿宋_GB2312" w:hAnsi="黑体" w:eastAsia="仿宋_GB2312"/>
          <w:sz w:val="32"/>
          <w:szCs w:val="32"/>
        </w:rPr>
        <w:t>万元，比上年</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了</w:t>
      </w:r>
      <w:r>
        <w:rPr>
          <w:rFonts w:hint="eastAsia" w:ascii="仿宋_GB2312" w:hAnsi="黑体" w:eastAsia="仿宋_GB2312"/>
          <w:sz w:val="32"/>
          <w:szCs w:val="32"/>
          <w:lang w:val="en-US" w:eastAsia="zh-CN"/>
        </w:rPr>
        <w:t>0.16</w:t>
      </w:r>
      <w:r>
        <w:rPr>
          <w:rFonts w:hint="eastAsia" w:ascii="仿宋_GB2312" w:hAnsi="黑体" w:eastAsia="仿宋_GB2312"/>
          <w:sz w:val="32"/>
          <w:szCs w:val="32"/>
        </w:rPr>
        <w:t>元，主要原因是党建经费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u w:val="none"/>
        </w:rPr>
        <w:t>2.</w:t>
      </w:r>
      <w:r>
        <w:rPr>
          <w:rFonts w:hint="eastAsia" w:ascii="仿宋_GB2312" w:hAnsi="黑体" w:eastAsia="仿宋_GB2312" w:cs="仿宋_GB2312"/>
          <w:sz w:val="32"/>
          <w:szCs w:val="32"/>
        </w:rPr>
        <w:t>（1）教育支出（类）教育管理事务（款）</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预算数为370.07万元，比上年预算数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14.43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教育经费减少</w:t>
      </w:r>
      <w:r>
        <w:rPr>
          <w:rFonts w:hint="eastAsia" w:ascii="仿宋_GB2312" w:hAnsi="黑体" w:eastAsia="仿宋_GB2312"/>
          <w:sz w:val="32"/>
          <w:szCs w:val="32"/>
        </w:rPr>
        <w:t>；（2）</w:t>
      </w:r>
      <w:r>
        <w:rPr>
          <w:rFonts w:hint="eastAsia" w:ascii="仿宋_GB2312" w:hAnsi="黑体" w:eastAsia="仿宋_GB2312" w:cs="仿宋_GB2312"/>
          <w:sz w:val="32"/>
          <w:szCs w:val="32"/>
        </w:rPr>
        <w:t>教育支出（类）普通教育（款）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14815.42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lang w:eastAsia="zh-CN"/>
        </w:rPr>
        <w:t>594.94</w:t>
      </w:r>
      <w:r>
        <w:rPr>
          <w:rFonts w:hint="eastAsia" w:ascii="仿宋_GB2312" w:hAnsi="黑体" w:eastAsia="仿宋_GB2312"/>
          <w:sz w:val="32"/>
          <w:szCs w:val="32"/>
        </w:rPr>
        <w:t>万元，主要是</w:t>
      </w:r>
      <w:r>
        <w:rPr>
          <w:rFonts w:hint="eastAsia" w:ascii="仿宋_GB2312" w:hAnsi="黑体" w:eastAsia="仿宋_GB2312"/>
          <w:sz w:val="32"/>
          <w:szCs w:val="32"/>
          <w:u w:val="none"/>
          <w:lang w:val="en-US" w:eastAsia="zh-CN"/>
        </w:rPr>
        <w:t>双普工作费用增加</w:t>
      </w:r>
      <w:r>
        <w:rPr>
          <w:rFonts w:hint="eastAsia" w:ascii="仿宋_GB2312" w:hAnsi="黑体" w:eastAsia="仿宋_GB2312"/>
          <w:sz w:val="32"/>
          <w:szCs w:val="32"/>
        </w:rPr>
        <w:t>；（3）</w:t>
      </w:r>
      <w:r>
        <w:rPr>
          <w:rFonts w:hint="eastAsia" w:ascii="仿宋_GB2312" w:hAnsi="黑体" w:eastAsia="仿宋_GB2312" w:cs="仿宋_GB2312"/>
          <w:sz w:val="32"/>
          <w:szCs w:val="32"/>
        </w:rPr>
        <w:t>教育支出（类）特殊教育（款）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预算数为85.22万元，比上年预算数</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196.57万元，主要是特殊教育经费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教育支出（类）其他教育支出（款）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146.43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增加38.35</w:t>
      </w:r>
      <w:r>
        <w:rPr>
          <w:rFonts w:hint="eastAsia" w:ascii="仿宋_GB2312" w:hAnsi="黑体" w:eastAsia="仿宋_GB2312"/>
          <w:sz w:val="32"/>
          <w:szCs w:val="32"/>
        </w:rPr>
        <w:t>万元，主</w:t>
      </w:r>
      <w:r>
        <w:rPr>
          <w:rFonts w:hint="eastAsia" w:ascii="仿宋_GB2312" w:hAnsi="黑体" w:eastAsia="仿宋_GB2312" w:cs="仿宋_GB2312"/>
          <w:sz w:val="32"/>
          <w:szCs w:val="32"/>
        </w:rPr>
        <w:t>要是教育</w:t>
      </w:r>
      <w:r>
        <w:rPr>
          <w:rFonts w:hint="eastAsia" w:ascii="仿宋_GB2312" w:hAnsi="黑体" w:eastAsia="仿宋_GB2312" w:cs="仿宋_GB2312"/>
          <w:sz w:val="32"/>
          <w:szCs w:val="32"/>
          <w:lang w:eastAsia="zh-CN"/>
        </w:rPr>
        <w:t>支出项目</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社会保障和就业支出（类）行政事业单位养老支出（款）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68.02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减少1.02</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社会保障和就业支出（类）抚恤（款）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2.3万元，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减少0.34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抚恤金标准降低</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.卫生健康支出</w:t>
      </w:r>
      <w:r>
        <w:rPr>
          <w:rFonts w:hint="eastAsia" w:ascii="仿宋_GB2312" w:hAnsi="黑体" w:eastAsia="仿宋_GB2312" w:cs="仿宋_GB2312"/>
          <w:sz w:val="32"/>
          <w:szCs w:val="32"/>
        </w:rPr>
        <w:t>（类）行政事业单位医疗（款）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预算数为107.02万元，比上年预算数</w:t>
      </w:r>
      <w:r>
        <w:rPr>
          <w:rFonts w:hint="eastAsia" w:ascii="仿宋_GB2312" w:hAnsi="黑体" w:eastAsia="仿宋_GB2312"/>
          <w:sz w:val="32"/>
          <w:szCs w:val="32"/>
          <w:lang w:val="en-US" w:eastAsia="zh-CN"/>
        </w:rPr>
        <w:t>减少12.73</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rPr>
        <w:t>6.住房保障支出</w:t>
      </w:r>
      <w:r>
        <w:rPr>
          <w:rFonts w:hint="eastAsia" w:ascii="仿宋_GB2312" w:hAnsi="黑体" w:eastAsia="仿宋_GB2312" w:cs="仿宋_GB2312"/>
          <w:sz w:val="32"/>
          <w:szCs w:val="32"/>
        </w:rPr>
        <w:t>（类）住房改革支出（款）住房公积金（项）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34.95万元，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减少1.44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572.44</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537.46</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val="en-US" w:eastAsia="zh-CN"/>
        </w:rPr>
        <w:t>等</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34.98</w:t>
      </w:r>
      <w:r>
        <w:rPr>
          <w:rFonts w:hint="eastAsia" w:ascii="仿宋_GB2312" w:hAnsi="黑体" w:eastAsia="仿宋_GB2312"/>
          <w:sz w:val="32"/>
          <w:szCs w:val="32"/>
          <w:u w:val="none"/>
        </w:rPr>
        <w:t>万元，主要包括：办公费、咨询费、手续费、水费、电费</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工会费等</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屯昌县教育局2026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2.6</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2</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2</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公务车保有量</w:t>
      </w:r>
      <w:r>
        <w:rPr>
          <w:rFonts w:hint="eastAsia" w:ascii="仿宋_GB2312" w:hAnsi="黑体" w:eastAsia="仿宋_GB2312"/>
          <w:sz w:val="32"/>
          <w:szCs w:val="32"/>
          <w:u w:val="none"/>
          <w:lang w:val="en-US" w:eastAsia="zh-CN"/>
        </w:rPr>
        <w:t>1</w:t>
      </w:r>
      <w:r>
        <w:rPr>
          <w:rFonts w:hint="eastAsia" w:ascii="仿宋_GB2312" w:hAnsi="黑体" w:eastAsia="仿宋_GB2312"/>
          <w:sz w:val="32"/>
          <w:szCs w:val="32"/>
          <w:u w:val="none"/>
        </w:rPr>
        <w:t>辆，计划购置</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辆</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0.6</w:t>
      </w:r>
      <w:r>
        <w:rPr>
          <w:rFonts w:hint="eastAsia" w:ascii="仿宋_GB2312" w:hAnsi="黑体" w:eastAsia="仿宋_GB2312"/>
          <w:sz w:val="32"/>
          <w:szCs w:val="32"/>
          <w:u w:val="none"/>
        </w:rPr>
        <w:t>万元，较上年预算下降</w:t>
      </w:r>
      <w:r>
        <w:rPr>
          <w:rFonts w:hint="eastAsia" w:ascii="仿宋_GB2312" w:hAnsi="黑体" w:eastAsia="仿宋_GB2312"/>
          <w:sz w:val="32"/>
          <w:szCs w:val="32"/>
          <w:u w:val="none"/>
          <w:lang w:val="en-US" w:eastAsia="zh-CN"/>
        </w:rPr>
        <w:t>25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下降的主要原因</w:t>
      </w:r>
      <w:r>
        <w:rPr>
          <w:rFonts w:hint="eastAsia" w:ascii="仿宋_GB2312" w:hAnsi="黑体" w:eastAsia="仿宋_GB2312"/>
          <w:sz w:val="32"/>
          <w:szCs w:val="32"/>
          <w:u w:val="none"/>
          <w:lang w:val="en-US" w:eastAsia="zh-CN"/>
        </w:rPr>
        <w:t>是迎检次数减少</w:t>
      </w:r>
      <w:r>
        <w:rPr>
          <w:rFonts w:hint="eastAsia" w:ascii="仿宋_GB2312" w:hAnsi="黑体" w:eastAsia="仿宋_GB2312"/>
          <w:sz w:val="32"/>
          <w:szCs w:val="32"/>
          <w:u w:val="none"/>
        </w:rPr>
        <w:t>，计划接待</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批</w:t>
      </w:r>
      <w:r>
        <w:rPr>
          <w:rFonts w:hint="eastAsia" w:ascii="仿宋_GB2312" w:hAnsi="黑体" w:eastAsia="仿宋_GB2312"/>
          <w:sz w:val="32"/>
          <w:szCs w:val="32"/>
          <w:u w:val="none"/>
          <w:lang w:val="en-US" w:eastAsia="zh-CN"/>
        </w:rPr>
        <w:t>50</w:t>
      </w:r>
      <w:r>
        <w:rPr>
          <w:rFonts w:hint="eastAsia" w:ascii="仿宋_GB2312" w:hAnsi="黑体" w:eastAsia="仿宋_GB2312"/>
          <w:sz w:val="32"/>
          <w:szCs w:val="32"/>
          <w:u w:val="none"/>
        </w:rPr>
        <w:t>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val="en-US" w:eastAsia="zh-CN"/>
        </w:rPr>
        <w:t>屯昌县教育局</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0.83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2026年没有安排</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bookmarkStart w:id="1" w:name="_GoBack"/>
      <w:r>
        <w:rPr>
          <w:rFonts w:hint="eastAsia" w:ascii="仿宋_GB2312" w:hAnsi="黑体" w:eastAsia="仿宋_GB2312" w:cs="仿宋_GB2312"/>
          <w:sz w:val="32"/>
          <w:szCs w:val="32"/>
          <w:u w:val="none"/>
          <w:lang w:val="en-US" w:eastAsia="zh-CN"/>
        </w:rPr>
        <w:t>无</w:t>
      </w:r>
      <w:r>
        <w:rPr>
          <w:rFonts w:hint="eastAsia" w:ascii="仿宋_GB2312" w:hAnsi="黑体" w:eastAsia="仿宋_GB2312"/>
          <w:sz w:val="32"/>
          <w:szCs w:val="32"/>
          <w:u w:val="none"/>
        </w:rPr>
        <w:t>。</w:t>
      </w:r>
    </w:p>
    <w:bookmarkEnd w:id="1"/>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 xml:space="preserve"> 无。</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31461.92</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cs="仿宋_GB2312"/>
          <w:sz w:val="32"/>
          <w:szCs w:val="32"/>
          <w:highlight w:val="none"/>
          <w:u w:val="none"/>
          <w:lang w:val="en-US" w:eastAsia="zh-CN"/>
        </w:rPr>
        <w:t>等</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highlight w:val="none"/>
          <w:u w:val="none"/>
          <w:lang w:val="en-US" w:eastAsia="zh-CN"/>
        </w:rPr>
        <w:t>等</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15730.96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494.74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3.15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15182.67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96.51</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其他收入53.55万元，占0.34%；</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增加420.88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双普工作费用增加</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sz w:val="32"/>
          <w:szCs w:val="32"/>
        </w:rPr>
      </w:pP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15730.96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572.44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3.64</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15158.53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96.36</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增加420.88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双普工作费用增加</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rPr>
        <w:t>的机关运行经费预算34.98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0.91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工会经费标准提高</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2025年</w:t>
      </w:r>
      <w:r>
        <w:rPr>
          <w:rFonts w:hint="eastAsia" w:ascii="仿宋_GB2312" w:hAnsi="黑体" w:eastAsia="仿宋_GB2312"/>
          <w:sz w:val="32"/>
          <w:szCs w:val="32"/>
          <w:highlight w:val="none"/>
          <w:u w:val="none"/>
        </w:rPr>
        <w:t>12月31日，</w:t>
      </w:r>
      <w:r>
        <w:rPr>
          <w:rFonts w:hint="eastAsia" w:ascii="仿宋_GB2312" w:hAnsi="黑体" w:eastAsia="仿宋_GB2312"/>
          <w:sz w:val="32"/>
          <w:szCs w:val="32"/>
          <w:u w:val="none"/>
          <w:lang w:val="en-US" w:eastAsia="zh-CN"/>
        </w:rPr>
        <w:t>屯昌县教育局</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辆，其中其他用车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 w:hAnsi="仿宋" w:eastAsia="仿宋" w:cs="仿宋"/>
          <w:sz w:val="32"/>
          <w:szCs w:val="32"/>
          <w:lang w:eastAsia="zh-CN"/>
        </w:rPr>
        <w:t>屯昌县教育局</w:t>
      </w:r>
      <w:r>
        <w:rPr>
          <w:rFonts w:hint="eastAsia" w:ascii="仿宋" w:hAnsi="仿宋" w:eastAsia="仿宋" w:cs="仿宋"/>
          <w:sz w:val="32"/>
          <w:szCs w:val="32"/>
          <w:lang w:val="en-US" w:eastAsia="zh-CN"/>
        </w:rPr>
        <w:t>46</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14699.16</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b w:val="0"/>
          <w:bCs/>
          <w:sz w:val="32"/>
          <w:szCs w:val="32"/>
          <w:u w:val="none"/>
          <w:lang w:eastAsia="zh-CN"/>
        </w:rPr>
      </w:pPr>
      <w:r>
        <w:rPr>
          <w:rFonts w:hint="eastAsia" w:ascii="仿宋_GB2312" w:hAnsi="黑体" w:eastAsia="仿宋_GB2312"/>
          <w:sz w:val="32"/>
          <w:szCs w:val="32"/>
          <w:u w:val="none"/>
          <w:lang w:val="en-US" w:eastAsia="zh-CN"/>
        </w:rPr>
        <w:t>无。</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Ov+X/4YAgAAEwQAAA4AAABkcnMvZTJvRG9jLnhtbK1TS44TMRDd&#10;I3EHy3vS+YgEonRGYUZBSBEz0oBYO247bcl2GdtJdzgA3IDVbNhzrpyDsjud4bdCbNzV9a9XrxZX&#10;rdHkIHxQYEs6GgwpEZZDpeyupO/frZ+9oCREZiumwYqSHkWgV8unTxaNm4sx1KAr4QkmsWHeuJLW&#10;Mbp5UQReC8PCAJywaJTgDYv463dF5VmD2Y0uxsPhtGjAV84DFyGg9qYz0mXOL6Xg8VbKICLRJcXe&#10;Yn59frfpLZYLNt955mrFz22wf+jCMGWx6CXVDYuM7L36I5VR3EMAGQccTAFSKi7yDDjNaPjbNPc1&#10;cyLPguAEd4Ep/L+0/O3hzhNVlXRMiWUGV3T6+uX08P307TMZJ3gaF+bode/QL7avoMU19/qAyjR1&#10;K71JX5yHoB2BPl7AFW0kHJWzl5PZc7RwNE3Gs+k0g188Bjsf4msBhiShpB53lyFlh02I2Ai69i6p&#10;loW10jrvT1vSlHQ6wfS/WDBCWwxMI3StJim22/Y81xaqI47loeNFcHytsPiGhXjHPBIB+0Vyx1t8&#10;pAYsAmeJkhr8p7/pkz/uB62UNEiskoaPe+YFJfqNxc0lFvaC74VtL9i9uQbk6gjPxvEsYoCPuhel&#10;B/MBOb9KVdDELMdaJY29eB07euPNcLFaZae982pXdwHIO8fixt47nsp0gK32EaTKKCeIOlzOyCHz&#10;MvjnK0nU/vk/ez3e8vI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M5a7tMAAAAEAQAADwAAAAAA&#10;AAABACAAAAAiAAAAZHJzL2Rvd25yZXYueG1sUEsBAhQAFAAAAAgAh07iQOv+X/4YAgAAEwQAAA4A&#10;AAAAAAAAAQAgAAAAIgEAAGRycy9lMm9Eb2MueG1sUEsFBgAAAAAGAAYAWQEAAKwFA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3760352"/>
    <w:rsid w:val="08A15E62"/>
    <w:rsid w:val="0D7F66E0"/>
    <w:rsid w:val="14802177"/>
    <w:rsid w:val="19760AD5"/>
    <w:rsid w:val="300F24A2"/>
    <w:rsid w:val="32383889"/>
    <w:rsid w:val="415D6A9A"/>
    <w:rsid w:val="455E6E40"/>
    <w:rsid w:val="65AB641F"/>
    <w:rsid w:val="65F624AA"/>
    <w:rsid w:val="6E312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子净</cp:lastModifiedBy>
  <dcterms:modified xsi:type="dcterms:W3CDTF">2026-03-05T02:01:23Z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