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rPr>
        <w:t>屯昌县西昌镇中心幼儿园</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rPr>
        <w:t>单位预算</w:t>
      </w:r>
      <w:r>
        <w:rPr>
          <w:rFonts w:hint="eastAsia" w:ascii="方正小标宋_GBK" w:hAnsi="方正小标宋_GBK" w:eastAsia="方正小标宋_GBK" w:cs="方正小标宋_GBK"/>
          <w:sz w:val="44"/>
          <w:szCs w:val="44"/>
          <w:lang w:val="en-US" w:eastAsia="zh-CN"/>
        </w:rPr>
        <w:t>公开说明</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u w:val="none"/>
          <w:lang w:val="en-US" w:eastAsia="zh-CN"/>
        </w:rPr>
        <w:t xml:space="preserve">  </w:t>
      </w:r>
      <w:r>
        <w:rPr>
          <w:rFonts w:hint="eastAsia" w:ascii="黑体" w:hAnsi="黑体" w:eastAsia="黑体"/>
          <w:sz w:val="32"/>
          <w:szCs w:val="32"/>
        </w:rPr>
        <w:t>屯昌县西昌镇中心幼儿园概况</w:t>
      </w:r>
    </w:p>
    <w:p>
      <w:pPr>
        <w:pStyle w:val="6"/>
        <w:numPr>
          <w:ilvl w:val="-1"/>
          <w:numId w:val="0"/>
        </w:numPr>
        <w:spacing w:line="240" w:lineRule="auto"/>
        <w:ind w:left="0" w:firstLine="0" w:firstLineChars="0"/>
        <w:jc w:val="left"/>
        <w:rPr>
          <w:rFonts w:hint="eastAsia" w:ascii="黑体" w:hAnsi="黑体" w:eastAsia="黑体" w:cs="黑体"/>
          <w:sz w:val="32"/>
          <w:szCs w:val="32"/>
          <w:u w:val="none"/>
        </w:rPr>
      </w:pPr>
      <w:r>
        <w:rPr>
          <w:rFonts w:hint="eastAsia" w:ascii="黑体" w:hAnsi="黑体" w:eastAsia="黑体" w:cs="黑体"/>
          <w:sz w:val="32"/>
          <w:szCs w:val="32"/>
          <w:u w:val="none"/>
          <w:lang w:eastAsia="zh-CN"/>
        </w:rPr>
        <w:t>一、</w:t>
      </w:r>
      <w:r>
        <w:rPr>
          <w:rFonts w:hint="eastAsia" w:ascii="黑体" w:hAnsi="黑体" w:eastAsia="黑体" w:cs="黑体"/>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黑体" w:hAnsi="黑体" w:eastAsia="黑体" w:cs="黑体"/>
          <w:sz w:val="32"/>
          <w:szCs w:val="32"/>
          <w:u w:val="none"/>
          <w:lang w:eastAsia="zh-CN"/>
        </w:rPr>
        <w:t>二、机构设置</w:t>
      </w:r>
    </w:p>
    <w:p>
      <w:pPr>
        <w:pStyle w:val="7"/>
        <w:numPr>
          <w:ilvl w:val="0"/>
          <w:numId w:val="1"/>
        </w:numPr>
        <w:ind w:firstLineChars="0"/>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屯昌县西昌镇中心幼儿园202</w:t>
      </w:r>
      <w:r>
        <w:rPr>
          <w:rFonts w:hint="eastAsia" w:ascii="黑体" w:hAnsi="黑体" w:eastAsia="黑体"/>
          <w:sz w:val="32"/>
          <w:szCs w:val="32"/>
          <w:lang w:val="en-US" w:eastAsia="zh-CN"/>
        </w:rPr>
        <w:t>5</w:t>
      </w:r>
      <w:r>
        <w:rPr>
          <w:rFonts w:hint="eastAsia" w:ascii="黑体" w:hAnsi="黑体" w:eastAsia="黑体"/>
          <w:sz w:val="32"/>
          <w:szCs w:val="32"/>
        </w:rPr>
        <w:t>年单位预算表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u w:val="none"/>
          <w:lang w:val="en-US" w:eastAsia="zh-CN"/>
        </w:rPr>
        <w:t xml:space="preserve">  </w:t>
      </w:r>
      <w:r>
        <w:rPr>
          <w:rFonts w:hint="eastAsia" w:ascii="黑体" w:hAnsi="黑体" w:eastAsia="黑体"/>
          <w:sz w:val="32"/>
          <w:szCs w:val="32"/>
        </w:rPr>
        <w:t>屯昌县西昌镇中心幼儿园202</w:t>
      </w:r>
      <w:r>
        <w:rPr>
          <w:rFonts w:hint="eastAsia" w:ascii="黑体" w:hAnsi="黑体" w:eastAsia="黑体"/>
          <w:sz w:val="32"/>
          <w:szCs w:val="32"/>
          <w:lang w:val="en-US" w:eastAsia="zh-CN"/>
        </w:rPr>
        <w:t>5</w:t>
      </w:r>
      <w:r>
        <w:rPr>
          <w:rFonts w:hint="eastAsia" w:ascii="黑体" w:hAnsi="黑体" w:eastAsia="黑体"/>
          <w:sz w:val="32"/>
          <w:szCs w:val="32"/>
        </w:rPr>
        <w:t>年单位预算情况</w:t>
      </w:r>
      <w:r>
        <w:rPr>
          <w:rFonts w:hint="eastAsia" w:ascii="黑体" w:hAnsi="黑体" w:eastAsia="黑体"/>
          <w:sz w:val="32"/>
          <w:szCs w:val="32"/>
          <w:lang w:eastAsia="zh-CN"/>
        </w:rPr>
        <w:t>说</w:t>
      </w:r>
      <w:r>
        <w:rPr>
          <w:rFonts w:hint="eastAsia" w:ascii="黑体" w:hAnsi="黑体" w:eastAsia="黑体"/>
          <w:sz w:val="32"/>
          <w:szCs w:val="32"/>
        </w:rPr>
        <w:t>明</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6"/>
        <w:spacing w:line="560" w:lineRule="exact"/>
        <w:ind w:left="1320" w:firstLine="0" w:firstLineChars="0"/>
        <w:jc w:val="left"/>
        <w:rPr>
          <w:rFonts w:ascii="黑体" w:hAnsi="黑体" w:eastAsia="黑体"/>
          <w:sz w:val="32"/>
          <w:szCs w:val="32"/>
          <w:u w:val="none"/>
        </w:rPr>
      </w:pPr>
    </w:p>
    <w:p>
      <w:pPr>
        <w:pStyle w:val="7"/>
        <w:numPr>
          <w:ilvl w:val="0"/>
          <w:numId w:val="3"/>
        </w:numPr>
        <w:ind w:firstLineChars="0"/>
        <w:jc w:val="center"/>
        <w:rPr>
          <w:rFonts w:ascii="仿宋_GB2312" w:hAnsi="仿宋_GB2312" w:eastAsia="仿宋_GB2312" w:cs="仿宋_GB2312"/>
          <w:sz w:val="32"/>
          <w:szCs w:val="32"/>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val="en-US" w:eastAsia="zh-CN"/>
        </w:rPr>
        <w:t xml:space="preserve"> </w:t>
      </w:r>
      <w:r>
        <w:rPr>
          <w:rFonts w:hint="eastAsia" w:ascii="黑体" w:hAnsi="黑体" w:eastAsia="黑体"/>
          <w:sz w:val="32"/>
          <w:szCs w:val="32"/>
        </w:rPr>
        <w:t>屯昌县西昌镇中心幼儿园概况</w:t>
      </w:r>
    </w:p>
    <w:p>
      <w:pPr>
        <w:pStyle w:val="6"/>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tabs>
          <w:tab w:val="left" w:pos="0"/>
        </w:tabs>
        <w:ind w:firstLine="800" w:firstLineChars="250"/>
        <w:jc w:val="left"/>
        <w:rPr>
          <w:rFonts w:ascii="仿宋_GB2312" w:hAnsi="宋体" w:eastAsia="仿宋_GB2312" w:cs="宋体"/>
          <w:kern w:val="0"/>
          <w:sz w:val="32"/>
          <w:szCs w:val="32"/>
        </w:rPr>
      </w:pPr>
      <w:r>
        <w:rPr>
          <w:rFonts w:hint="eastAsia" w:ascii="仿宋_GB2312" w:hAnsi="宋体" w:eastAsia="仿宋_GB2312" w:cs="宋体"/>
          <w:kern w:val="0"/>
          <w:sz w:val="32"/>
          <w:szCs w:val="32"/>
        </w:rPr>
        <w:t>1、认真贯彻执行党和国家的有关法律法规、方针、政策，</w:t>
      </w:r>
      <w:r>
        <w:rPr>
          <w:rFonts w:hint="eastAsia" w:ascii="仿宋_GB2312" w:hAnsi="宋体" w:eastAsia="仿宋_GB2312" w:cs="宋体"/>
          <w:spacing w:val="15"/>
          <w:kern w:val="0"/>
          <w:sz w:val="32"/>
          <w:szCs w:val="32"/>
        </w:rPr>
        <w:t>坚持民主管理，依法办园，</w:t>
      </w:r>
      <w:r>
        <w:rPr>
          <w:rFonts w:hint="eastAsia" w:ascii="仿宋_GB2312" w:hAnsi="宋体" w:eastAsia="仿宋_GB2312" w:cs="宋体"/>
          <w:kern w:val="0"/>
          <w:sz w:val="32"/>
          <w:szCs w:val="32"/>
        </w:rPr>
        <w:t>执行上级主管单位的指示和决定。</w:t>
      </w:r>
    </w:p>
    <w:p>
      <w:pPr>
        <w:widowControl/>
        <w:shd w:val="clear" w:color="auto" w:fill="FFFFFF"/>
        <w:wordWrap w:val="0"/>
        <w:snapToGrid w:val="0"/>
        <w:spacing w:line="360" w:lineRule="auto"/>
        <w:ind w:firstLine="640" w:firstLineChars="200"/>
        <w:jc w:val="left"/>
        <w:rPr>
          <w:rFonts w:ascii="仿宋_GB2312" w:hAnsi="楷体" w:eastAsia="仿宋_GB2312" w:cs="宋体"/>
          <w:kern w:val="0"/>
          <w:sz w:val="32"/>
          <w:szCs w:val="32"/>
        </w:rPr>
      </w:pPr>
      <w:r>
        <w:rPr>
          <w:rFonts w:hint="eastAsia" w:ascii="仿宋_GB2312" w:hAnsi="宋体" w:eastAsia="仿宋_GB2312" w:cs="宋体"/>
          <w:kern w:val="0"/>
          <w:sz w:val="32"/>
          <w:szCs w:val="32"/>
        </w:rPr>
        <w:t>2、实行保育和教育相结合的原则，</w:t>
      </w:r>
      <w:r>
        <w:rPr>
          <w:rFonts w:hint="eastAsia" w:ascii="仿宋_GB2312" w:hAnsi="宋体" w:eastAsia="仿宋_GB2312" w:cs="宋体"/>
          <w:spacing w:val="15"/>
          <w:kern w:val="0"/>
          <w:sz w:val="32"/>
          <w:szCs w:val="32"/>
        </w:rPr>
        <w:t>对幼儿实施体、智、德、美诸方面全面发展的教育，促进其身心和谐发展。</w:t>
      </w:r>
      <w:r>
        <w:rPr>
          <w:rFonts w:hint="eastAsia" w:ascii="仿宋_GB2312" w:hAnsi="宋体" w:eastAsia="仿宋_GB2312" w:cs="宋体"/>
          <w:kern w:val="0"/>
          <w:sz w:val="32"/>
          <w:szCs w:val="32"/>
        </w:rPr>
        <w:t>为家长解除后顾之忧，热忱为家长服务。</w:t>
      </w:r>
    </w:p>
    <w:p>
      <w:pPr>
        <w:widowControl/>
        <w:shd w:val="clear" w:color="auto" w:fill="FFFFFF"/>
        <w:wordWrap w:val="0"/>
        <w:snapToGrid w:val="0"/>
        <w:spacing w:line="360" w:lineRule="auto"/>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3、尊重儿童的人格尊严和基本权利，尊重儿童身心发展的特点和规律，为儿童提供健康、丰富的生活和活动环境。合理组织幼儿一日生活活动和其它活动，促进幼儿体智德美等和谐发展，全面实施素质教育。</w:t>
      </w:r>
    </w:p>
    <w:p>
      <w:pPr>
        <w:widowControl/>
        <w:shd w:val="clear" w:color="auto" w:fill="FFFFFF"/>
        <w:wordWrap w:val="0"/>
        <w:snapToGrid w:val="0"/>
        <w:spacing w:line="360" w:lineRule="auto"/>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4、严格执行幼儿园安全、卫生保健制度，保证幼儿身心健康和生命安全。</w:t>
      </w:r>
    </w:p>
    <w:p>
      <w:pPr>
        <w:widowControl/>
        <w:shd w:val="clear" w:color="auto" w:fill="FFFFFF"/>
        <w:wordWrap w:val="0"/>
        <w:snapToGrid w:val="0"/>
        <w:spacing w:line="360" w:lineRule="auto"/>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5、充分利用幼儿和社区的资源优势，面向家长开展多种形式的早期教育宣传、指导等服务，促进家庭教育质量的不断提高。</w:t>
      </w:r>
    </w:p>
    <w:p>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default" w:ascii="黑体" w:hAnsi="黑体" w:eastAsia="黑体" w:cs="仿宋_GB2312"/>
          <w:sz w:val="32"/>
          <w:szCs w:val="32"/>
          <w:highlight w:val="none"/>
          <w:u w:val="none"/>
          <w:lang w:val="en-US" w:eastAsia="zh-CN"/>
        </w:rPr>
      </w:pPr>
      <w:r>
        <w:rPr>
          <w:rFonts w:hint="eastAsia" w:ascii="黑体" w:hAnsi="黑体" w:eastAsia="黑体" w:cs="仿宋_GB2312"/>
          <w:sz w:val="32"/>
          <w:szCs w:val="32"/>
          <w:highlight w:val="none"/>
          <w:u w:val="none"/>
          <w:lang w:val="en-US" w:eastAsia="zh-CN"/>
        </w:rPr>
        <w:t>无</w:t>
      </w:r>
    </w:p>
    <w:p>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hint="eastAsia" w:ascii="仿宋_GB2312" w:hAnsi="黑体" w:eastAsia="仿宋_GB2312" w:cs="仿宋_GB2312"/>
          <w:color w:val="000000" w:themeColor="text1"/>
          <w:sz w:val="32"/>
          <w:szCs w:val="32"/>
          <w:highlight w:val="yellow"/>
          <w:u w:val="none"/>
          <w:lang w:val="en-US" w:eastAsia="zh-CN"/>
          <w14:textFill>
            <w14:solidFill>
              <w14:schemeClr w14:val="tx1"/>
            </w14:solidFill>
          </w14:textFill>
        </w:rPr>
      </w:pPr>
    </w:p>
    <w:p>
      <w:pPr>
        <w:pStyle w:val="6"/>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黑体" w:hAnsi="黑体" w:eastAsia="黑体"/>
          <w:sz w:val="32"/>
          <w:szCs w:val="32"/>
        </w:rPr>
        <w:t>屯昌县西昌镇中心幼儿园202</w:t>
      </w:r>
      <w:r>
        <w:rPr>
          <w:rFonts w:hint="eastAsia" w:ascii="黑体" w:hAnsi="黑体" w:eastAsia="黑体"/>
          <w:sz w:val="32"/>
          <w:szCs w:val="32"/>
          <w:lang w:val="en-US" w:eastAsia="zh-CN"/>
        </w:rPr>
        <w:t>5</w:t>
      </w:r>
      <w:r>
        <w:rPr>
          <w:rFonts w:hint="eastAsia" w:ascii="黑体" w:hAnsi="黑体" w:eastAsia="黑体"/>
          <w:sz w:val="32"/>
          <w:szCs w:val="32"/>
        </w:rPr>
        <w:t>年单位预算表</w:t>
      </w:r>
    </w:p>
    <w:p>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pPr>
        <w:numPr>
          <w:ilvl w:val="0"/>
          <w:numId w:val="4"/>
        </w:numPr>
        <w:jc w:val="center"/>
        <w:rPr>
          <w:rFonts w:hint="eastAsia" w:ascii="黑体" w:hAnsi="黑体" w:eastAsia="黑体"/>
          <w:sz w:val="32"/>
          <w:szCs w:val="32"/>
        </w:rPr>
      </w:pPr>
      <w:r>
        <w:rPr>
          <w:rFonts w:hint="eastAsia" w:ascii="黑体" w:hAnsi="黑体" w:eastAsia="黑体"/>
          <w:sz w:val="32"/>
          <w:szCs w:val="32"/>
          <w:u w:val="none"/>
          <w:lang w:val="en-US" w:eastAsia="zh-CN"/>
        </w:rPr>
        <w:t xml:space="preserve"> </w:t>
      </w:r>
      <w:r>
        <w:rPr>
          <w:rFonts w:hint="eastAsia" w:ascii="黑体" w:hAnsi="黑体" w:eastAsia="黑体"/>
          <w:sz w:val="32"/>
          <w:szCs w:val="32"/>
        </w:rPr>
        <w:t>屯昌县西昌镇中心幼儿园202</w:t>
      </w:r>
      <w:r>
        <w:rPr>
          <w:rFonts w:hint="eastAsia" w:ascii="黑体" w:hAnsi="黑体" w:eastAsia="黑体"/>
          <w:sz w:val="32"/>
          <w:szCs w:val="32"/>
          <w:lang w:val="en-US" w:eastAsia="zh-CN"/>
        </w:rPr>
        <w:t>5</w:t>
      </w:r>
      <w:r>
        <w:rPr>
          <w:rFonts w:hint="eastAsia" w:ascii="黑体" w:hAnsi="黑体" w:eastAsia="黑体"/>
          <w:sz w:val="32"/>
          <w:szCs w:val="32"/>
        </w:rPr>
        <w:t>年单位预算情况</w:t>
      </w:r>
    </w:p>
    <w:p>
      <w:pPr>
        <w:numPr>
          <w:ilvl w:val="0"/>
          <w:numId w:val="0"/>
        </w:numPr>
        <w:ind w:firstLine="3840" w:firstLineChars="1200"/>
        <w:jc w:val="both"/>
        <w:rPr>
          <w:rFonts w:ascii="黑体" w:hAnsi="黑体" w:eastAsia="黑体"/>
          <w:sz w:val="32"/>
          <w:szCs w:val="32"/>
        </w:rPr>
      </w:pPr>
      <w:r>
        <w:rPr>
          <w:rFonts w:hint="eastAsia" w:ascii="黑体" w:hAnsi="黑体" w:eastAsia="黑体"/>
          <w:sz w:val="32"/>
          <w:szCs w:val="32"/>
        </w:rPr>
        <w:t>说明</w:t>
      </w:r>
    </w:p>
    <w:p>
      <w:pPr>
        <w:ind w:firstLine="640" w:firstLineChars="200"/>
        <w:jc w:val="left"/>
        <w:rPr>
          <w:rFonts w:hint="eastAsia" w:ascii="方正黑体_GBK" w:hAnsi="方正黑体_GBK" w:eastAsia="方正黑体_GBK" w:cs="方正黑体_GBK"/>
          <w:sz w:val="32"/>
          <w:szCs w:val="32"/>
          <w:u w:val="none"/>
        </w:rPr>
      </w:pPr>
    </w:p>
    <w:p>
      <w:pPr>
        <w:ind w:firstLine="640" w:firstLineChars="200"/>
        <w:jc w:val="left"/>
        <w:rPr>
          <w:rFonts w:ascii="黑体" w:hAnsi="黑体" w:eastAsia="黑体"/>
          <w:sz w:val="32"/>
          <w:szCs w:val="32"/>
        </w:rPr>
      </w:pPr>
      <w:r>
        <w:rPr>
          <w:rFonts w:hint="eastAsia" w:ascii="方正黑体_GBK" w:hAnsi="方正黑体_GBK" w:eastAsia="方正黑体_GBK" w:cs="方正黑体_GBK"/>
          <w:sz w:val="32"/>
          <w:szCs w:val="32"/>
          <w:u w:val="none"/>
        </w:rPr>
        <w:t>一、</w:t>
      </w:r>
      <w:r>
        <w:rPr>
          <w:rFonts w:hint="eastAsia" w:ascii="黑体" w:hAnsi="黑体" w:eastAsia="黑体"/>
          <w:sz w:val="32"/>
          <w:szCs w:val="32"/>
        </w:rPr>
        <w:t>关于屯昌县西昌镇中心幼儿园202</w:t>
      </w:r>
      <w:r>
        <w:rPr>
          <w:rFonts w:hint="eastAsia" w:ascii="黑体" w:hAnsi="黑体" w:eastAsia="黑体"/>
          <w:sz w:val="32"/>
          <w:szCs w:val="32"/>
          <w:lang w:val="en-US" w:eastAsia="zh-CN"/>
        </w:rPr>
        <w:t>6</w:t>
      </w:r>
      <w:r>
        <w:rPr>
          <w:rFonts w:hint="eastAsia" w:ascii="黑体" w:hAnsi="黑体" w:eastAsia="黑体"/>
          <w:sz w:val="32"/>
          <w:szCs w:val="32"/>
        </w:rPr>
        <w:t>年财政拨款收支预算情况的总体说明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sz w:val="32"/>
          <w:szCs w:val="32"/>
          <w:u w:val="none"/>
          <w:lang w:val="en-US" w:eastAsia="zh-CN"/>
        </w:rPr>
        <w:t>214.52</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sz w:val="32"/>
          <w:szCs w:val="32"/>
          <w:u w:val="none"/>
          <w:lang w:val="en-US" w:eastAsia="zh-CN"/>
        </w:rPr>
        <w:t>减少40.29</w:t>
      </w:r>
      <w:r>
        <w:rPr>
          <w:rFonts w:hint="eastAsia" w:ascii="仿宋_GB2312" w:hAnsi="黑体" w:eastAsia="仿宋_GB2312"/>
          <w:sz w:val="32"/>
          <w:szCs w:val="32"/>
          <w:u w:val="none"/>
        </w:rPr>
        <w:t>万元，主要是</w:t>
      </w:r>
      <w:r>
        <w:rPr>
          <w:rFonts w:hint="eastAsia" w:ascii="仿宋_GB2312" w:hAnsi="黑体" w:eastAsia="仿宋_GB2312"/>
          <w:sz w:val="32"/>
          <w:szCs w:val="32"/>
          <w:lang w:eastAsia="zh-CN"/>
        </w:rPr>
        <w:t>人员减少，</w:t>
      </w:r>
      <w:r>
        <w:rPr>
          <w:rFonts w:hint="eastAsia" w:ascii="仿宋_GB2312" w:hAnsi="黑体" w:eastAsia="仿宋_GB2312"/>
          <w:sz w:val="32"/>
          <w:szCs w:val="32"/>
          <w:lang w:val="en-US" w:eastAsia="zh-CN"/>
        </w:rPr>
        <w:t>工资福利减少</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olor w:val="auto"/>
          <w:sz w:val="32"/>
          <w:szCs w:val="32"/>
          <w:highlight w:val="none"/>
          <w:u w:val="none"/>
          <w:lang w:val="en-US" w:eastAsia="zh-CN"/>
        </w:rPr>
        <w:t>214.52</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lang w:val="en-US" w:eastAsia="zh-CN"/>
        </w:rPr>
        <w:t>214.01</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0.50728</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lang w:val="en-US" w:eastAsia="zh-CN"/>
        </w:rPr>
        <w:t>214.52</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olor w:val="auto"/>
          <w:sz w:val="32"/>
          <w:szCs w:val="32"/>
          <w:u w:val="none"/>
          <w:lang w:val="en-US" w:eastAsia="zh-CN"/>
        </w:rPr>
        <w:t>214.52</w:t>
      </w:r>
      <w:r>
        <w:rPr>
          <w:rFonts w:hint="eastAsia" w:ascii="仿宋_GB2312" w:hAnsi="黑体" w:eastAsia="仿宋_GB2312"/>
          <w:color w:val="auto"/>
          <w:sz w:val="32"/>
          <w:szCs w:val="32"/>
          <w:u w:val="none"/>
        </w:rPr>
        <w:t>万元、外交支出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ascii="仿宋_GB2312" w:hAnsi="黑体" w:eastAsia="仿宋_GB2312"/>
          <w:sz w:val="32"/>
          <w:szCs w:val="32"/>
          <w:u w:val="none"/>
        </w:rPr>
        <w:t>……</w:t>
      </w:r>
      <w:r>
        <w:rPr>
          <w:rFonts w:hint="eastAsia" w:ascii="仿宋_GB2312" w:hAnsi="黑体" w:eastAsia="仿宋_GB2312"/>
          <w:sz w:val="32"/>
          <w:szCs w:val="32"/>
          <w:u w:val="none"/>
        </w:rPr>
        <w:t>，结转下年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sz w:val="32"/>
          <w:szCs w:val="32"/>
          <w:u w:val="none"/>
          <w:lang w:val="en-US" w:eastAsia="zh-CN"/>
        </w:rPr>
        <w:t>214.52</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40.29</w:t>
      </w:r>
      <w:r>
        <w:rPr>
          <w:rFonts w:hint="eastAsia" w:ascii="仿宋_GB2312" w:hAnsi="黑体" w:eastAsia="仿宋_GB2312"/>
          <w:sz w:val="32"/>
          <w:szCs w:val="32"/>
          <w:u w:val="none"/>
        </w:rPr>
        <w:t>万元，主要是</w:t>
      </w:r>
      <w:r>
        <w:rPr>
          <w:rFonts w:hint="eastAsia" w:ascii="仿宋_GB2312" w:hAnsi="黑体" w:eastAsia="仿宋_GB2312"/>
          <w:sz w:val="32"/>
          <w:szCs w:val="32"/>
          <w:lang w:eastAsia="zh-CN"/>
        </w:rPr>
        <w:t>人员减少，</w:t>
      </w:r>
      <w:r>
        <w:rPr>
          <w:rFonts w:hint="eastAsia" w:ascii="仿宋_GB2312" w:hAnsi="黑体" w:eastAsia="仿宋_GB2312"/>
          <w:sz w:val="32"/>
          <w:szCs w:val="32"/>
          <w:lang w:val="en-US" w:eastAsia="zh-CN"/>
        </w:rPr>
        <w:t>工资福利减少</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u w:val="none"/>
        </w:rPr>
        <w:t>一般公共服务（类）支出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146.27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68.18</w:t>
      </w:r>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32.52</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15.16</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20.40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8.45</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15.33</w:t>
      </w:r>
      <w:r>
        <w:rPr>
          <w:rFonts w:hint="eastAsia" w:ascii="仿宋_GB2312" w:hAnsi="黑体" w:eastAsia="仿宋_GB2312"/>
          <w:sz w:val="32"/>
          <w:szCs w:val="32"/>
        </w:rPr>
        <w:t>万元，占</w:t>
      </w:r>
      <w:r>
        <w:rPr>
          <w:rFonts w:hint="eastAsia" w:ascii="仿宋_GB2312" w:hAnsi="黑体" w:eastAsia="仿宋_GB2312" w:cs="仿宋_GB2312"/>
          <w:sz w:val="32"/>
          <w:szCs w:val="32"/>
        </w:rPr>
        <w:t>7</w:t>
      </w:r>
      <w:r>
        <w:rPr>
          <w:rFonts w:hint="eastAsia" w:ascii="仿宋_GB2312" w:hAnsi="黑体" w:eastAsia="仿宋_GB2312" w:cs="仿宋_GB2312"/>
          <w:sz w:val="32"/>
          <w:szCs w:val="32"/>
          <w:lang w:val="en-US" w:eastAsia="zh-CN"/>
        </w:rPr>
        <w:t>.15</w:t>
      </w:r>
      <w:r>
        <w:rPr>
          <w:rFonts w:hint="eastAsia" w:ascii="仿宋_GB2312" w:hAnsi="黑体" w:eastAsia="仿宋_GB2312"/>
          <w:sz w:val="32"/>
          <w:szCs w:val="32"/>
        </w:rPr>
        <w:t>%。</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ascii="仿宋_GB2312" w:hAnsi="黑体" w:eastAsia="仿宋_GB2312"/>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1.一般公共服务（类）人大事务（款）行政运行（项）</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sz w:val="32"/>
          <w:szCs w:val="32"/>
          <w:u w:val="none"/>
          <w:lang w:val="en-US" w:eastAsia="zh-CN"/>
        </w:rPr>
        <w:t>214.52</w:t>
      </w:r>
      <w:r>
        <w:rPr>
          <w:rFonts w:hint="eastAsia" w:ascii="仿宋_GB2312" w:hAnsi="黑体" w:eastAsia="仿宋_GB2312"/>
          <w:sz w:val="32"/>
          <w:szCs w:val="32"/>
          <w:u w:val="none"/>
        </w:rPr>
        <w:t>万元，比上年预算数减少</w:t>
      </w:r>
      <w:r>
        <w:rPr>
          <w:rFonts w:hint="eastAsia" w:ascii="仿宋_GB2312" w:hAnsi="黑体" w:eastAsia="仿宋_GB2312"/>
          <w:sz w:val="32"/>
          <w:szCs w:val="32"/>
          <w:u w:val="none"/>
          <w:lang w:val="en-US" w:eastAsia="zh-CN"/>
        </w:rPr>
        <w:t>40.29</w:t>
      </w:r>
      <w:r>
        <w:rPr>
          <w:rFonts w:hint="eastAsia" w:ascii="仿宋_GB2312" w:hAnsi="黑体" w:eastAsia="仿宋_GB2312"/>
          <w:sz w:val="32"/>
          <w:szCs w:val="32"/>
          <w:u w:val="none"/>
        </w:rPr>
        <w:t>万元主要是</w:t>
      </w:r>
      <w:r>
        <w:rPr>
          <w:rFonts w:hint="eastAsia" w:ascii="仿宋_GB2312" w:hAnsi="黑体" w:eastAsia="仿宋_GB2312"/>
          <w:sz w:val="32"/>
          <w:szCs w:val="32"/>
          <w:lang w:eastAsia="zh-CN"/>
        </w:rPr>
        <w:t>人员减少，</w:t>
      </w:r>
      <w:r>
        <w:rPr>
          <w:rFonts w:hint="eastAsia" w:ascii="仿宋_GB2312" w:hAnsi="黑体" w:eastAsia="仿宋_GB2312"/>
          <w:sz w:val="32"/>
          <w:szCs w:val="32"/>
          <w:lang w:val="en-US" w:eastAsia="zh-CN"/>
        </w:rPr>
        <w:t>工资福利减少</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hint="eastAsia" w:ascii="方正仿宋_GBK" w:hAnsi="方正仿宋_GBK" w:eastAsia="方正仿宋_GBK" w:cs="方正仿宋_GBK"/>
          <w:sz w:val="32"/>
          <w:szCs w:val="32"/>
          <w:u w:val="none"/>
        </w:rPr>
      </w:pPr>
      <w:r>
        <w:rPr>
          <w:rFonts w:hint="eastAsia" w:ascii="仿宋_GB2312" w:hAnsi="黑体" w:eastAsia="仿宋_GB2312"/>
          <w:sz w:val="32"/>
          <w:szCs w:val="32"/>
          <w:u w:val="none"/>
        </w:rPr>
        <w:t>2. 一般公共服务（类）人大事务（款）一般行政管理事务（项）</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sz w:val="32"/>
          <w:szCs w:val="32"/>
          <w:u w:val="none"/>
          <w:lang w:val="en-US" w:eastAsia="zh-CN"/>
        </w:rPr>
        <w:t>214.52</w:t>
      </w:r>
      <w:r>
        <w:rPr>
          <w:rFonts w:hint="eastAsia" w:ascii="仿宋_GB2312" w:hAnsi="黑体" w:eastAsia="仿宋_GB2312"/>
          <w:sz w:val="32"/>
          <w:szCs w:val="32"/>
          <w:u w:val="none"/>
        </w:rPr>
        <w:t>万元，比上年预算数减少</w:t>
      </w:r>
      <w:r>
        <w:rPr>
          <w:rFonts w:hint="eastAsia" w:ascii="仿宋_GB2312" w:hAnsi="黑体" w:eastAsia="仿宋_GB2312"/>
          <w:sz w:val="32"/>
          <w:szCs w:val="32"/>
          <w:u w:val="none"/>
          <w:lang w:val="en-US" w:eastAsia="zh-CN"/>
        </w:rPr>
        <w:t>40.29</w:t>
      </w:r>
      <w:r>
        <w:rPr>
          <w:rFonts w:hint="eastAsia" w:ascii="仿宋_GB2312" w:hAnsi="黑体" w:eastAsia="仿宋_GB2312"/>
          <w:sz w:val="32"/>
          <w:szCs w:val="32"/>
          <w:u w:val="none"/>
        </w:rPr>
        <w:t>万元，主要是</w:t>
      </w:r>
      <w:r>
        <w:rPr>
          <w:rFonts w:hint="eastAsia" w:ascii="仿宋_GB2312" w:hAnsi="黑体" w:eastAsia="仿宋_GB2312"/>
          <w:sz w:val="32"/>
          <w:szCs w:val="32"/>
          <w:lang w:eastAsia="zh-CN"/>
        </w:rPr>
        <w:t>人员减少，</w:t>
      </w:r>
      <w:r>
        <w:rPr>
          <w:rFonts w:hint="eastAsia" w:ascii="仿宋_GB2312" w:hAnsi="黑体" w:eastAsia="仿宋_GB2312"/>
          <w:sz w:val="32"/>
          <w:szCs w:val="32"/>
          <w:lang w:val="en-US" w:eastAsia="zh-CN"/>
        </w:rPr>
        <w:t>工资福利减少</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214.52</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212.51</w:t>
      </w:r>
      <w:r>
        <w:rPr>
          <w:rFonts w:hint="eastAsia" w:ascii="仿宋_GB2312" w:hAnsi="黑体" w:eastAsia="仿宋_GB2312"/>
          <w:sz w:val="32"/>
          <w:szCs w:val="32"/>
          <w:u w:val="none"/>
        </w:rPr>
        <w:t>万元，主要包括：基本工资、津贴补贴、奖金、社会保障缴费、</w:t>
      </w:r>
      <w:r>
        <w:rPr>
          <w:rFonts w:hint="eastAsia" w:ascii="仿宋_GB2312" w:hAnsi="黑体" w:eastAsia="仿宋_GB2312"/>
          <w:sz w:val="32"/>
          <w:szCs w:val="32"/>
          <w:u w:val="none"/>
          <w:lang w:val="en-US" w:eastAsia="zh-CN"/>
        </w:rPr>
        <w:t>住房公积金、医疗费等</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14.49</w:t>
      </w:r>
      <w:r>
        <w:rPr>
          <w:rFonts w:hint="eastAsia" w:ascii="仿宋_GB2312" w:hAnsi="黑体" w:eastAsia="仿宋_GB2312"/>
          <w:sz w:val="32"/>
          <w:szCs w:val="32"/>
          <w:u w:val="none"/>
        </w:rPr>
        <w:t>万元，主要包括</w:t>
      </w:r>
      <w:r>
        <w:rPr>
          <w:rFonts w:hint="eastAsia" w:ascii="仿宋_GB2312" w:hAnsi="黑体" w:eastAsia="仿宋_GB2312"/>
          <w:sz w:val="32"/>
          <w:szCs w:val="32"/>
          <w:u w:val="none"/>
          <w:lang w:val="en-US" w:eastAsia="zh-CN"/>
        </w:rPr>
        <w:t>工会经费</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（一）</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年一般公共预算“三公”经费预算数为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因公出国（境）经费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根据×××（如外事部门等）安排的出国计划，</w:t>
      </w:r>
      <w:r>
        <w:rPr>
          <w:rFonts w:hint="eastAsia" w:ascii="仿宋_GB2312" w:hAnsi="黑体" w:eastAsia="仿宋_GB2312"/>
          <w:sz w:val="32"/>
          <w:szCs w:val="32"/>
          <w:u w:val="none"/>
          <w:lang w:val="en-US" w:eastAsia="zh-CN"/>
        </w:rPr>
        <w:t>2026年</w:t>
      </w:r>
      <w:r>
        <w:rPr>
          <w:rFonts w:hint="eastAsia" w:ascii="仿宋_GB2312" w:hAnsi="黑体" w:eastAsia="仿宋_GB2312"/>
          <w:sz w:val="32"/>
          <w:szCs w:val="32"/>
          <w:u w:val="none"/>
        </w:rPr>
        <w:t>拟安排出国（境）团（组）</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次，出国（境）</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人</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公务用车购置及运行费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万元（其中，公务用车购置费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万元，公务用车运行费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公务车保有量</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辆，计划购置</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辆</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公务接待费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（二）</w:t>
      </w:r>
      <w:r>
        <w:rPr>
          <w:rFonts w:hint="eastAsia" w:ascii="仿宋_GB2312" w:hAnsi="黑体" w:eastAsia="仿宋_GB2312"/>
          <w:sz w:val="32"/>
          <w:szCs w:val="32"/>
          <w:u w:val="none"/>
          <w:lang w:eastAsia="zh-CN"/>
        </w:rPr>
        <w:t>2</w:t>
      </w:r>
      <w:r>
        <w:rPr>
          <w:rFonts w:hint="eastAsia" w:ascii="仿宋_GB2312" w:hAnsi="黑体" w:eastAsia="仿宋_GB2312"/>
          <w:sz w:val="32"/>
          <w:szCs w:val="32"/>
          <w:u w:val="none"/>
          <w:lang w:val="en-US" w:eastAsia="zh-CN"/>
        </w:rPr>
        <w:t>026</w:t>
      </w:r>
      <w:r>
        <w:rPr>
          <w:rFonts w:hint="eastAsia" w:ascii="仿宋_GB2312" w:hAnsi="黑体" w:eastAsia="仿宋_GB2312"/>
          <w:sz w:val="32"/>
          <w:szCs w:val="32"/>
          <w:u w:val="none"/>
        </w:rPr>
        <w:t>年政府性基金预算“三公”经费预算数为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因公出国（境）经费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根据×××（如外事部门等）安排的</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年出国计划，拟安排出国（境）组</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次，出国（境）</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公务用车购置及运行费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万元（其中，公务用车购置费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万元，公务用车运行费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公务接待费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计划接待</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cs="仿宋_GB2312"/>
          <w:sz w:val="32"/>
          <w:szCs w:val="32"/>
          <w:u w:val="none"/>
        </w:rPr>
        <w:t>1. 科学技术支出（类）核电站乏燃料处理处置基金支出（款）乏燃料运输（项）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w:t>
      </w:r>
    </w:p>
    <w:p>
      <w:pPr>
        <w:keepNext w:val="0"/>
        <w:keepLines w:val="0"/>
        <w:pageBreakBefore w:val="0"/>
        <w:numPr>
          <w:ilvl w:val="0"/>
          <w:numId w:val="5"/>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val="en-US" w:eastAsia="zh-CN"/>
        </w:rPr>
        <w:t>2026</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214.52</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ascii="仿宋_GB2312" w:hAnsi="黑体" w:eastAsia="仿宋_GB2312"/>
          <w:sz w:val="32"/>
          <w:szCs w:val="32"/>
          <w:highlight w:val="none"/>
          <w:u w:val="none"/>
        </w:rPr>
        <w:t>……</w:t>
      </w:r>
      <w:r>
        <w:rPr>
          <w:rFonts w:hint="eastAsia" w:ascii="仿宋_GB2312" w:hAnsi="黑体" w:eastAsia="仿宋_GB2312"/>
          <w:sz w:val="32"/>
          <w:szCs w:val="32"/>
          <w:highlight w:val="none"/>
          <w:u w:val="none"/>
        </w:rPr>
        <w:t>；支出包括：一般公共服务支出、外交支出、国防支出、公共安全支出、教育支出、</w:t>
      </w:r>
      <w:r>
        <w:rPr>
          <w:rFonts w:ascii="仿宋_GB2312" w:hAnsi="黑体" w:eastAsia="仿宋_GB2312"/>
          <w:sz w:val="32"/>
          <w:szCs w:val="32"/>
          <w:highlight w:val="none"/>
          <w:u w:val="none"/>
        </w:rPr>
        <w:t>…</w:t>
      </w:r>
      <w:r>
        <w:rPr>
          <w:rFonts w:ascii="仿宋_GB2312" w:hAnsi="黑体" w:eastAsia="仿宋_GB2312"/>
          <w:sz w:val="32"/>
          <w:szCs w:val="32"/>
          <w:u w:val="none"/>
        </w:rPr>
        <w:t>…</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214.52</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0.50728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0.23</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lang w:val="en-US" w:eastAsia="zh-CN"/>
        </w:rPr>
        <w:t>214.01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99.74</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40.29</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人员减少，工资福利减少</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sz w:val="32"/>
          <w:szCs w:val="32"/>
          <w:u w:val="none"/>
          <w:lang w:val="en-US" w:eastAsia="zh-CN"/>
        </w:rPr>
        <w:t>214.52</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213.97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99.74</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0.55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40.29</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人员减少，工资福利减少</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rPr>
        <w:t>机关运行经费预算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（二）政府采购情况</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（三）国有资产占有使用情况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sz w:val="32"/>
          <w:szCs w:val="32"/>
        </w:rPr>
        <w:t>屯昌县西昌镇中心幼儿园</w:t>
      </w:r>
      <w:r>
        <w:rPr>
          <w:rFonts w:hint="eastAsia" w:ascii="仿宋_GB2312" w:hAnsi="黑体" w:eastAsia="仿宋_GB2312" w:cs="仿宋_GB2312"/>
          <w:sz w:val="32"/>
          <w:szCs w:val="32"/>
          <w:u w:val="none"/>
        </w:rPr>
        <w:t>本级单位共有车辆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rPr>
        <w:t>屯昌县西昌镇中心幼儿园</w:t>
      </w: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2</w:t>
      </w:r>
      <w:bookmarkStart w:id="0" w:name="_GoBack"/>
      <w:bookmarkEnd w:id="0"/>
      <w:r>
        <w:rPr>
          <w:rFonts w:hint="eastAsia" w:ascii="仿宋_GB2312" w:hAnsi="黑体" w:eastAsia="仿宋_GB2312" w:cs="仿宋_GB2312"/>
          <w:sz w:val="32"/>
          <w:szCs w:val="32"/>
        </w:rPr>
        <w:t>个项目</w:t>
      </w:r>
      <w:r>
        <w:rPr>
          <w:rFonts w:hint="eastAsia" w:ascii="仿宋_GB2312" w:hAnsi="黑体" w:eastAsia="仿宋_GB2312" w:cs="仿宋_GB2312"/>
          <w:sz w:val="32"/>
          <w:szCs w:val="32"/>
          <w:u w:val="none"/>
        </w:rPr>
        <w:t>实行绩效目标管理，涉及一般公共预算</w:t>
      </w:r>
      <w:r>
        <w:rPr>
          <w:rFonts w:hint="eastAsia" w:ascii="仿宋_GB2312" w:hAnsi="黑体" w:eastAsia="仿宋_GB2312" w:cs="仿宋_GB2312"/>
          <w:sz w:val="32"/>
          <w:szCs w:val="32"/>
          <w:u w:val="none"/>
          <w:lang w:val="en-US" w:eastAsia="zh-CN"/>
        </w:rPr>
        <w:t>214.52</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黑体" w:hAnsi="黑体" w:eastAsia="黑体"/>
          <w:b w:val="0"/>
          <w:bCs/>
          <w:sz w:val="32"/>
          <w:szCs w:val="32"/>
          <w:u w:val="none"/>
          <w:lang w:eastAsia="zh-CN"/>
        </w:rPr>
      </w:pPr>
    </w:p>
    <w:p>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8240;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szlru0wAAAAQBAAAPAAAAAAAA&#10;AAEAIAAAACIAAABkcnMvZG93bnJldi54bWxQSwECFAAUAAAACACHTuJApPngsRcCAAATBAAADgAA&#10;AAAAAAABACAAAAAiAQAAZHJzL2Uyb0RvYy54bWxQSwUGAAAAAAYABgBZAQAAqwUAAAAA&#10;">
              <v:fill on="f" focussize="0,0"/>
              <v:stroke on="f" weight="0.5pt"/>
              <v:imagedata o:title=""/>
              <o:lock v:ext="edit" aspectratio="f"/>
              <v:textbox inset="0mm,0mm,0mm,0mm">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sz w:val="32"/>
        <w:szCs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E5F8262"/>
    <w:multiLevelType w:val="singleLevel"/>
    <w:tmpl w:val="0E5F8262"/>
    <w:lvl w:ilvl="0" w:tentative="0">
      <w:start w:val="3"/>
      <w:numFmt w:val="chineseCounting"/>
      <w:suff w:val="space"/>
      <w:lvlText w:val="第%1部分"/>
      <w:lvlJc w:val="left"/>
      <w:rPr>
        <w:rFonts w:hint="eastAsia"/>
      </w:r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AAE0BA4"/>
    <w:rsid w:val="0D7F66E0"/>
    <w:rsid w:val="18746503"/>
    <w:rsid w:val="415D6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Administrator</cp:lastModifiedBy>
  <dcterms:modified xsi:type="dcterms:W3CDTF">2026-03-02T15:22:24Z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