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2026年屯昌县第二幼儿园</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屯昌县第二幼儿园</w:t>
      </w:r>
      <w:r>
        <w:rPr>
          <w:rFonts w:hint="eastAsia" w:ascii="方正黑体_GBK" w:hAnsi="方正黑体_GBK" w:eastAsia="方正黑体_GBK" w:cs="方正黑体_GBK"/>
          <w:sz w:val="32"/>
          <w:szCs w:val="32"/>
          <w:u w:val="none"/>
        </w:rPr>
        <w:t>概况</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val="en-US" w:eastAsia="zh-CN"/>
        </w:rPr>
        <w:t>屯昌县第二幼儿园</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6"/>
        <w:spacing w:line="560" w:lineRule="exact"/>
        <w:ind w:left="1320" w:firstLine="0" w:firstLineChars="0"/>
        <w:jc w:val="left"/>
        <w:rPr>
          <w:rFonts w:ascii="黑体" w:hAnsi="黑体" w:eastAsia="黑体"/>
          <w:sz w:val="32"/>
          <w:szCs w:val="32"/>
          <w:u w:val="none"/>
        </w:rPr>
      </w:pPr>
    </w:p>
    <w:p>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屯昌县第二幼儿园</w:t>
      </w:r>
      <w:r>
        <w:rPr>
          <w:rFonts w:hint="eastAsia" w:ascii="方正黑体_GBK" w:hAnsi="方正黑体_GBK" w:eastAsia="方正黑体_GBK" w:cs="方正黑体_GBK"/>
          <w:sz w:val="32"/>
          <w:szCs w:val="32"/>
          <w:u w:val="none"/>
        </w:rPr>
        <w:t>概况</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numPr>
          <w:ilvl w:val="255"/>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（一）实行保育</w:t>
      </w:r>
      <w:r>
        <w:rPr>
          <w:rFonts w:ascii="仿宋_GB2312" w:hAnsi="黑体" w:eastAsia="仿宋_GB2312" w:cs="仿宋_GB2312"/>
          <w:sz w:val="32"/>
          <w:szCs w:val="32"/>
        </w:rPr>
        <w:t>和教育相结合的原则，为家长解除后顾之忧</w:t>
      </w:r>
      <w:r>
        <w:rPr>
          <w:rFonts w:hint="eastAsia" w:ascii="仿宋_GB2312" w:hAnsi="黑体" w:eastAsia="仿宋_GB2312" w:cs="仿宋_GB2312"/>
          <w:sz w:val="32"/>
          <w:szCs w:val="32"/>
        </w:rPr>
        <w:t>，</w:t>
      </w:r>
      <w:r>
        <w:rPr>
          <w:rFonts w:ascii="仿宋_GB2312" w:hAnsi="黑体" w:eastAsia="仿宋_GB2312" w:cs="仿宋_GB2312"/>
          <w:sz w:val="32"/>
          <w:szCs w:val="32"/>
        </w:rPr>
        <w:t>热忱为家长服务</w:t>
      </w:r>
      <w:r>
        <w:rPr>
          <w:rFonts w:hint="eastAsia" w:ascii="仿宋_GB2312" w:hAnsi="黑体" w:eastAsia="仿宋_GB2312" w:cs="仿宋_GB2312"/>
          <w:sz w:val="32"/>
          <w:szCs w:val="32"/>
        </w:rPr>
        <w:t>。</w:t>
      </w:r>
    </w:p>
    <w:p>
      <w:pPr>
        <w:numPr>
          <w:ilvl w:val="255"/>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（二）为</w:t>
      </w:r>
      <w:r>
        <w:rPr>
          <w:rFonts w:ascii="仿宋_GB2312" w:hAnsi="黑体" w:eastAsia="仿宋_GB2312" w:cs="仿宋_GB2312"/>
          <w:sz w:val="32"/>
          <w:szCs w:val="32"/>
        </w:rPr>
        <w:t>儿童提供健康、丰富的生活和活动环境，促进幼儿体智德美等和谐发展，全面实施素质教育。</w:t>
      </w:r>
    </w:p>
    <w:p>
      <w:pPr>
        <w:numPr>
          <w:ilvl w:val="255"/>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（三）严格</w:t>
      </w:r>
      <w:r>
        <w:rPr>
          <w:rFonts w:ascii="仿宋_GB2312" w:hAnsi="黑体" w:eastAsia="仿宋_GB2312" w:cs="仿宋_GB2312"/>
          <w:sz w:val="32"/>
          <w:szCs w:val="32"/>
        </w:rPr>
        <w:t>执行幼儿园安全、卫生保健制度，保证幼儿身心健康和生命安全。</w:t>
      </w:r>
    </w:p>
    <w:p>
      <w:pPr>
        <w:numPr>
          <w:ilvl w:val="255"/>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（四）充分</w:t>
      </w:r>
      <w:r>
        <w:rPr>
          <w:rFonts w:ascii="仿宋_GB2312" w:hAnsi="黑体" w:eastAsia="仿宋_GB2312" w:cs="仿宋_GB2312"/>
          <w:sz w:val="32"/>
          <w:szCs w:val="32"/>
        </w:rPr>
        <w:t>利用幼儿和社区的资源优势，面向家长开展多种形式的早期教育宣传、指导等服务，促进家庭教育质量的不断提高。</w:t>
      </w:r>
    </w:p>
    <w:p>
      <w:pPr>
        <w:numPr>
          <w:ilvl w:val="255"/>
          <w:numId w:val="0"/>
        </w:numPr>
        <w:ind w:firstLine="64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（五）贯彻</w:t>
      </w:r>
      <w:r>
        <w:rPr>
          <w:rFonts w:ascii="仿宋_GB2312" w:hAnsi="黑体" w:eastAsia="仿宋_GB2312" w:cs="仿宋_GB2312"/>
          <w:sz w:val="32"/>
          <w:szCs w:val="32"/>
        </w:rPr>
        <w:t>幼儿教育法规、传播科学教育理念、开展教育科学研究、培训师资，发挥示范性幼儿园的示范、辐射作用。</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rPr>
      </w:pPr>
      <w:r>
        <w:rPr>
          <w:rFonts w:hint="eastAsia" w:ascii="仿宋_GB2312" w:hAnsi="黑体" w:eastAsia="仿宋_GB2312" w:cs="仿宋_GB2312"/>
          <w:sz w:val="32"/>
          <w:szCs w:val="32"/>
        </w:rPr>
        <w:t>（六）承办上级</w:t>
      </w:r>
      <w:r>
        <w:rPr>
          <w:rFonts w:ascii="仿宋_GB2312" w:hAnsi="黑体" w:eastAsia="仿宋_GB2312" w:cs="仿宋_GB2312"/>
          <w:sz w:val="32"/>
          <w:szCs w:val="32"/>
        </w:rPr>
        <w:t>主管</w:t>
      </w:r>
      <w:r>
        <w:rPr>
          <w:rFonts w:hint="eastAsia" w:ascii="仿宋_GB2312" w:hAnsi="黑体" w:eastAsia="仿宋_GB2312" w:cs="仿宋_GB2312"/>
          <w:sz w:val="32"/>
          <w:szCs w:val="32"/>
          <w:lang w:val="en-US" w:eastAsia="zh-CN"/>
        </w:rPr>
        <w:t>单位</w:t>
      </w:r>
      <w:r>
        <w:rPr>
          <w:rFonts w:ascii="仿宋_GB2312" w:hAnsi="黑体" w:eastAsia="仿宋_GB2312" w:cs="仿宋_GB2312"/>
          <w:sz w:val="32"/>
          <w:szCs w:val="32"/>
        </w:rPr>
        <w:t>交办的其他工作。</w:t>
      </w: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val="en-US" w:eastAsia="zh-CN"/>
        </w:rPr>
        <w:t>屯昌县第二幼儿园</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rPr>
        <w:t>屯昌县第二幼儿园</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屯昌县第二幼儿园</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177.31</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177.31</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170.13</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7.18</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177.31</w:t>
      </w:r>
      <w:r>
        <w:rPr>
          <w:rFonts w:hint="eastAsia" w:ascii="仿宋_GB2312" w:hAnsi="黑体" w:eastAsia="仿宋_GB2312"/>
          <w:sz w:val="32"/>
          <w:szCs w:val="32"/>
        </w:rPr>
        <w:t>万元，包括教育支出</w:t>
      </w:r>
      <w:r>
        <w:rPr>
          <w:rFonts w:hint="eastAsia" w:ascii="仿宋_GB2312" w:hAnsi="黑体" w:eastAsia="仿宋_GB2312"/>
          <w:sz w:val="32"/>
          <w:szCs w:val="32"/>
          <w:lang w:val="en-US" w:eastAsia="zh-CN"/>
        </w:rPr>
        <w:t>120.68</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26.83</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17.74</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12.06</w:t>
      </w:r>
      <w:r>
        <w:rPr>
          <w:rFonts w:hint="eastAsia" w:ascii="仿宋_GB2312" w:hAnsi="黑体" w:eastAsia="仿宋_GB2312"/>
          <w:sz w:val="32"/>
          <w:szCs w:val="32"/>
        </w:rPr>
        <w:t>万元，结转下年</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spacing w:line="578"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屯昌县第二幼儿园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177.31</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9.23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 w:hAnsi="仿宋" w:eastAsia="仿宋" w:cs="仿宋"/>
          <w:sz w:val="32"/>
          <w:szCs w:val="32"/>
        </w:rPr>
        <w:t>主要是</w:t>
      </w:r>
      <w:r>
        <w:rPr>
          <w:rFonts w:hint="eastAsia" w:ascii="仿宋" w:hAnsi="仿宋" w:eastAsia="仿宋" w:cs="仿宋"/>
          <w:sz w:val="32"/>
          <w:szCs w:val="32"/>
          <w:lang w:val="en-US" w:eastAsia="zh-CN"/>
        </w:rPr>
        <w:t>因为人员调入，人数增多，人员工资上涨，幼儿人数相对稳定，但开展的活动多，教育支出也随之增加。</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教育（类）支出</w:t>
      </w:r>
      <w:r>
        <w:rPr>
          <w:rFonts w:hint="eastAsia" w:ascii="仿宋_GB2312" w:hAnsi="黑体" w:eastAsia="仿宋_GB2312" w:cs="仿宋_GB2312"/>
          <w:sz w:val="32"/>
          <w:szCs w:val="32"/>
          <w:lang w:val="en-US" w:eastAsia="zh-CN"/>
        </w:rPr>
        <w:t>120.68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68.06</w:t>
      </w:r>
      <w:r>
        <w:rPr>
          <w:rFonts w:hint="eastAsia" w:ascii="仿宋_GB2312" w:hAnsi="黑体" w:eastAsia="仿宋_GB2312"/>
          <w:sz w:val="32"/>
          <w:szCs w:val="32"/>
        </w:rPr>
        <w:t>%；社会保障和就业（类）</w:t>
      </w:r>
      <w:r>
        <w:rPr>
          <w:rFonts w:hint="eastAsia" w:ascii="仿宋_GB2312" w:hAnsi="黑体" w:eastAsia="仿宋_GB2312" w:cs="仿宋_GB2312"/>
          <w:sz w:val="32"/>
          <w:szCs w:val="32"/>
        </w:rPr>
        <w:t>支出</w:t>
      </w:r>
      <w:r>
        <w:rPr>
          <w:rFonts w:hint="eastAsia" w:ascii="仿宋_GB2312" w:hAnsi="黑体" w:eastAsia="仿宋_GB2312"/>
          <w:sz w:val="32"/>
          <w:szCs w:val="32"/>
          <w:lang w:val="en-US" w:eastAsia="zh-CN"/>
        </w:rPr>
        <w:t>26.83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15.13</w:t>
      </w:r>
      <w:r>
        <w:rPr>
          <w:rFonts w:hint="eastAsia" w:ascii="仿宋_GB2312" w:hAnsi="黑体" w:eastAsia="仿宋_GB2312"/>
          <w:sz w:val="32"/>
          <w:szCs w:val="32"/>
        </w:rPr>
        <w:t>%；卫生健康（类）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17.74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w:t>
      </w:r>
      <w:r>
        <w:rPr>
          <w:rFonts w:hint="eastAsia" w:ascii="仿宋_GB2312" w:hAnsi="黑体" w:eastAsia="仿宋_GB2312"/>
          <w:sz w:val="32"/>
          <w:szCs w:val="32"/>
        </w:rPr>
        <w:t>%；住房保障（类）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12.06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6.81</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1.教育支出（类）普通教育（款）学前教育（项）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120.67</w:t>
      </w:r>
      <w:r>
        <w:rPr>
          <w:rFonts w:hint="eastAsia" w:ascii="仿宋_GB2312" w:hAnsi="黑体" w:eastAsia="仿宋_GB2312"/>
          <w:sz w:val="32"/>
          <w:szCs w:val="32"/>
        </w:rPr>
        <w:t>万元，上年预算数</w:t>
      </w:r>
      <w:r>
        <w:rPr>
          <w:rFonts w:hint="eastAsia" w:ascii="仿宋_GB2312" w:hAnsi="黑体" w:eastAsia="仿宋_GB2312"/>
          <w:sz w:val="32"/>
          <w:szCs w:val="32"/>
          <w:lang w:val="en-US" w:eastAsia="zh-CN"/>
        </w:rPr>
        <w:t>为129.65万元，比上年预算数减少8.98万元，主要是幼儿园后勤人员工资现由我园保教费支付，导致用于购买玩教具及固定资产有所下降，导致教育支出减少。</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u w:val="none"/>
        </w:rPr>
        <w:t xml:space="preserve">2. </w:t>
      </w:r>
      <w:r>
        <w:rPr>
          <w:rFonts w:hint="eastAsia" w:ascii="仿宋_GB2312" w:hAnsi="黑体" w:eastAsia="仿宋_GB2312" w:cs="仿宋_GB2312"/>
          <w:sz w:val="32"/>
          <w:szCs w:val="32"/>
        </w:rPr>
        <w:t>社会保障和就业支出（类）行政事业单位养老支出（款）机关事业单位基本养老保险缴费支出（项）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26.83</w:t>
      </w:r>
      <w:r>
        <w:rPr>
          <w:rFonts w:hint="eastAsia" w:ascii="仿宋_GB2312" w:hAnsi="黑体" w:eastAsia="仿宋_GB2312"/>
          <w:sz w:val="32"/>
          <w:szCs w:val="32"/>
        </w:rPr>
        <w:t>万元，上年预算数</w:t>
      </w:r>
      <w:r>
        <w:rPr>
          <w:rFonts w:hint="eastAsia" w:ascii="仿宋_GB2312" w:hAnsi="黑体" w:eastAsia="仿宋_GB2312"/>
          <w:sz w:val="32"/>
          <w:szCs w:val="32"/>
          <w:lang w:val="en-US" w:eastAsia="zh-CN"/>
        </w:rPr>
        <w:t>为</w:t>
      </w:r>
      <w:r>
        <w:rPr>
          <w:rFonts w:hint="eastAsia" w:ascii="仿宋_GB2312" w:hAnsi="黑体" w:eastAsia="仿宋_GB2312" w:cs="仿宋_GB2312"/>
          <w:sz w:val="32"/>
          <w:szCs w:val="32"/>
          <w:lang w:val="en-US" w:eastAsia="zh-CN"/>
        </w:rPr>
        <w:t>23.22</w:t>
      </w:r>
      <w:r>
        <w:rPr>
          <w:rFonts w:hint="eastAsia" w:ascii="仿宋_GB2312" w:hAnsi="黑体" w:eastAsia="仿宋_GB2312"/>
          <w:sz w:val="32"/>
          <w:szCs w:val="32"/>
          <w:lang w:val="en-US" w:eastAsia="zh-CN"/>
        </w:rPr>
        <w:t>万元，比上年预算数增加3.61万元，主要是人员工资增多及工资上涨。</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3.</w:t>
      </w:r>
      <w:r>
        <w:rPr>
          <w:rFonts w:hint="eastAsia" w:ascii="仿宋_GB2312" w:hAnsi="黑体" w:eastAsia="仿宋_GB2312" w:cs="仿宋_GB2312"/>
          <w:sz w:val="32"/>
          <w:szCs w:val="32"/>
        </w:rPr>
        <w:t xml:space="preserve"> 卫生健康支出（类）行政事业单位医疗（款）事业单位医疗（项）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17.74</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上年</w:t>
      </w:r>
      <w:r>
        <w:rPr>
          <w:rFonts w:hint="eastAsia" w:ascii="仿宋_GB2312" w:hAnsi="黑体" w:eastAsia="仿宋_GB2312"/>
          <w:sz w:val="32"/>
          <w:szCs w:val="32"/>
        </w:rPr>
        <w:t>预算数</w:t>
      </w:r>
      <w:r>
        <w:rPr>
          <w:rFonts w:hint="eastAsia" w:ascii="仿宋_GB2312" w:hAnsi="黑体" w:eastAsia="仿宋_GB2312"/>
          <w:sz w:val="32"/>
          <w:szCs w:val="32"/>
          <w:lang w:val="en-US" w:eastAsia="zh-CN"/>
        </w:rPr>
        <w:t>5.38万元，比上年预算数增加12.36万元，主要原因是社保基数增加</w:t>
      </w:r>
      <w:r>
        <w:rPr>
          <w:rFonts w:hint="eastAsia" w:ascii="仿宋_GB2312" w:hAnsi="黑体" w:eastAsia="仿宋_GB2312"/>
          <w:sz w:val="32"/>
          <w:szCs w:val="32"/>
        </w:rPr>
        <w:t>；公务员医疗补助</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11.09</w:t>
      </w:r>
      <w:r>
        <w:rPr>
          <w:rFonts w:hint="eastAsia" w:ascii="仿宋_GB2312" w:hAnsi="黑体" w:eastAsia="仿宋_GB2312"/>
          <w:sz w:val="32"/>
          <w:szCs w:val="32"/>
        </w:rPr>
        <w:t>万元，上年预算数</w:t>
      </w:r>
      <w:r>
        <w:rPr>
          <w:rFonts w:hint="eastAsia" w:ascii="仿宋_GB2312" w:hAnsi="黑体" w:eastAsia="仿宋_GB2312"/>
          <w:sz w:val="32"/>
          <w:szCs w:val="32"/>
          <w:lang w:val="en-US" w:eastAsia="zh-CN"/>
        </w:rPr>
        <w:t>为11.05万元，比上年预算数增加0.04万元，主要原因是社保基数增加及增资等原因</w:t>
      </w:r>
      <w:r>
        <w:rPr>
          <w:rFonts w:hint="eastAsia" w:ascii="仿宋_GB2312" w:hAnsi="黑体" w:eastAsia="仿宋_GB2312"/>
          <w:sz w:val="32"/>
          <w:szCs w:val="32"/>
        </w:rPr>
        <w:t>；其他行政事业单位医疗支出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0.50</w:t>
      </w:r>
      <w:r>
        <w:rPr>
          <w:rFonts w:hint="eastAsia" w:ascii="仿宋_GB2312" w:hAnsi="黑体" w:eastAsia="仿宋_GB2312"/>
          <w:sz w:val="32"/>
          <w:szCs w:val="32"/>
        </w:rPr>
        <w:t>万元，上年预算数</w:t>
      </w:r>
      <w:r>
        <w:rPr>
          <w:rFonts w:hint="eastAsia" w:ascii="仿宋_GB2312" w:hAnsi="黑体" w:eastAsia="仿宋_GB2312"/>
          <w:sz w:val="32"/>
          <w:szCs w:val="32"/>
          <w:lang w:val="en-US" w:eastAsia="zh-CN"/>
        </w:rPr>
        <w:t>为0.44万元，比上年预算数增加0.05万元，原因是2025年调入一名人员，导致体检费多增加一个人的费用。</w:t>
      </w:r>
    </w:p>
    <w:p>
      <w:pPr>
        <w:ind w:firstLine="640"/>
        <w:rPr>
          <w:rFonts w:ascii="仿宋_GB2312" w:hAnsi="黑体" w:eastAsia="仿宋_GB2312"/>
          <w:sz w:val="32"/>
          <w:szCs w:val="32"/>
        </w:rPr>
      </w:pPr>
      <w:r>
        <w:rPr>
          <w:rFonts w:hint="eastAsia" w:ascii="仿宋_GB2312" w:hAnsi="黑体" w:eastAsia="仿宋_GB2312"/>
          <w:sz w:val="32"/>
          <w:szCs w:val="32"/>
        </w:rPr>
        <w:t>4.</w:t>
      </w:r>
      <w:r>
        <w:rPr>
          <w:rFonts w:hint="eastAsia" w:ascii="仿宋_GB2312" w:hAnsi="黑体" w:eastAsia="仿宋_GB2312" w:cs="仿宋_GB2312"/>
          <w:sz w:val="32"/>
          <w:szCs w:val="32"/>
        </w:rPr>
        <w:t xml:space="preserve"> 住房保障支出（类）住房改革支出（款）住房公积金（项）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12.05</w:t>
      </w:r>
      <w:r>
        <w:rPr>
          <w:rFonts w:hint="eastAsia" w:ascii="仿宋_GB2312" w:hAnsi="黑体" w:eastAsia="仿宋_GB2312"/>
          <w:sz w:val="32"/>
          <w:szCs w:val="32"/>
        </w:rPr>
        <w:t>万元，上年预算数</w:t>
      </w:r>
      <w:r>
        <w:rPr>
          <w:rFonts w:hint="eastAsia" w:ascii="仿宋_GB2312" w:hAnsi="黑体" w:eastAsia="仿宋_GB2312"/>
          <w:sz w:val="32"/>
          <w:szCs w:val="32"/>
          <w:lang w:val="en-US" w:eastAsia="zh-CN"/>
        </w:rPr>
        <w:t>为13.25万元，比去年预算数减少1.2万元，主要原因是人员工资及公积金基数有所变化</w:t>
      </w:r>
      <w:r>
        <w:rPr>
          <w:rFonts w:hint="eastAsia" w:ascii="仿宋_GB2312" w:hAnsi="黑体" w:eastAsia="仿宋_GB2312"/>
          <w:sz w:val="32"/>
          <w:szCs w:val="32"/>
        </w:rPr>
        <w:t>。</w:t>
      </w:r>
    </w:p>
    <w:p>
      <w:pPr>
        <w:ind w:firstLine="640" w:firstLineChars="200"/>
        <w:rPr>
          <w:rFonts w:hint="default" w:ascii="仿宋_GB2312" w:hAnsi="黑体" w:eastAsia="仿宋_GB2312"/>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lang w:val="en-US" w:eastAsia="zh-CN"/>
        </w:rPr>
      </w:pP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w:t>
      </w:r>
      <w:r>
        <w:rPr>
          <w:rFonts w:hint="eastAsia" w:ascii="黑体" w:hAnsi="黑体" w:eastAsia="黑体"/>
          <w:sz w:val="32"/>
          <w:szCs w:val="32"/>
          <w:u w:val="none"/>
          <w:lang w:val="en-US" w:eastAsia="zh-CN"/>
        </w:rPr>
        <w:t>关于</w:t>
      </w:r>
      <w:r>
        <w:rPr>
          <w:rFonts w:hint="eastAsia" w:ascii="黑体" w:hAnsi="黑体" w:eastAsia="黑体"/>
          <w:sz w:val="32"/>
          <w:szCs w:val="32"/>
        </w:rPr>
        <w:t>屯昌县第二幼儿园</w:t>
      </w:r>
      <w:r>
        <w:rPr>
          <w:rFonts w:hint="eastAsia" w:ascii="黑体" w:hAnsi="黑体" w:eastAsia="黑体"/>
          <w:sz w:val="32"/>
          <w:szCs w:val="32"/>
          <w:u w:val="none"/>
        </w:rPr>
        <w:t>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屯昌县第二幼儿园</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170.02</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168.87</w:t>
      </w:r>
      <w:r>
        <w:rPr>
          <w:rFonts w:hint="eastAsia" w:ascii="仿宋_GB2312" w:hAnsi="黑体" w:eastAsia="仿宋_GB2312"/>
          <w:sz w:val="32"/>
          <w:szCs w:val="32"/>
        </w:rPr>
        <w:t>万元，主要包括：基本工资、津贴补贴、奖金、绩效工资、机关事业单位基本养老保险缴费、城镇职工基本医疗保险缴费、公务员医疗补助缴费、其他社会保障缴费、住房公积金、医疗费等;</w:t>
      </w:r>
    </w:p>
    <w:p>
      <w:pPr>
        <w:ind w:firstLine="640" w:firstLineChars="200"/>
        <w:rPr>
          <w:rFonts w:ascii="仿宋_GB2312" w:hAnsi="黑体" w:eastAsia="仿宋_GB2312"/>
          <w:sz w:val="32"/>
          <w:szCs w:val="32"/>
          <w:u w:val="none"/>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1.15</w:t>
      </w:r>
      <w:r>
        <w:rPr>
          <w:rFonts w:hint="eastAsia" w:ascii="仿宋_GB2312" w:hAnsi="黑体" w:eastAsia="仿宋_GB2312"/>
          <w:sz w:val="32"/>
          <w:szCs w:val="32"/>
        </w:rPr>
        <w:t>万元，主要包括：工会经费。</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hint="eastAsia" w:ascii="黑体" w:hAnsi="黑体" w:eastAsia="黑体"/>
          <w:sz w:val="32"/>
          <w:szCs w:val="32"/>
        </w:rPr>
        <w:t>屯昌县第二幼儿园</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（一）屯昌县第二幼儿园</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（二）屯昌县第二幼儿园</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w:t>
      </w:r>
      <w:r>
        <w:rPr>
          <w:rFonts w:hint="eastAsia" w:ascii="黑体" w:hAnsi="黑体" w:eastAsia="黑体" w:cs="Times New Roman"/>
          <w:sz w:val="32"/>
          <w:szCs w:val="32"/>
          <w:u w:val="none"/>
          <w:shd w:val="clear" w:color="auto" w:fill="FFFFFF"/>
          <w:lang w:val="en-US" w:eastAsia="zh-CN"/>
        </w:rPr>
        <w:t>关于屯昌县第二幼儿园</w:t>
      </w:r>
      <w:r>
        <w:rPr>
          <w:rFonts w:hint="eastAsia" w:ascii="黑体" w:hAnsi="黑体" w:eastAsia="黑体" w:cs="Times New Roman"/>
          <w:sz w:val="32"/>
          <w:szCs w:val="32"/>
          <w:u w:val="none"/>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屯昌县第二幼儿园</w:t>
      </w:r>
      <w:r>
        <w:rPr>
          <w:rFonts w:hint="eastAsia" w:ascii="仿宋_GB2312" w:hAnsi="黑体" w:eastAsia="仿宋_GB2312"/>
          <w:sz w:val="32"/>
          <w:szCs w:val="32"/>
          <w:lang w:eastAsia="zh-CN"/>
        </w:rPr>
        <w:t>2025</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rPr>
        <w:t>0</w:t>
      </w:r>
      <w:r>
        <w:rPr>
          <w:rFonts w:hint="eastAsia" w:ascii="仿宋_GB2312" w:hAnsi="黑体" w:eastAsia="仿宋_GB2312"/>
          <w:sz w:val="32"/>
          <w:szCs w:val="32"/>
        </w:rPr>
        <w:t>万元，与上年预算数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无</w:t>
      </w:r>
      <w:r>
        <w:rPr>
          <w:rFonts w:hint="eastAsia" w:ascii="仿宋_GB2312" w:hAnsi="黑体" w:eastAsia="仿宋_GB2312"/>
          <w:sz w:val="32"/>
          <w:szCs w:val="32"/>
        </w:rPr>
        <w:t>。</w:t>
      </w:r>
    </w:p>
    <w:p>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val="en-US" w:eastAsia="zh-CN"/>
        </w:rPr>
      </w:pPr>
      <w:r>
        <w:rPr>
          <w:rFonts w:hint="eastAsia" w:ascii="仿宋_GB2312" w:hAnsi="黑体" w:eastAsia="仿宋_GB2312" w:cs="仿宋_GB2312"/>
          <w:sz w:val="32"/>
          <w:szCs w:val="32"/>
          <w:u w:val="none"/>
          <w:lang w:val="en-US" w:eastAsia="zh-CN"/>
        </w:rPr>
        <w:t>屯昌县第二幼儿园2026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val="en-US" w:eastAsia="zh-CN"/>
        </w:rPr>
        <w:t>无任何变化。</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rPr>
        <w:t>屯昌县第二幼儿园</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val="en-US" w:eastAsia="zh-CN"/>
        </w:rPr>
        <w:t>单位</w:t>
      </w:r>
      <w:r>
        <w:rPr>
          <w:rFonts w:hint="eastAsia" w:ascii="仿宋_GB2312" w:hAnsi="黑体" w:eastAsia="仿宋_GB2312" w:cs="仿宋_GB2312"/>
          <w:sz w:val="32"/>
          <w:szCs w:val="32"/>
        </w:rPr>
        <w:t>预算管理。收入包括：一般公共预算收入、上年结转收入</w:t>
      </w:r>
      <w:r>
        <w:rPr>
          <w:rFonts w:hint="eastAsia" w:ascii="仿宋_GB2312" w:hAnsi="黑体" w:eastAsia="仿宋_GB2312"/>
          <w:sz w:val="32"/>
          <w:szCs w:val="32"/>
        </w:rPr>
        <w:t>；支出包括：教育支出。屯昌县第二幼儿园</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177.31</w:t>
      </w:r>
      <w:r>
        <w:rPr>
          <w:rFonts w:hint="eastAsia" w:ascii="仿宋_GB2312" w:hAnsi="黑体" w:eastAsia="仿宋_GB2312"/>
          <w:sz w:val="32"/>
          <w:szCs w:val="32"/>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pPr>
        <w:ind w:firstLine="640" w:firstLineChars="200"/>
        <w:rPr>
          <w:rFonts w:hint="default" w:ascii="仿宋_GB2312" w:hAnsi="黑体" w:eastAsia="仿宋_GB2312"/>
          <w:sz w:val="32"/>
          <w:szCs w:val="32"/>
          <w:u w:val="none"/>
          <w:lang w:val="en-US"/>
        </w:rPr>
      </w:pPr>
      <w:r>
        <w:rPr>
          <w:rFonts w:hint="eastAsia" w:ascii="仿宋_GB2312" w:hAnsi="黑体" w:eastAsia="仿宋_GB2312"/>
          <w:sz w:val="32"/>
          <w:szCs w:val="32"/>
        </w:rPr>
        <w:t>屯昌县第二幼儿园</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177.31</w:t>
      </w:r>
      <w:r>
        <w:rPr>
          <w:rFonts w:hint="eastAsia" w:ascii="仿宋_GB2312" w:hAnsi="黑体" w:eastAsia="仿宋_GB2312"/>
          <w:sz w:val="32"/>
          <w:szCs w:val="32"/>
        </w:rPr>
        <w:t>万元，其中：上年结转</w:t>
      </w:r>
      <w:r>
        <w:rPr>
          <w:rFonts w:hint="eastAsia" w:ascii="仿宋_GB2312" w:hAnsi="黑体" w:eastAsia="仿宋_GB2312"/>
          <w:sz w:val="32"/>
          <w:szCs w:val="32"/>
          <w:lang w:val="en-US" w:eastAsia="zh-CN"/>
        </w:rPr>
        <w:t>7.19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4.06</w:t>
      </w:r>
      <w:r>
        <w:rPr>
          <w:rFonts w:hint="eastAsia" w:ascii="仿宋_GB2312" w:hAnsi="黑体" w:eastAsia="仿宋_GB2312"/>
          <w:sz w:val="32"/>
          <w:szCs w:val="32"/>
        </w:rPr>
        <w:t>%；一般公共预算收入</w:t>
      </w:r>
      <w:r>
        <w:rPr>
          <w:rFonts w:hint="eastAsia" w:ascii="仿宋_GB2312" w:hAnsi="黑体" w:eastAsia="仿宋_GB2312" w:cs="仿宋_GB2312"/>
          <w:sz w:val="32"/>
          <w:szCs w:val="32"/>
          <w:lang w:val="en-US" w:eastAsia="zh-CN"/>
        </w:rPr>
        <w:t>170.12</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95.94</w:t>
      </w:r>
      <w:r>
        <w:rPr>
          <w:rFonts w:hint="eastAsia" w:ascii="仿宋_GB2312" w:hAnsi="黑体" w:eastAsia="仿宋_GB2312"/>
          <w:sz w:val="32"/>
          <w:szCs w:val="32"/>
        </w:rPr>
        <w:t>%。收入预算上年预算数</w:t>
      </w:r>
      <w:r>
        <w:rPr>
          <w:rFonts w:hint="eastAsia" w:ascii="仿宋_GB2312" w:hAnsi="黑体" w:eastAsia="仿宋_GB2312"/>
          <w:sz w:val="32"/>
          <w:szCs w:val="32"/>
          <w:lang w:val="en-US" w:eastAsia="zh-CN"/>
        </w:rPr>
        <w:t>为182.99万元，其中：</w:t>
      </w:r>
      <w:r>
        <w:rPr>
          <w:rFonts w:hint="eastAsia" w:ascii="仿宋_GB2312" w:hAnsi="黑体" w:eastAsia="仿宋_GB2312"/>
          <w:sz w:val="32"/>
          <w:szCs w:val="32"/>
        </w:rPr>
        <w:t>上年结转上年结转</w:t>
      </w:r>
      <w:r>
        <w:rPr>
          <w:rFonts w:hint="eastAsia" w:ascii="仿宋_GB2312" w:hAnsi="黑体" w:eastAsia="仿宋_GB2312"/>
          <w:sz w:val="32"/>
          <w:szCs w:val="32"/>
          <w:lang w:val="en-US" w:eastAsia="zh-CN"/>
        </w:rPr>
        <w:t>14.91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8.15</w:t>
      </w:r>
      <w:r>
        <w:rPr>
          <w:rFonts w:hint="eastAsia" w:ascii="仿宋_GB2312" w:hAnsi="黑体" w:eastAsia="仿宋_GB2312"/>
          <w:sz w:val="32"/>
          <w:szCs w:val="32"/>
        </w:rPr>
        <w:t>%；一般公共预算收入</w:t>
      </w:r>
      <w:r>
        <w:rPr>
          <w:rFonts w:hint="eastAsia" w:ascii="仿宋_GB2312" w:hAnsi="黑体" w:eastAsia="仿宋_GB2312" w:cs="仿宋_GB2312"/>
          <w:sz w:val="32"/>
          <w:szCs w:val="32"/>
          <w:lang w:val="en-US" w:eastAsia="zh-CN"/>
        </w:rPr>
        <w:t>168.08</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91.85</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比上年数据有所减少，主要原因是本年结转资金相对于上年较少了7.72元，导致今年预算数低于去年。</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pPr>
        <w:spacing w:line="578" w:lineRule="exact"/>
        <w:ind w:firstLine="640" w:firstLineChars="200"/>
        <w:rPr>
          <w:sz w:val="32"/>
          <w:szCs w:val="32"/>
        </w:rPr>
      </w:pPr>
      <w:r>
        <w:rPr>
          <w:rFonts w:hint="eastAsia" w:ascii="仿宋_GB2312" w:hAnsi="黑体" w:eastAsia="仿宋_GB2312"/>
          <w:sz w:val="32"/>
          <w:szCs w:val="32"/>
        </w:rPr>
        <w:t>屯昌县第二幼儿园</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177.31</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170.02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95.89</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7.29</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4.11</w:t>
      </w:r>
      <w:r>
        <w:rPr>
          <w:rFonts w:hint="eastAsia" w:ascii="仿宋_GB2312" w:hAnsi="黑体" w:eastAsia="仿宋_GB2312"/>
          <w:sz w:val="32"/>
          <w:szCs w:val="32"/>
        </w:rPr>
        <w:t>%。上年预算数</w:t>
      </w:r>
      <w:r>
        <w:rPr>
          <w:rFonts w:hint="eastAsia" w:ascii="仿宋_GB2312" w:hAnsi="黑体" w:eastAsia="仿宋_GB2312"/>
          <w:sz w:val="32"/>
          <w:szCs w:val="32"/>
          <w:lang w:val="en-US" w:eastAsia="zh-CN"/>
        </w:rPr>
        <w:t>为</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182.99</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168.</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91.85</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14.91</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8.15</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比上年数据有所减少，主要原因是项目支出相比于上年减少了7.62万元，导致今年的预算数低于去年。</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（一）机关运行经费（行政单位、参照公务员法管理的事业单位需说明，其他单位不需要说明）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年屯昌县第二幼儿园</w:t>
      </w:r>
      <w:r>
        <w:rPr>
          <w:rFonts w:hint="eastAsia" w:ascii="仿宋_GB2312" w:hAnsi="黑体" w:eastAsia="仿宋_GB2312" w:cs="仿宋_GB2312"/>
          <w:sz w:val="32"/>
          <w:szCs w:val="32"/>
        </w:rPr>
        <w:t>的机关运行经费预算0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年屯昌县第二幼儿园</w:t>
      </w:r>
      <w:r>
        <w:rPr>
          <w:rFonts w:hint="eastAsia" w:ascii="仿宋_GB2312" w:hAnsi="黑体" w:eastAsia="仿宋_GB2312" w:cs="仿宋_GB2312"/>
          <w:sz w:val="32"/>
          <w:szCs w:val="32"/>
        </w:rPr>
        <w:t>无政府采购预算</w:t>
      </w:r>
      <w:r>
        <w:rPr>
          <w:rFonts w:hint="eastAsia" w:ascii="仿宋_GB2312" w:hAnsi="黑体" w:eastAsia="仿宋_GB2312"/>
          <w:sz w:val="32"/>
          <w:szCs w:val="32"/>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年12月31日，屯昌县第二幼儿园</w:t>
      </w:r>
      <w:r>
        <w:rPr>
          <w:rFonts w:hint="eastAsia" w:ascii="仿宋_GB2312" w:hAnsi="黑体" w:eastAsia="仿宋_GB2312" w:cs="仿宋_GB2312"/>
          <w:sz w:val="32"/>
          <w:szCs w:val="32"/>
        </w:rPr>
        <w:t>本级及下属各预算单位共有车辆0辆，其中，领导干部用车0辆，机要通信应急用车0辆、一般执法执勤用车0辆、特种专业技术用车0辆、其他用车0辆。单位价值100万元以上设备0台（套）。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年屯昌县第二幼儿园</w:t>
      </w: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170.12</w:t>
      </w:r>
      <w:r>
        <w:rPr>
          <w:rFonts w:hint="eastAsia" w:ascii="仿宋_GB2312" w:hAnsi="黑体" w:eastAsia="仿宋_GB2312"/>
          <w:sz w:val="32"/>
          <w:szCs w:val="32"/>
        </w:rPr>
        <w:t>万元、政府性基金</w:t>
      </w:r>
      <w:r>
        <w:rPr>
          <w:rFonts w:hint="eastAsia" w:ascii="仿宋_GB2312" w:hAnsi="黑体" w:eastAsia="仿宋_GB2312" w:cs="仿宋_GB2312"/>
          <w:sz w:val="32"/>
          <w:szCs w:val="32"/>
        </w:rPr>
        <w:t>0</w:t>
      </w:r>
      <w:r>
        <w:rPr>
          <w:rFonts w:hint="eastAsia" w:ascii="仿宋_GB2312" w:hAnsi="黑体" w:eastAsia="仿宋_GB2312"/>
          <w:sz w:val="32"/>
          <w:szCs w:val="32"/>
        </w:rPr>
        <w:t>万元。</w:t>
      </w:r>
      <w:bookmarkStart w:id="0" w:name="_GoBack"/>
      <w:bookmarkEnd w:id="0"/>
    </w:p>
    <w:p>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8240;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zlru0wAAAAQBAAAPAAAAAAAA&#10;AAEAIAAAACIAAABkcnMvZG93bnJldi54bWxQSwECFAAUAAAACACHTuJApPngsRcCAAATBAAADgAA&#10;AAAAAAABACAAAAAiAQAAZHJzL2Uyb0RvYy54bWxQSwUGAAAAAAYABgBZAQAAqwUAAAAA&#10;">
              <v:fill on="f" focussize="0,0"/>
              <v:stroke on="f" weight="0.5pt"/>
              <v:imagedata o:title=""/>
              <o:lock v:ext="edit" aspectratio="f"/>
              <v:textbox inset="0mm,0mm,0mm,0mm">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D7F66E0"/>
    <w:rsid w:val="415D6A9A"/>
    <w:rsid w:val="79284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3</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DW</cp:lastModifiedBy>
  <dcterms:modified xsi:type="dcterms:W3CDTF">2026-03-04T02:24:23Z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