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B7BCD">
      <w:pPr>
        <w:spacing w:line="560" w:lineRule="exact"/>
        <w:rPr>
          <w:sz w:val="84"/>
          <w:szCs w:val="84"/>
          <w:u w:val="none"/>
        </w:rPr>
      </w:pPr>
    </w:p>
    <w:p w14:paraId="4919F408">
      <w:pPr>
        <w:spacing w:line="560" w:lineRule="exact"/>
        <w:rPr>
          <w:sz w:val="84"/>
          <w:szCs w:val="84"/>
          <w:u w:val="none"/>
        </w:rPr>
      </w:pPr>
    </w:p>
    <w:p w14:paraId="7B80B137">
      <w:pPr>
        <w:spacing w:line="560" w:lineRule="exact"/>
        <w:rPr>
          <w:sz w:val="84"/>
          <w:szCs w:val="84"/>
          <w:u w:val="none"/>
        </w:rPr>
      </w:pPr>
    </w:p>
    <w:p w14:paraId="41BD2DEA">
      <w:pPr>
        <w:spacing w:line="560" w:lineRule="exact"/>
        <w:rPr>
          <w:sz w:val="84"/>
          <w:szCs w:val="84"/>
          <w:u w:val="none"/>
        </w:rPr>
      </w:pPr>
    </w:p>
    <w:p w14:paraId="08B52329">
      <w:pPr>
        <w:spacing w:line="560" w:lineRule="exact"/>
        <w:jc w:val="center"/>
        <w:rPr>
          <w:rFonts w:hint="eastAsia"/>
          <w:sz w:val="52"/>
          <w:szCs w:val="52"/>
          <w:u w:val="none"/>
          <w:lang w:val="en-US" w:eastAsia="zh-CN"/>
        </w:rPr>
      </w:pPr>
    </w:p>
    <w:p w14:paraId="6B49816D">
      <w:pPr>
        <w:spacing w:line="560" w:lineRule="exact"/>
        <w:jc w:val="center"/>
        <w:rPr>
          <w:rFonts w:hint="eastAsia"/>
          <w:sz w:val="52"/>
          <w:szCs w:val="52"/>
          <w:u w:val="none"/>
          <w:lang w:val="en-US" w:eastAsia="zh-CN"/>
        </w:rPr>
      </w:pPr>
    </w:p>
    <w:p w14:paraId="3A8B6E6E">
      <w:pPr>
        <w:spacing w:line="560" w:lineRule="exact"/>
        <w:jc w:val="center"/>
        <w:rPr>
          <w:rFonts w:hint="eastAsia"/>
          <w:sz w:val="52"/>
          <w:szCs w:val="52"/>
          <w:u w:val="none"/>
          <w:lang w:val="en-US" w:eastAsia="zh-CN"/>
        </w:rPr>
      </w:pPr>
    </w:p>
    <w:p w14:paraId="42A63C49">
      <w:pPr>
        <w:spacing w:line="560" w:lineRule="exact"/>
        <w:jc w:val="center"/>
        <w:rPr>
          <w:rFonts w:hint="eastAsia"/>
          <w:sz w:val="52"/>
          <w:szCs w:val="52"/>
          <w:u w:val="none"/>
          <w:lang w:val="en-US" w:eastAsia="zh-CN"/>
        </w:rPr>
      </w:pPr>
    </w:p>
    <w:p w14:paraId="6C4A638D">
      <w:pPr>
        <w:spacing w:line="560" w:lineRule="exact"/>
        <w:jc w:val="center"/>
        <w:rPr>
          <w:rFonts w:hint="eastAsia"/>
          <w:sz w:val="52"/>
          <w:szCs w:val="52"/>
          <w:u w:val="none"/>
          <w:lang w:val="en-US" w:eastAsia="zh-CN"/>
        </w:rPr>
      </w:pPr>
    </w:p>
    <w:p w14:paraId="52D0859B">
      <w:pPr>
        <w:spacing w:line="560" w:lineRule="exact"/>
        <w:jc w:val="center"/>
        <w:rPr>
          <w:rFonts w:hint="eastAsia"/>
          <w:sz w:val="52"/>
          <w:szCs w:val="52"/>
          <w:u w:val="none"/>
          <w:lang w:val="en-US" w:eastAsia="zh-CN"/>
        </w:rPr>
      </w:pPr>
    </w:p>
    <w:p w14:paraId="4AD3323E">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屯昌县枫木镇中心幼儿园</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4F6EC18B">
      <w:pPr>
        <w:spacing w:line="560" w:lineRule="exact"/>
        <w:ind w:firstLine="1680"/>
        <w:jc w:val="center"/>
        <w:rPr>
          <w:sz w:val="84"/>
          <w:szCs w:val="84"/>
          <w:u w:val="none"/>
        </w:rPr>
      </w:pPr>
    </w:p>
    <w:p w14:paraId="56AAC634">
      <w:pPr>
        <w:spacing w:line="560" w:lineRule="exact"/>
        <w:ind w:firstLine="1680"/>
        <w:jc w:val="center"/>
        <w:rPr>
          <w:sz w:val="84"/>
          <w:szCs w:val="84"/>
          <w:u w:val="none"/>
        </w:rPr>
      </w:pPr>
    </w:p>
    <w:p w14:paraId="5CCF0D0A">
      <w:pPr>
        <w:spacing w:line="560" w:lineRule="exact"/>
        <w:ind w:firstLine="1680"/>
        <w:jc w:val="center"/>
        <w:rPr>
          <w:sz w:val="84"/>
          <w:szCs w:val="84"/>
          <w:u w:val="none"/>
        </w:rPr>
      </w:pPr>
    </w:p>
    <w:p w14:paraId="1C604B22">
      <w:pPr>
        <w:spacing w:line="560" w:lineRule="exact"/>
        <w:ind w:firstLine="1680"/>
        <w:jc w:val="center"/>
        <w:rPr>
          <w:sz w:val="84"/>
          <w:szCs w:val="84"/>
          <w:u w:val="none"/>
        </w:rPr>
      </w:pPr>
    </w:p>
    <w:p w14:paraId="0CD4AEEF">
      <w:pPr>
        <w:rPr>
          <w:sz w:val="84"/>
          <w:szCs w:val="84"/>
          <w:u w:val="none"/>
        </w:rPr>
      </w:pPr>
      <w:r>
        <w:rPr>
          <w:sz w:val="84"/>
          <w:szCs w:val="84"/>
          <w:u w:val="none"/>
        </w:rPr>
        <w:br w:type="page"/>
      </w:r>
    </w:p>
    <w:p w14:paraId="26608486">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19CBE130">
      <w:pPr>
        <w:spacing w:line="578" w:lineRule="exact"/>
        <w:jc w:val="center"/>
        <w:rPr>
          <w:rFonts w:hint="eastAsia" w:ascii="黑体" w:hAnsi="黑体" w:eastAsia="黑体"/>
          <w:sz w:val="52"/>
          <w:szCs w:val="52"/>
        </w:rPr>
      </w:pPr>
    </w:p>
    <w:p w14:paraId="77CD3C63">
      <w:pPr>
        <w:pStyle w:val="6"/>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屯昌县枫木镇中心幼儿园</w:t>
      </w:r>
      <w:r>
        <w:rPr>
          <w:rFonts w:hint="eastAsia" w:ascii="黑体" w:hAnsi="黑体" w:eastAsia="黑体"/>
          <w:sz w:val="32"/>
          <w:szCs w:val="32"/>
        </w:rPr>
        <w:t>概况</w:t>
      </w:r>
    </w:p>
    <w:p w14:paraId="380A966A">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3E981FFD">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w:t>
      </w:r>
    </w:p>
    <w:p w14:paraId="751AD9D1">
      <w:pPr>
        <w:pStyle w:val="6"/>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屯昌县枫木镇中心幼儿园</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预算表</w:t>
      </w:r>
    </w:p>
    <w:p w14:paraId="67A2D15B">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329238AE">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604AF0B1">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12EED4B">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41AB0538">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05088420">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2F889C1D">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46D665F2">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7E22CDEE">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2CF1C264">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2295BCE6">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屯昌县枫木镇中心幼儿园</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年单位预算情况说明</w:t>
      </w:r>
    </w:p>
    <w:p w14:paraId="583BB01B">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0C1061D5">
      <w:pPr>
        <w:spacing w:line="578" w:lineRule="exact"/>
        <w:jc w:val="left"/>
        <w:rPr>
          <w:rFonts w:ascii="黑体" w:hAnsi="黑体" w:eastAsia="黑体"/>
          <w:sz w:val="32"/>
          <w:szCs w:val="32"/>
        </w:rPr>
      </w:pPr>
    </w:p>
    <w:p w14:paraId="32891995">
      <w:pPr>
        <w:pStyle w:val="6"/>
        <w:numPr>
          <w:ilvl w:val="0"/>
          <w:numId w:val="4"/>
        </w:numPr>
        <w:spacing w:line="578" w:lineRule="exact"/>
        <w:ind w:firstLineChars="0"/>
        <w:jc w:val="center"/>
        <w:rPr>
          <w:rFonts w:ascii="仿宋_GB2312" w:hAnsi="仿宋_GB2312" w:eastAsia="仿宋_GB2312" w:cs="仿宋_GB2312"/>
          <w:sz w:val="32"/>
          <w:szCs w:val="32"/>
        </w:rPr>
        <w:sectPr>
          <w:footerReference r:id="rId3" w:type="default"/>
          <w:pgSz w:w="11906" w:h="16838"/>
          <w:pgMar w:top="1440" w:right="1800" w:bottom="1440" w:left="1800" w:header="851" w:footer="992" w:gutter="0"/>
          <w:pgNumType w:start="1"/>
          <w:cols w:space="720" w:num="1"/>
          <w:docGrid w:type="lines" w:linePitch="312" w:charSpace="0"/>
        </w:sectPr>
      </w:pPr>
    </w:p>
    <w:p w14:paraId="2A15B779">
      <w:pPr>
        <w:pStyle w:val="6"/>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概况</w:t>
      </w:r>
    </w:p>
    <w:p w14:paraId="77AFFA67">
      <w:pPr>
        <w:spacing w:line="578" w:lineRule="exact"/>
        <w:jc w:val="left"/>
        <w:rPr>
          <w:rFonts w:ascii="仿宋_GB2312" w:hAnsi="仿宋_GB2312" w:eastAsia="仿宋_GB2312" w:cs="仿宋_GB2312"/>
          <w:sz w:val="32"/>
          <w:szCs w:val="32"/>
        </w:rPr>
      </w:pPr>
    </w:p>
    <w:p w14:paraId="531DAD2D">
      <w:pPr>
        <w:pStyle w:val="6"/>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5C45E2F0">
      <w:pPr>
        <w:ind w:firstLine="800" w:firstLineChars="250"/>
        <w:jc w:val="left"/>
        <w:rPr>
          <w:rFonts w:ascii="仿宋_GB2312" w:hAnsi="宋体" w:eastAsia="仿宋_GB2312"/>
          <w:sz w:val="32"/>
          <w:szCs w:val="32"/>
        </w:rPr>
      </w:pPr>
      <w:r>
        <w:rPr>
          <w:rFonts w:hint="eastAsia" w:ascii="仿宋_GB2312" w:hAnsi="宋体" w:eastAsia="仿宋_GB2312"/>
          <w:sz w:val="32"/>
          <w:szCs w:val="32"/>
        </w:rPr>
        <w:t>（一）我园属于事业单位，财务隶属关系为二级单位，园里编制共有2</w:t>
      </w:r>
      <w:r>
        <w:rPr>
          <w:rFonts w:hint="eastAsia" w:ascii="仿宋_GB2312" w:hAnsi="宋体" w:eastAsia="仿宋_GB2312"/>
          <w:sz w:val="32"/>
          <w:szCs w:val="32"/>
          <w:lang w:val="en-US" w:eastAsia="zh-CN"/>
        </w:rPr>
        <w:t>4</w:t>
      </w:r>
      <w:r>
        <w:rPr>
          <w:rFonts w:hint="eastAsia" w:ascii="仿宋_GB2312" w:hAnsi="宋体" w:eastAsia="仿宋_GB2312"/>
          <w:sz w:val="32"/>
          <w:szCs w:val="32"/>
        </w:rPr>
        <w:t>人，事业编制实有人员</w:t>
      </w:r>
      <w:r>
        <w:rPr>
          <w:rFonts w:hint="eastAsia" w:ascii="仿宋_GB2312" w:hAnsi="宋体" w:eastAsia="仿宋_GB2312"/>
          <w:sz w:val="32"/>
          <w:szCs w:val="32"/>
          <w:lang w:val="en-US" w:eastAsia="zh-CN"/>
        </w:rPr>
        <w:t>24</w:t>
      </w:r>
      <w:r>
        <w:rPr>
          <w:rFonts w:hint="eastAsia" w:ascii="仿宋_GB2312" w:hAnsi="宋体" w:eastAsia="仿宋_GB2312"/>
          <w:sz w:val="32"/>
          <w:szCs w:val="32"/>
        </w:rPr>
        <w:t>人，专任教师2</w:t>
      </w:r>
      <w:r>
        <w:rPr>
          <w:rFonts w:hint="eastAsia" w:ascii="仿宋_GB2312" w:hAnsi="宋体" w:eastAsia="仿宋_GB2312"/>
          <w:sz w:val="32"/>
          <w:szCs w:val="32"/>
          <w:lang w:val="en-US" w:eastAsia="zh-CN"/>
        </w:rPr>
        <w:t>1</w:t>
      </w:r>
      <w:r>
        <w:rPr>
          <w:rFonts w:hint="eastAsia" w:ascii="仿宋_GB2312" w:hAnsi="宋体" w:eastAsia="仿宋_GB2312"/>
          <w:sz w:val="32"/>
          <w:szCs w:val="32"/>
        </w:rPr>
        <w:t>人。共有</w:t>
      </w:r>
      <w:r>
        <w:rPr>
          <w:rFonts w:hint="eastAsia" w:ascii="仿宋_GB2312" w:hAnsi="宋体" w:eastAsia="仿宋_GB2312"/>
          <w:sz w:val="32"/>
          <w:szCs w:val="32"/>
          <w:lang w:val="en-US" w:eastAsia="zh-CN"/>
        </w:rPr>
        <w:t>4</w:t>
      </w:r>
      <w:r>
        <w:rPr>
          <w:rFonts w:hint="eastAsia" w:ascii="仿宋_GB2312" w:hAnsi="宋体" w:eastAsia="仿宋_GB2312"/>
          <w:sz w:val="32"/>
          <w:szCs w:val="32"/>
        </w:rPr>
        <w:t>名园长双肩挑，一正</w:t>
      </w:r>
      <w:r>
        <w:rPr>
          <w:rFonts w:hint="eastAsia" w:ascii="仿宋_GB2312" w:hAnsi="宋体" w:eastAsia="仿宋_GB2312"/>
          <w:sz w:val="32"/>
          <w:szCs w:val="32"/>
          <w:lang w:val="en-US" w:eastAsia="zh-CN"/>
        </w:rPr>
        <w:t>三</w:t>
      </w:r>
      <w:r>
        <w:rPr>
          <w:rFonts w:hint="eastAsia" w:ascii="仿宋_GB2312" w:hAnsi="宋体" w:eastAsia="仿宋_GB2312"/>
          <w:sz w:val="32"/>
          <w:szCs w:val="32"/>
        </w:rPr>
        <w:t>副。</w:t>
      </w:r>
    </w:p>
    <w:p w14:paraId="0391EACB">
      <w:pPr>
        <w:ind w:firstLine="800" w:firstLineChars="250"/>
        <w:rPr>
          <w:rFonts w:ascii="仿宋_GB2312" w:hAnsi="仿宋" w:eastAsia="仿宋_GB2312" w:cs="仿宋"/>
          <w:sz w:val="32"/>
          <w:szCs w:val="32"/>
        </w:rPr>
      </w:pPr>
      <w:r>
        <w:rPr>
          <w:rFonts w:hint="eastAsia" w:ascii="仿宋_GB2312" w:hAnsi="宋体" w:eastAsia="仿宋_GB2312" w:cs="Arial"/>
          <w:color w:val="333333"/>
          <w:sz w:val="32"/>
          <w:szCs w:val="32"/>
        </w:rPr>
        <w:t>（二）我园认真按照国务院及县教育局的文件执行规范性的三定方案，</w:t>
      </w:r>
      <w:r>
        <w:rPr>
          <w:rFonts w:hint="eastAsia" w:ascii="仿宋_GB2312" w:hAnsi="宋体" w:eastAsia="仿宋_GB2312" w:cs="仿宋"/>
          <w:sz w:val="32"/>
          <w:szCs w:val="32"/>
        </w:rPr>
        <w:t>统筹拟定综合管理全园学龄前的幼儿教育，以及工作教育经费;履行管理好教育附加费及教育部门预算内与预算外资金的使用等等各项工作方案。</w:t>
      </w:r>
    </w:p>
    <w:p w14:paraId="0E3CB319">
      <w:pPr>
        <w:pStyle w:val="6"/>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14:paraId="23ACF103">
      <w:pPr>
        <w:ind w:firstLine="800" w:firstLineChars="250"/>
        <w:jc w:val="left"/>
        <w:rPr>
          <w:rFonts w:ascii="仿宋_GB2312" w:hAnsi="黑体" w:eastAsia="仿宋_GB2312" w:cs="仿宋_GB2312"/>
          <w:sz w:val="32"/>
          <w:szCs w:val="32"/>
        </w:rPr>
      </w:pPr>
    </w:p>
    <w:p w14:paraId="52F1AE6E">
      <w:pPr>
        <w:ind w:firstLine="640" w:firstLineChars="200"/>
        <w:jc w:val="left"/>
        <w:rPr>
          <w:rFonts w:ascii="仿宋_GB2312" w:hAnsi="黑体" w:eastAsia="仿宋_GB2312" w:cs="仿宋_GB2312"/>
          <w:sz w:val="32"/>
          <w:szCs w:val="32"/>
        </w:rPr>
      </w:pPr>
      <w:r>
        <w:rPr>
          <w:rFonts w:hint="eastAsia" w:ascii="仿宋_GB2312" w:hAnsi="宋体" w:eastAsia="仿宋_GB2312"/>
          <w:sz w:val="32"/>
          <w:szCs w:val="32"/>
        </w:rPr>
        <w:t>无</w:t>
      </w:r>
    </w:p>
    <w:p w14:paraId="20B6B00D">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屯昌县枫木镇中心幼儿园</w:t>
      </w:r>
      <w:r>
        <w:rPr>
          <w:rFonts w:hint="eastAsia" w:ascii="黑体" w:hAnsi="黑体" w:eastAsia="黑体"/>
          <w:sz w:val="32"/>
          <w:szCs w:val="32"/>
        </w:rPr>
        <w:t>单位</w:t>
      </w:r>
      <w:r>
        <w:rPr>
          <w:rFonts w:hint="eastAsia" w:ascii="黑体" w:hAnsi="黑体" w:eastAsia="黑体"/>
          <w:sz w:val="32"/>
          <w:szCs w:val="32"/>
          <w:lang w:val="en-US" w:eastAsia="zh-CN"/>
        </w:rPr>
        <w:t>2025</w:t>
      </w:r>
      <w:r>
        <w:rPr>
          <w:rFonts w:hint="eastAsia" w:ascii="黑体" w:hAnsi="黑体" w:eastAsia="黑体"/>
          <w:sz w:val="32"/>
          <w:szCs w:val="32"/>
        </w:rPr>
        <w:t>年单位预算表</w:t>
      </w:r>
    </w:p>
    <w:p w14:paraId="63D9EA0A">
      <w:pPr>
        <w:spacing w:line="578" w:lineRule="exact"/>
        <w:ind w:left="800"/>
        <w:jc w:val="left"/>
        <w:rPr>
          <w:rFonts w:ascii="黑体" w:hAnsi="黑体" w:eastAsia="黑体"/>
          <w:sz w:val="32"/>
          <w:szCs w:val="32"/>
        </w:rPr>
      </w:pPr>
    </w:p>
    <w:p w14:paraId="2A9EDAF5">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14:paraId="57297B7B">
      <w:pPr>
        <w:spacing w:line="578" w:lineRule="exact"/>
        <w:rPr>
          <w:rFonts w:ascii="黑体" w:hAnsi="黑体" w:eastAsia="黑体"/>
          <w:sz w:val="32"/>
          <w:szCs w:val="32"/>
        </w:rPr>
      </w:pPr>
    </w:p>
    <w:p w14:paraId="7C455FED">
      <w:pPr>
        <w:ind w:firstLine="480" w:firstLineChars="15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cs="仿宋_GB2312"/>
          <w:sz w:val="32"/>
          <w:szCs w:val="32"/>
        </w:rPr>
        <w:t>屯昌县枫木镇中心幼儿园202</w:t>
      </w:r>
      <w:r>
        <w:rPr>
          <w:rFonts w:hint="eastAsia" w:ascii="黑体" w:hAnsi="黑体" w:eastAsia="黑体" w:cs="仿宋_GB2312"/>
          <w:sz w:val="32"/>
          <w:szCs w:val="32"/>
          <w:lang w:val="en-US" w:eastAsia="zh-CN"/>
        </w:rPr>
        <w:t>5</w:t>
      </w:r>
      <w:r>
        <w:rPr>
          <w:rFonts w:hint="eastAsia" w:ascii="黑体" w:hAnsi="黑体" w:eastAsia="黑体"/>
          <w:sz w:val="32"/>
          <w:szCs w:val="32"/>
        </w:rPr>
        <w:t>年单位预算情况说明</w:t>
      </w:r>
    </w:p>
    <w:p w14:paraId="1E96D4DF">
      <w:pPr>
        <w:spacing w:line="578" w:lineRule="exact"/>
        <w:jc w:val="center"/>
        <w:rPr>
          <w:rFonts w:ascii="黑体" w:hAnsi="黑体" w:eastAsia="黑体"/>
          <w:sz w:val="32"/>
          <w:szCs w:val="32"/>
        </w:rPr>
      </w:pPr>
    </w:p>
    <w:p w14:paraId="5FA10EAB">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r>
        <w:rPr>
          <w:rFonts w:hint="eastAsia" w:ascii="黑体" w:hAnsi="黑体" w:eastAsia="黑体"/>
          <w:sz w:val="32"/>
          <w:szCs w:val="32"/>
        </w:rPr>
        <w:t>一、关于</w:t>
      </w:r>
      <w:r>
        <w:rPr>
          <w:rFonts w:hint="eastAsia" w:ascii="黑体" w:hAnsi="黑体" w:eastAsia="黑体" w:cs="仿宋_GB2312"/>
          <w:sz w:val="32"/>
          <w:szCs w:val="32"/>
        </w:rPr>
        <w:t>屯昌县枫木镇中心幼儿园202</w:t>
      </w:r>
      <w:r>
        <w:rPr>
          <w:rFonts w:hint="eastAsia" w:ascii="黑体" w:hAnsi="黑体" w:eastAsia="黑体" w:cs="仿宋_GB2312"/>
          <w:sz w:val="32"/>
          <w:szCs w:val="32"/>
          <w:lang w:val="en-US" w:eastAsia="zh-CN"/>
        </w:rPr>
        <w:t>5</w:t>
      </w:r>
      <w:r>
        <w:rPr>
          <w:rFonts w:hint="eastAsia" w:ascii="黑体" w:hAnsi="黑体" w:eastAsia="黑体"/>
          <w:sz w:val="32"/>
          <w:szCs w:val="32"/>
        </w:rPr>
        <w:t>年财政拨款收支预</w:t>
      </w:r>
    </w:p>
    <w:p w14:paraId="571C100D">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4A02C75F">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473D6906">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6E07BA93">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2FD55BCC">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72639984">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55B812D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2F103697">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屯昌县枫木镇中心幼儿园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1031.38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9.82</w:t>
      </w:r>
      <w:r>
        <w:rPr>
          <w:rFonts w:hint="eastAsia" w:ascii="仿宋_GB2312" w:hAnsi="黑体" w:eastAsia="仿宋_GB2312"/>
          <w:sz w:val="32"/>
          <w:szCs w:val="32"/>
          <w:u w:val="none"/>
        </w:rPr>
        <w:t>万元主要是</w:t>
      </w:r>
      <w:r>
        <w:rPr>
          <w:rFonts w:ascii="仿宋_GB2312" w:hAnsi="黑体" w:eastAsia="仿宋_GB2312"/>
          <w:sz w:val="32"/>
          <w:szCs w:val="32"/>
          <w:u w:val="none"/>
        </w:rPr>
        <w:t>…</w:t>
      </w:r>
      <w:r>
        <w:rPr>
          <w:rFonts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515.69</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505.87</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9.82</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515.69</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515.69</w:t>
      </w:r>
      <w:r>
        <w:rPr>
          <w:rFonts w:hint="eastAsia" w:ascii="仿宋_GB2312" w:hAnsi="黑体" w:eastAsia="仿宋_GB2312"/>
          <w:color w:val="auto"/>
          <w:sz w:val="32"/>
          <w:szCs w:val="32"/>
          <w:u w:val="none"/>
        </w:rPr>
        <w:t>万元、</w:t>
      </w:r>
      <w:r>
        <w:rPr>
          <w:rFonts w:hint="eastAsia" w:ascii="仿宋" w:hAnsi="仿宋" w:eastAsia="仿宋" w:cs="仿宋"/>
          <w:sz w:val="32"/>
          <w:szCs w:val="32"/>
        </w:rPr>
        <w:t>外交支出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万元、国防支出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358.51</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67.41</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50.01</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39.76</w:t>
      </w:r>
      <w:r>
        <w:rPr>
          <w:rFonts w:hint="eastAsia" w:ascii="仿宋_GB2312" w:hAnsi="黑体" w:eastAsia="仿宋_GB2312"/>
          <w:sz w:val="32"/>
          <w:szCs w:val="32"/>
        </w:rPr>
        <w:t>万元，结转下年</w:t>
      </w:r>
      <w:r>
        <w:rPr>
          <w:rFonts w:hint="eastAsia" w:ascii="仿宋_GB2312" w:hAnsi="黑体" w:eastAsia="仿宋_GB2312"/>
          <w:sz w:val="32"/>
          <w:szCs w:val="32"/>
          <w:lang w:val="en-US" w:eastAsia="zh-CN"/>
        </w:rPr>
        <w:t>9.82</w:t>
      </w:r>
      <w:r>
        <w:rPr>
          <w:rFonts w:hint="eastAsia" w:ascii="仿宋_GB2312" w:hAnsi="黑体" w:eastAsia="仿宋_GB2312"/>
          <w:sz w:val="32"/>
          <w:szCs w:val="32"/>
        </w:rPr>
        <w:t>万元</w:t>
      </w:r>
      <w:r>
        <w:rPr>
          <w:rFonts w:hint="eastAsia" w:ascii="仿宋" w:hAnsi="仿宋" w:eastAsia="仿宋" w:cs="仿宋"/>
          <w:sz w:val="32"/>
          <w:szCs w:val="32"/>
        </w:rPr>
        <w:t>。</w:t>
      </w:r>
    </w:p>
    <w:p w14:paraId="6E659ABE">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750C755B">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1FDF0D53">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屯昌县枫木镇中心幼儿园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515.69</w:t>
      </w:r>
      <w:r>
        <w:rPr>
          <w:rFonts w:hint="eastAsia" w:ascii="仿宋_GB2312" w:hAnsi="黑体" w:eastAsia="仿宋_GB2312"/>
          <w:sz w:val="32"/>
          <w:szCs w:val="32"/>
          <w:u w:val="none"/>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u w:val="none"/>
        </w:rPr>
        <w:t>，</w:t>
      </w:r>
      <w:r>
        <w:rPr>
          <w:rFonts w:hint="eastAsia" w:ascii="仿宋" w:hAnsi="仿宋" w:eastAsia="仿宋" w:cs="仿宋"/>
          <w:sz w:val="32"/>
          <w:szCs w:val="32"/>
        </w:rPr>
        <w:t>主要是</w:t>
      </w:r>
      <w:r>
        <w:rPr>
          <w:rFonts w:hint="eastAsia" w:ascii="仿宋_GB2312" w:hAnsi="黑体" w:eastAsia="仿宋_GB2312"/>
          <w:sz w:val="32"/>
          <w:szCs w:val="32"/>
        </w:rPr>
        <w:t>要是我单位的</w:t>
      </w:r>
      <w:r>
        <w:rPr>
          <w:rFonts w:hint="eastAsia" w:ascii="宋体" w:hAnsi="宋体"/>
          <w:sz w:val="32"/>
          <w:szCs w:val="32"/>
        </w:rPr>
        <w:t>教育支出和</w:t>
      </w:r>
      <w:r>
        <w:rPr>
          <w:rFonts w:hint="eastAsia" w:ascii="宋体" w:hAnsi="宋体" w:cs="宋体"/>
          <w:sz w:val="30"/>
          <w:szCs w:val="30"/>
        </w:rPr>
        <w:t>社会保障和卫生健康支出、住房保障支出等</w:t>
      </w:r>
      <w:r>
        <w:rPr>
          <w:rFonts w:hint="eastAsia" w:ascii="宋体" w:hAnsi="宋体"/>
          <w:sz w:val="32"/>
          <w:szCs w:val="32"/>
          <w:lang w:val="en-US" w:eastAsia="zh-CN"/>
        </w:rPr>
        <w:t>不变</w:t>
      </w:r>
      <w:r>
        <w:rPr>
          <w:rFonts w:hint="eastAsia" w:ascii="仿宋" w:hAnsi="仿宋" w:eastAsia="仿宋" w:cs="仿宋"/>
          <w:sz w:val="32"/>
          <w:szCs w:val="32"/>
        </w:rPr>
        <w:t>。</w:t>
      </w:r>
    </w:p>
    <w:p w14:paraId="4E614A5D">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E501BD0">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 w:hAnsi="仿宋" w:eastAsia="仿宋" w:cs="仿宋"/>
          <w:sz w:val="32"/>
          <w:szCs w:val="32"/>
        </w:rPr>
      </w:pPr>
      <w:r>
        <w:rPr>
          <w:rFonts w:hint="eastAsia" w:ascii="仿宋_GB2312" w:hAnsi="黑体" w:eastAsia="仿宋_GB2312"/>
          <w:color w:val="auto"/>
          <w:sz w:val="32"/>
          <w:szCs w:val="32"/>
          <w:u w:val="none"/>
        </w:rPr>
        <w:t>一般公共服务支出</w:t>
      </w:r>
      <w:r>
        <w:rPr>
          <w:rFonts w:hint="eastAsia" w:ascii="仿宋_GB2312" w:hAnsi="黑体" w:eastAsia="仿宋_GB2312" w:cs="仿宋_GB2312"/>
          <w:color w:val="auto"/>
          <w:sz w:val="32"/>
          <w:szCs w:val="32"/>
          <w:u w:val="none"/>
          <w:lang w:val="en-US" w:eastAsia="zh-CN"/>
        </w:rPr>
        <w:t>515.69</w:t>
      </w:r>
      <w:r>
        <w:rPr>
          <w:rFonts w:hint="eastAsia" w:ascii="仿宋_GB2312" w:hAnsi="黑体" w:eastAsia="仿宋_GB2312"/>
          <w:color w:val="auto"/>
          <w:sz w:val="32"/>
          <w:szCs w:val="32"/>
          <w:u w:val="none"/>
        </w:rPr>
        <w:t>万元、</w:t>
      </w:r>
      <w:r>
        <w:rPr>
          <w:rFonts w:hint="eastAsia" w:ascii="仿宋" w:hAnsi="仿宋" w:eastAsia="仿宋" w:cs="仿宋"/>
          <w:sz w:val="32"/>
          <w:szCs w:val="32"/>
        </w:rPr>
        <w:t>外交支出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万元、国防支出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358.51</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67.41</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50.01</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39.76</w:t>
      </w:r>
      <w:r>
        <w:rPr>
          <w:rFonts w:hint="eastAsia" w:ascii="仿宋_GB2312" w:hAnsi="黑体" w:eastAsia="仿宋_GB2312"/>
          <w:sz w:val="32"/>
          <w:szCs w:val="32"/>
        </w:rPr>
        <w:t>万元，结转下年</w:t>
      </w:r>
      <w:r>
        <w:rPr>
          <w:rFonts w:hint="eastAsia" w:ascii="仿宋_GB2312" w:hAnsi="黑体" w:eastAsia="仿宋_GB2312"/>
          <w:sz w:val="32"/>
          <w:szCs w:val="32"/>
          <w:lang w:val="en-US" w:eastAsia="zh-CN"/>
        </w:rPr>
        <w:t>9.82</w:t>
      </w:r>
      <w:r>
        <w:rPr>
          <w:rFonts w:hint="eastAsia" w:ascii="仿宋_GB2312" w:hAnsi="黑体" w:eastAsia="仿宋_GB2312"/>
          <w:sz w:val="32"/>
          <w:szCs w:val="32"/>
        </w:rPr>
        <w:t>万元</w:t>
      </w:r>
      <w:r>
        <w:rPr>
          <w:rFonts w:hint="eastAsia" w:ascii="仿宋" w:hAnsi="仿宋" w:eastAsia="仿宋" w:cs="仿宋"/>
          <w:sz w:val="32"/>
          <w:szCs w:val="32"/>
        </w:rPr>
        <w:t>。</w:t>
      </w:r>
    </w:p>
    <w:p w14:paraId="5733117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3D14F6BE">
      <w:pPr>
        <w:ind w:firstLine="640"/>
        <w:rPr>
          <w:rFonts w:ascii="仿宋_GB2312" w:hAnsi="宋体" w:eastAsia="仿宋_GB2312"/>
          <w:sz w:val="32"/>
          <w:szCs w:val="32"/>
        </w:rPr>
      </w:pPr>
      <w:r>
        <w:rPr>
          <w:rFonts w:hint="eastAsia" w:ascii="仿宋_GB2312" w:hAnsi="黑体" w:eastAsia="仿宋_GB2312" w:cs="仿宋_GB2312"/>
          <w:sz w:val="32"/>
          <w:szCs w:val="32"/>
        </w:rPr>
        <w:t>1.教育支出（类）普通教育（款）学前教育（项）202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358.51</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rPr>
        <w:t>，主要是</w:t>
      </w:r>
      <w:r>
        <w:rPr>
          <w:rFonts w:hint="eastAsia" w:ascii="仿宋_GB2312" w:hAnsi="宋体" w:eastAsia="仿宋_GB2312"/>
          <w:sz w:val="32"/>
          <w:szCs w:val="32"/>
        </w:rPr>
        <w:t>我单位教育支出</w:t>
      </w:r>
      <w:r>
        <w:rPr>
          <w:rFonts w:hint="eastAsia" w:ascii="仿宋_GB2312" w:hAnsi="宋体" w:eastAsia="仿宋_GB2312"/>
          <w:sz w:val="32"/>
          <w:szCs w:val="32"/>
          <w:lang w:val="en-US" w:eastAsia="zh-CN"/>
        </w:rPr>
        <w:t>不变</w:t>
      </w:r>
      <w:r>
        <w:rPr>
          <w:rFonts w:hint="eastAsia" w:ascii="仿宋_GB2312" w:hAnsi="宋体" w:eastAsia="仿宋_GB2312"/>
          <w:sz w:val="32"/>
          <w:szCs w:val="32"/>
        </w:rPr>
        <w:t>。</w:t>
      </w:r>
    </w:p>
    <w:p w14:paraId="741E0C56">
      <w:pPr>
        <w:ind w:firstLine="64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67.41</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rPr>
        <w:t>，主要是</w:t>
      </w:r>
      <w:r>
        <w:rPr>
          <w:rFonts w:hint="eastAsia" w:ascii="仿宋_GB2312" w:hAnsi="宋体" w:eastAsia="仿宋_GB2312"/>
          <w:sz w:val="32"/>
          <w:szCs w:val="32"/>
        </w:rPr>
        <w:t>人员工资和养老保险费</w:t>
      </w:r>
      <w:r>
        <w:rPr>
          <w:rFonts w:hint="eastAsia" w:ascii="仿宋_GB2312" w:hAnsi="黑体" w:eastAsia="仿宋_GB2312"/>
          <w:sz w:val="32"/>
          <w:szCs w:val="32"/>
          <w:lang w:val="en-US" w:eastAsia="zh-CN"/>
        </w:rPr>
        <w:t>不变</w:t>
      </w:r>
      <w:r>
        <w:rPr>
          <w:rFonts w:hint="eastAsia" w:ascii="仿宋_GB2312" w:hAnsi="黑体" w:eastAsia="仿宋_GB2312"/>
          <w:sz w:val="32"/>
          <w:szCs w:val="32"/>
        </w:rPr>
        <w:t>。</w:t>
      </w:r>
    </w:p>
    <w:p w14:paraId="7DB776FD">
      <w:pPr>
        <w:ind w:firstLine="640"/>
        <w:rPr>
          <w:rFonts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50.01</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rPr>
        <w:t>，主要是</w:t>
      </w:r>
      <w:r>
        <w:rPr>
          <w:rFonts w:hint="eastAsia" w:ascii="仿宋_GB2312" w:hAnsi="宋体" w:eastAsia="仿宋_GB2312"/>
          <w:sz w:val="32"/>
          <w:szCs w:val="32"/>
        </w:rPr>
        <w:t>人员医疗保险费</w:t>
      </w:r>
      <w:r>
        <w:rPr>
          <w:rFonts w:hint="eastAsia" w:ascii="仿宋_GB2312" w:hAnsi="宋体" w:eastAsia="仿宋_GB2312"/>
          <w:sz w:val="32"/>
          <w:szCs w:val="32"/>
          <w:lang w:val="en-US" w:eastAsia="zh-CN"/>
        </w:rPr>
        <w:t>不变</w:t>
      </w:r>
      <w:r>
        <w:rPr>
          <w:rFonts w:hint="eastAsia" w:ascii="仿宋_GB2312" w:hAnsi="黑体" w:eastAsia="仿宋_GB2312"/>
          <w:sz w:val="32"/>
          <w:szCs w:val="32"/>
        </w:rPr>
        <w:t>。</w:t>
      </w:r>
    </w:p>
    <w:p w14:paraId="04AA00CB">
      <w:pPr>
        <w:ind w:firstLine="640"/>
        <w:rPr>
          <w:rFonts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39.76</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rPr>
        <w:t>，主要是</w:t>
      </w:r>
      <w:r>
        <w:rPr>
          <w:rFonts w:hint="eastAsia" w:ascii="仿宋_GB2312" w:hAnsi="宋体" w:eastAsia="仿宋_GB2312"/>
          <w:sz w:val="32"/>
          <w:szCs w:val="32"/>
        </w:rPr>
        <w:t>人员工资和住房公积金</w:t>
      </w:r>
      <w:r>
        <w:rPr>
          <w:rFonts w:hint="eastAsia" w:ascii="仿宋_GB2312" w:hAnsi="宋体" w:eastAsia="仿宋_GB2312"/>
          <w:sz w:val="32"/>
          <w:szCs w:val="32"/>
          <w:lang w:val="en-US" w:eastAsia="zh-CN"/>
        </w:rPr>
        <w:t>不变</w:t>
      </w:r>
      <w:r>
        <w:rPr>
          <w:rFonts w:hint="eastAsia" w:ascii="仿宋_GB2312" w:hAnsi="黑体" w:eastAsia="仿宋_GB2312"/>
          <w:sz w:val="32"/>
          <w:szCs w:val="32"/>
        </w:rPr>
        <w:t>。</w:t>
      </w:r>
    </w:p>
    <w:p w14:paraId="7C79B0C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BA3B216">
      <w:pPr>
        <w:spacing w:line="578" w:lineRule="exact"/>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rPr>
        <w:t>屯昌县枫木镇中心幼儿园</w:t>
      </w:r>
      <w:r>
        <w:rPr>
          <w:rFonts w:hint="eastAsia" w:ascii="仿宋" w:hAnsi="仿宋" w:eastAsia="仿宋" w:cs="仿宋"/>
          <w:sz w:val="32"/>
          <w:szCs w:val="32"/>
          <w:lang w:val="en-US" w:eastAsia="zh-CN"/>
        </w:rPr>
        <w:t>2025</w:t>
      </w:r>
      <w:r>
        <w:rPr>
          <w:rFonts w:hint="eastAsia" w:ascii="仿宋" w:hAnsi="仿宋" w:eastAsia="仿宋" w:cs="仿宋"/>
          <w:sz w:val="32"/>
          <w:szCs w:val="32"/>
        </w:rPr>
        <w:t>年一般公共预算基本支出为</w:t>
      </w:r>
      <w:r>
        <w:rPr>
          <w:rFonts w:hint="eastAsia" w:ascii="仿宋" w:hAnsi="仿宋" w:eastAsia="仿宋" w:cs="仿宋"/>
          <w:sz w:val="32"/>
          <w:szCs w:val="32"/>
          <w:lang w:val="en-US" w:eastAsia="zh-CN"/>
        </w:rPr>
        <w:t>505.53</w:t>
      </w:r>
      <w:r>
        <w:rPr>
          <w:rFonts w:hint="eastAsia" w:ascii="仿宋" w:hAnsi="仿宋" w:eastAsia="仿宋" w:cs="仿宋"/>
          <w:sz w:val="32"/>
          <w:szCs w:val="32"/>
        </w:rPr>
        <w:t>万元，其中：</w:t>
      </w:r>
    </w:p>
    <w:p w14:paraId="01437B25">
      <w:pPr>
        <w:ind w:firstLine="640"/>
        <w:rPr>
          <w:rFonts w:ascii="仿宋_GB2312" w:hAnsi="黑体" w:eastAsia="仿宋_GB2312"/>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502.21</w:t>
      </w:r>
      <w:r>
        <w:rPr>
          <w:rFonts w:hint="eastAsia" w:ascii="仿宋" w:hAnsi="仿宋" w:eastAsia="仿宋" w:cs="仿宋"/>
          <w:sz w:val="32"/>
          <w:szCs w:val="32"/>
        </w:rPr>
        <w:t>万元，主要包括：</w:t>
      </w:r>
      <w:r>
        <w:rPr>
          <w:rFonts w:hint="eastAsia" w:ascii="仿宋_GB2312" w:hAnsi="黑体" w:eastAsia="仿宋_GB2312"/>
          <w:sz w:val="32"/>
          <w:szCs w:val="32"/>
        </w:rPr>
        <w:t>基本工资、津贴补贴、奖金、绩效工资、机关事业单位基本养老保险缴费、公务员医疗补助缴费、其他社会保障缴费、城镇职工基本医疗保险缴费、医疗费补助、住房公积金。</w:t>
      </w:r>
    </w:p>
    <w:p w14:paraId="2160B420">
      <w:pPr>
        <w:spacing w:line="578"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3.32</w:t>
      </w:r>
      <w:r>
        <w:rPr>
          <w:rFonts w:hint="eastAsia" w:ascii="仿宋" w:hAnsi="仿宋" w:eastAsia="仿宋" w:cs="仿宋"/>
          <w:sz w:val="32"/>
          <w:szCs w:val="32"/>
        </w:rPr>
        <w:t>万元，主要包括：</w:t>
      </w:r>
      <w:r>
        <w:rPr>
          <w:rFonts w:hint="eastAsia" w:ascii="仿宋" w:hAnsi="仿宋" w:eastAsia="仿宋" w:cs="仿宋"/>
          <w:sz w:val="32"/>
          <w:szCs w:val="32"/>
          <w:lang w:val="en-US" w:eastAsia="zh-CN"/>
        </w:rPr>
        <w:t>工会经费</w:t>
      </w:r>
    </w:p>
    <w:p w14:paraId="3B777723">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zCs w:val="32"/>
          <w:u w:val="none"/>
          <w:shd w:val="clear" w:color="auto" w:fill="FFFFFF"/>
        </w:rPr>
        <w:t>四、</w:t>
      </w:r>
      <w:r>
        <w:rPr>
          <w:rFonts w:hint="eastAsia" w:ascii="黑体" w:hAnsi="黑体" w:eastAsia="黑体" w:cs="仿宋_GB2312"/>
          <w:sz w:val="32"/>
          <w:szCs w:val="32"/>
        </w:rPr>
        <w:t>屯昌县枫木镇中心幼儿园202</w:t>
      </w:r>
      <w:r>
        <w:rPr>
          <w:rFonts w:hint="eastAsia" w:ascii="黑体" w:hAnsi="黑体" w:eastAsia="黑体" w:cs="仿宋_GB2312"/>
          <w:sz w:val="32"/>
          <w:szCs w:val="32"/>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6559278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p>
    <w:p w14:paraId="5023691F">
      <w:pPr>
        <w:ind w:firstLine="640" w:firstLineChars="200"/>
        <w:rPr>
          <w:rFonts w:ascii="仿宋_GB2312" w:hAnsi="黑体" w:eastAsia="仿宋_GB2312" w:cs="Times New Roman"/>
          <w:sz w:val="32"/>
          <w:szCs w:val="32"/>
        </w:rPr>
      </w:pPr>
      <w:r>
        <w:rPr>
          <w:rFonts w:hint="eastAsia" w:ascii="仿宋_GB2312" w:hAnsi="黑体" w:eastAsia="仿宋_GB2312" w:cs="仿宋_GB2312"/>
          <w:sz w:val="32"/>
          <w:szCs w:val="32"/>
        </w:rPr>
        <w:t>屯昌县枫木镇中心幼儿园202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514FA219">
      <w:pPr>
        <w:ind w:firstLine="640"/>
        <w:rPr>
          <w:rFonts w:ascii="仿宋_GB2312" w:hAnsi="黑体" w:eastAsia="仿宋_GB2312"/>
          <w:sz w:val="32"/>
          <w:szCs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rPr>
        <w:t>。</w:t>
      </w:r>
    </w:p>
    <w:p w14:paraId="051E7170">
      <w:pPr>
        <w:ind w:firstLine="640"/>
        <w:rPr>
          <w:rFonts w:ascii="仿宋_GB2312" w:hAnsi="黑体" w:eastAsia="仿宋_GB2312"/>
          <w:sz w:val="32"/>
          <w:szCs w:val="32"/>
        </w:rPr>
      </w:pP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及</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rPr>
        <w:t>。</w:t>
      </w:r>
    </w:p>
    <w:p w14:paraId="5DB1BDDD">
      <w:pPr>
        <w:ind w:firstLine="64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09A04850">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cs="仿宋_GB2312"/>
          <w:sz w:val="32"/>
          <w:szCs w:val="32"/>
        </w:rPr>
        <w:t>屯昌县枫木镇中心幼儿园202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1F29E4CA">
      <w:pPr>
        <w:ind w:firstLine="640"/>
        <w:rPr>
          <w:rFonts w:ascii="仿宋_GB2312" w:hAnsi="黑体" w:eastAsia="仿宋_GB2312"/>
          <w:sz w:val="32"/>
          <w:szCs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rPr>
        <w:t>。</w:t>
      </w:r>
    </w:p>
    <w:p w14:paraId="61E1CEB7">
      <w:pPr>
        <w:ind w:firstLine="640"/>
        <w:rPr>
          <w:rFonts w:ascii="仿宋_GB2312" w:hAnsi="黑体" w:eastAsia="仿宋_GB2312"/>
          <w:sz w:val="32"/>
          <w:szCs w:val="32"/>
        </w:rPr>
      </w:pP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及</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rPr>
        <w:t>。</w:t>
      </w:r>
    </w:p>
    <w:p w14:paraId="2A5FFDC2">
      <w:pPr>
        <w:ind w:firstLine="64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6FF9F817">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仿宋_GB2312"/>
          <w:sz w:val="32"/>
          <w:szCs w:val="32"/>
        </w:rPr>
        <w:t>屯昌县枫木镇中心幼儿园202</w:t>
      </w:r>
      <w:r>
        <w:rPr>
          <w:rFonts w:hint="eastAsia" w:ascii="黑体" w:hAnsi="黑体" w:eastAsia="黑体" w:cs="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01132012">
      <w:pPr>
        <w:rPr>
          <w:rFonts w:ascii="楷体" w:hAnsi="楷体" w:eastAsia="楷体"/>
          <w:sz w:val="32"/>
          <w:szCs w:val="32"/>
        </w:rPr>
      </w:pPr>
      <w:r>
        <w:rPr>
          <w:rFonts w:hint="eastAsia" w:ascii="楷体" w:hAnsi="楷体" w:eastAsia="楷体"/>
          <w:sz w:val="32"/>
          <w:szCs w:val="32"/>
        </w:rPr>
        <w:t>（一）政府性基金预算当年规模变化情况</w:t>
      </w:r>
    </w:p>
    <w:p w14:paraId="25FD24B4">
      <w:pPr>
        <w:ind w:firstLine="640"/>
        <w:rPr>
          <w:rFonts w:ascii="仿宋_GB2312" w:hAnsi="黑体" w:eastAsia="仿宋_GB2312"/>
          <w:sz w:val="32"/>
          <w:szCs w:val="32"/>
        </w:rPr>
      </w:pPr>
      <w:r>
        <w:rPr>
          <w:rFonts w:hint="eastAsia" w:ascii="仿宋_GB2312" w:hAnsi="黑体" w:eastAsia="仿宋_GB2312" w:cs="仿宋_GB2312"/>
          <w:sz w:val="32"/>
          <w:szCs w:val="32"/>
        </w:rPr>
        <w:t>屯昌县枫木镇中心幼儿园202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1F687B3A">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06205190">
      <w:pPr>
        <w:ind w:firstLine="640"/>
        <w:jc w:val="left"/>
        <w:rPr>
          <w:rFonts w:ascii="仿宋_GB2312" w:hAnsi="宋体" w:eastAsia="仿宋_GB2312"/>
          <w:sz w:val="32"/>
          <w:szCs w:val="32"/>
        </w:rPr>
      </w:pPr>
      <w:r>
        <w:rPr>
          <w:rFonts w:hint="eastAsia" w:ascii="仿宋_GB2312" w:hAnsi="宋体" w:eastAsia="仿宋_GB2312"/>
          <w:sz w:val="32"/>
          <w:szCs w:val="32"/>
        </w:rPr>
        <w:t>无政府性基金预算</w:t>
      </w:r>
    </w:p>
    <w:p w14:paraId="0F0CB7F0">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03D86C25">
      <w:pPr>
        <w:ind w:firstLine="800" w:firstLineChars="250"/>
        <w:rPr>
          <w:rFonts w:ascii="仿宋_GB2312" w:hAnsi="黑体" w:eastAsia="仿宋_GB2312"/>
          <w:sz w:val="32"/>
          <w:szCs w:val="32"/>
        </w:rPr>
      </w:pPr>
      <w:r>
        <w:rPr>
          <w:rFonts w:hint="eastAsia" w:ascii="仿宋_GB2312" w:hAnsi="黑体" w:eastAsia="仿宋_GB2312" w:cs="??_GB2312"/>
          <w:sz w:val="32"/>
          <w:szCs w:val="32"/>
        </w:rPr>
        <w:t>无</w:t>
      </w:r>
    </w:p>
    <w:p w14:paraId="4F84112F">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仿宋_GB2312"/>
          <w:sz w:val="32"/>
          <w:szCs w:val="32"/>
        </w:rPr>
        <w:t>屯昌县枫木镇中心幼儿园202</w:t>
      </w:r>
      <w:r>
        <w:rPr>
          <w:rFonts w:hint="eastAsia" w:ascii="黑体" w:hAnsi="黑体" w:eastAsia="黑体" w:cs="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49391A9E">
      <w:pPr>
        <w:ind w:firstLine="640"/>
        <w:rPr>
          <w:rFonts w:ascii="仿宋_GB2312" w:hAnsi="黑体" w:eastAsia="仿宋_GB2312"/>
          <w:sz w:val="32"/>
          <w:szCs w:val="32"/>
        </w:rPr>
      </w:pPr>
      <w:r>
        <w:rPr>
          <w:rFonts w:hint="eastAsia" w:ascii="仿宋_GB2312" w:hAnsi="黑体" w:eastAsia="仿宋_GB2312" w:cs="仿宋_GB2312"/>
          <w:sz w:val="32"/>
          <w:szCs w:val="32"/>
        </w:rPr>
        <w:t>按照综合预算原则，屯昌县枫木镇中心幼儿园202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年所有收入和支出均纳入部门预算管理。收入包括：一般公共预算收入，上年结转</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屯昌县枫木镇中心幼儿园202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1021.56</w:t>
      </w:r>
      <w:r>
        <w:rPr>
          <w:rFonts w:hint="eastAsia" w:ascii="仿宋_GB2312" w:hAnsi="黑体" w:eastAsia="仿宋_GB2312"/>
          <w:sz w:val="32"/>
          <w:szCs w:val="32"/>
        </w:rPr>
        <w:t>万元。</w:t>
      </w:r>
    </w:p>
    <w:p w14:paraId="2C381E2A">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仿宋_GB2312"/>
          <w:sz w:val="32"/>
          <w:szCs w:val="32"/>
        </w:rPr>
        <w:t>屯昌县枫木镇中心幼儿园202</w:t>
      </w:r>
      <w:r>
        <w:rPr>
          <w:rFonts w:hint="eastAsia" w:ascii="黑体" w:hAnsi="黑体" w:eastAsia="黑体" w:cs="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5A9A2594">
      <w:pPr>
        <w:spacing w:line="578" w:lineRule="exact"/>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屯昌县枫木镇中心幼儿园202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515.69</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9.82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0.01</w:t>
      </w:r>
      <w:r>
        <w:rPr>
          <w:rFonts w:hint="eastAsia" w:ascii="仿宋_GB2312" w:hAnsi="黑体" w:eastAsia="仿宋_GB2312"/>
          <w:sz w:val="32"/>
          <w:szCs w:val="32"/>
        </w:rPr>
        <w:t>%；一般公共预算收入</w:t>
      </w:r>
      <w:r>
        <w:rPr>
          <w:rFonts w:hint="eastAsia" w:ascii="仿宋_GB2312" w:hAnsi="黑体" w:eastAsia="仿宋_GB2312"/>
          <w:sz w:val="32"/>
          <w:szCs w:val="32"/>
          <w:lang w:val="en-US" w:eastAsia="zh-CN"/>
        </w:rPr>
        <w:t>505.87</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增加37.08</w:t>
      </w:r>
      <w:r>
        <w:rPr>
          <w:rFonts w:hint="eastAsia" w:ascii="仿宋_GB2312" w:hAnsi="黑体" w:eastAsia="仿宋_GB2312"/>
          <w:sz w:val="32"/>
          <w:szCs w:val="32"/>
        </w:rPr>
        <w:t>万元，主要是我单位教育支出和社会保障和就业支出等有所</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rPr>
        <w:t>。</w:t>
      </w:r>
    </w:p>
    <w:p w14:paraId="55BC4F51">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仿宋_GB2312"/>
          <w:sz w:val="32"/>
          <w:szCs w:val="32"/>
        </w:rPr>
        <w:t>屯昌县枫木镇中心幼儿园202</w:t>
      </w:r>
      <w:r>
        <w:rPr>
          <w:rFonts w:hint="eastAsia" w:ascii="黑体" w:hAnsi="黑体" w:eastAsia="黑体" w:cs="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0FA1D910">
      <w:pPr>
        <w:ind w:firstLine="640"/>
        <w:rPr>
          <w:rFonts w:ascii="仿宋_GB2312" w:hAnsi="黑体" w:eastAsia="仿宋_GB2312" w:cs="仿宋_GB2312"/>
          <w:sz w:val="32"/>
          <w:szCs w:val="32"/>
        </w:rPr>
      </w:pPr>
      <w:r>
        <w:rPr>
          <w:rFonts w:hint="eastAsia" w:ascii="仿宋_GB2312" w:hAnsi="黑体" w:eastAsia="仿宋_GB2312" w:cs="仿宋_GB2312"/>
          <w:sz w:val="32"/>
          <w:szCs w:val="32"/>
        </w:rPr>
        <w:t>屯昌县枫木镇中心幼儿园202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支出预算</w:t>
      </w:r>
      <w:r>
        <w:rPr>
          <w:rFonts w:hint="eastAsia" w:ascii="仿宋_GB2312" w:hAnsi="黑体" w:eastAsia="仿宋_GB2312"/>
          <w:sz w:val="32"/>
          <w:szCs w:val="32"/>
          <w:lang w:val="en-US" w:eastAsia="zh-CN"/>
        </w:rPr>
        <w:t>515.69</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505.63</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98</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10.16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0.02</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增加37.08</w:t>
      </w:r>
      <w:r>
        <w:rPr>
          <w:rFonts w:hint="eastAsia" w:ascii="仿宋_GB2312" w:hAnsi="黑体" w:eastAsia="仿宋_GB2312"/>
          <w:sz w:val="32"/>
          <w:szCs w:val="32"/>
        </w:rPr>
        <w:t>万元</w:t>
      </w:r>
      <w:r>
        <w:rPr>
          <w:rFonts w:hint="eastAsia" w:ascii="仿宋_GB2312" w:hAnsi="黑体" w:eastAsia="仿宋_GB2312" w:cs="仿宋_GB2312"/>
          <w:sz w:val="32"/>
          <w:szCs w:val="32"/>
        </w:rPr>
        <w:t>，主要是我单位教育支出和社会保障和就业支出等有所</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rPr>
        <w:t>。</w:t>
      </w:r>
    </w:p>
    <w:p w14:paraId="44BA8B54">
      <w:pPr>
        <w:spacing w:line="578" w:lineRule="exact"/>
        <w:ind w:firstLine="640" w:firstLineChars="200"/>
        <w:rPr>
          <w:rFonts w:hint="eastAsia" w:ascii="仿宋" w:hAnsi="仿宋" w:eastAsia="仿宋" w:cs="仿宋"/>
          <w:sz w:val="32"/>
          <w:szCs w:val="32"/>
        </w:rPr>
      </w:pPr>
    </w:p>
    <w:p w14:paraId="7978843D">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2BC1A5E3">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（一）机关运行经费</w:t>
      </w:r>
    </w:p>
    <w:p w14:paraId="7383E671">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年屯昌县枫木镇中心幼儿园机关运行经费预算0万元。</w:t>
      </w:r>
    </w:p>
    <w:p w14:paraId="3F3F6FB2">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（二）政府采购情况</w:t>
      </w:r>
    </w:p>
    <w:p w14:paraId="3CB13DCB">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年屯昌县枫木镇中心幼儿园无政府采购预算。</w:t>
      </w:r>
    </w:p>
    <w:p w14:paraId="45F1F707">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（三）国有资产占有使用情况</w:t>
      </w:r>
    </w:p>
    <w:p w14:paraId="63B84251">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bookmarkStart w:id="0" w:name="_GoBack"/>
      <w:bookmarkEnd w:id="0"/>
      <w:r>
        <w:rPr>
          <w:rFonts w:hint="eastAsia" w:ascii="仿宋_GB2312" w:hAnsi="黑体" w:eastAsia="仿宋_GB2312" w:cs="仿宋_GB2312"/>
          <w:sz w:val="32"/>
          <w:szCs w:val="32"/>
        </w:rPr>
        <w:t>年12月31日，屯昌县枫木镇中心幼儿园本级及下属各预算单位共有车辆0辆，其中，领导干部用车0辆，机要通信应急用车0辆、一般执法执勤用车0辆、特种专业技术用车0辆、其他用车0辆。单位价值100万元以上设备0台（套）。</w:t>
      </w:r>
    </w:p>
    <w:p w14:paraId="6C5E00B6">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（四）绩效目标设置情况</w:t>
      </w:r>
    </w:p>
    <w:p w14:paraId="787C874F">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年屯昌县枫木镇中心幼儿园10个项目实行绩效目标管理，其中涉及一般公共预算</w:t>
      </w:r>
      <w:r>
        <w:rPr>
          <w:rFonts w:hint="eastAsia" w:ascii="仿宋_GB2312" w:hAnsi="黑体" w:eastAsia="仿宋_GB2312" w:cs="仿宋_GB2312"/>
          <w:sz w:val="32"/>
          <w:szCs w:val="32"/>
          <w:lang w:val="en-US" w:eastAsia="zh-CN"/>
        </w:rPr>
        <w:t>505.87</w:t>
      </w:r>
      <w:r>
        <w:rPr>
          <w:rFonts w:hint="eastAsia" w:ascii="仿宋_GB2312" w:hAnsi="黑体" w:eastAsia="仿宋_GB2312"/>
          <w:sz w:val="32"/>
          <w:szCs w:val="32"/>
        </w:rPr>
        <w:t>万元</w:t>
      </w:r>
      <w:r>
        <w:rPr>
          <w:rFonts w:hint="eastAsia" w:ascii="仿宋_GB2312" w:hAnsi="黑体" w:eastAsia="仿宋_GB2312" w:cs="仿宋_GB2312"/>
          <w:sz w:val="32"/>
          <w:szCs w:val="32"/>
        </w:rPr>
        <w:t>、政府性基金0万元。</w:t>
      </w:r>
    </w:p>
    <w:p w14:paraId="05A8100B">
      <w:pPr>
        <w:jc w:val="left"/>
        <w:rPr>
          <w:rFonts w:ascii="仿宋_GB2312" w:hAnsi="宋体" w:eastAsia="仿宋_GB2312" w:cs="宋体"/>
          <w:color w:val="000000"/>
          <w:kern w:val="0"/>
          <w:sz w:val="32"/>
          <w:szCs w:val="30"/>
        </w:rPr>
      </w:pPr>
      <w:r>
        <w:rPr>
          <w:rFonts w:hint="eastAsia" w:ascii="宋体" w:hAnsi="宋体" w:cs="宋体"/>
          <w:sz w:val="32"/>
          <w:szCs w:val="32"/>
        </w:rPr>
        <w:t> </w:t>
      </w:r>
    </w:p>
    <w:p w14:paraId="31612C3A">
      <w:pPr>
        <w:spacing w:line="578" w:lineRule="exact"/>
        <w:jc w:val="left"/>
        <w:rPr>
          <w:rFonts w:hint="eastAsia" w:ascii="仿宋" w:hAnsi="仿宋" w:eastAsia="仿宋" w:cs="仿宋"/>
          <w:color w:val="000000"/>
          <w:kern w:val="0"/>
          <w:sz w:val="32"/>
          <w:szCs w:val="30"/>
        </w:rPr>
      </w:pPr>
    </w:p>
    <w:p w14:paraId="160CEC1A">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7128AA44">
      <w:pPr>
        <w:spacing w:line="578" w:lineRule="exact"/>
        <w:ind w:firstLine="640" w:firstLineChars="200"/>
        <w:jc w:val="left"/>
        <w:rPr>
          <w:rFonts w:ascii="仿宋_GB2312" w:eastAsia="仿宋_GB2312" w:cs="宋体"/>
          <w:bCs/>
          <w:color w:val="000000"/>
          <w:kern w:val="0"/>
          <w:sz w:val="32"/>
          <w:szCs w:val="32"/>
          <w:lang w:val="zh-CN"/>
        </w:rPr>
      </w:pPr>
    </w:p>
    <w:p w14:paraId="7BE8F9C0">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209BF75F">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498B9F8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52C45C7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5AFFA9F1">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4107A317">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4B9D310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52C1B374">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231E25A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489B682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5B5247BD">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4791CF42">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DF274B6"/>
    <w:p w14:paraId="6552B7CB"/>
    <w:sectPr>
      <w:footerReference r:id="rId4"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579A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B55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1522E">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0B01522E">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23C1282C"/>
    <w:rsid w:val="320D1735"/>
    <w:rsid w:val="32B22611"/>
    <w:rsid w:val="37DF0902"/>
    <w:rsid w:val="3E316BEB"/>
    <w:rsid w:val="415D6A9A"/>
    <w:rsid w:val="57E90571"/>
    <w:rsid w:val="6A2C093B"/>
    <w:rsid w:val="7886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10</Pages>
  <Words>3974</Words>
  <Characters>4084</Characters>
  <Lines>0</Lines>
  <Paragraphs>0</Paragraphs>
  <TotalTime>2</TotalTime>
  <ScaleCrop>false</ScaleCrop>
  <LinksUpToDate>false</LinksUpToDate>
  <CharactersWithSpaces>4104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菱听涛声</cp:lastModifiedBy>
  <dcterms:modified xsi:type="dcterms:W3CDTF">2026-03-02T03:00:40Z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eyJoZGlkIjoiYmExNjdjZTZiNzVjMjQyOGFiMjk5OWU2NGFmYTkwYjkiLCJ1c2VySWQiOiI1NTYxODA1OTkifQ==</vt:lpwstr>
  </property>
  <property fmtid="{D5CDD505-2E9C-101B-9397-08002B2CF9AE}" pid="4" name="ICV">
    <vt:lpwstr>D0D75DF72AC840718D786663703C9715_12</vt:lpwstr>
  </property>
</Properties>
</file>