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jc w:val="center"/>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屯昌县新兴镇新兴中学</w:t>
      </w:r>
      <w:r>
        <w:rPr>
          <w:rFonts w:hint="eastAsia" w:ascii="方正小标宋简体" w:hAnsi="方正小标宋简体" w:eastAsia="方正小标宋简体" w:cs="方正小标宋简体"/>
          <w:sz w:val="52"/>
          <w:szCs w:val="52"/>
        </w:rPr>
        <w:t>单位预算</w:t>
      </w:r>
      <w:r>
        <w:rPr>
          <w:rFonts w:hint="eastAsia" w:ascii="方正小标宋简体" w:hAnsi="方正小标宋简体" w:eastAsia="方正小标宋简体" w:cs="方正小标宋简体"/>
          <w:sz w:val="52"/>
          <w:szCs w:val="52"/>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屯昌县新兴镇新兴中学</w:t>
      </w:r>
      <w:r>
        <w:rPr>
          <w:rFonts w:hint="eastAsia" w:ascii="方正黑体_GBK" w:hAnsi="方正黑体_GBK" w:eastAsia="方正黑体_GBK" w:cs="方正黑体_GBK"/>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7"/>
        <w:spacing w:line="560" w:lineRule="exact"/>
        <w:ind w:left="1320" w:firstLine="0" w:firstLineChars="0"/>
        <w:jc w:val="left"/>
        <w:rPr>
          <w:rFonts w:ascii="黑体" w:hAnsi="黑体" w:eastAsia="黑体"/>
          <w:sz w:val="32"/>
          <w:szCs w:val="32"/>
          <w:u w:val="none"/>
        </w:rPr>
      </w:pPr>
    </w:p>
    <w:p>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屯昌县新兴镇新兴中学</w:t>
      </w:r>
      <w:r>
        <w:rPr>
          <w:rFonts w:hint="eastAsia" w:ascii="方正黑体_GBK" w:hAnsi="方正黑体_GBK" w:eastAsia="方正黑体_GBK" w:cs="方正黑体_GBK"/>
          <w:sz w:val="32"/>
          <w:szCs w:val="32"/>
          <w:u w:val="none"/>
        </w:rPr>
        <w:t>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7"/>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keepNext w:val="0"/>
        <w:keepLines w:val="0"/>
        <w:pageBreakBefore w:val="0"/>
        <w:kinsoku/>
        <w:wordWrap/>
        <w:overflowPunct/>
        <w:topLinePunct w:val="0"/>
        <w:autoSpaceDE/>
        <w:autoSpaceDN/>
        <w:bidi w:val="0"/>
        <w:adjustRightInd/>
        <w:snapToGrid/>
        <w:spacing w:line="590" w:lineRule="exact"/>
        <w:ind w:left="640" w:leftChars="305" w:firstLine="160" w:firstLineChars="5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（一）拟订学校年度教育事业发展规划、财务预算与决算方案、经费收支计划，统筹教育教学、校舍维修、设备购置、后勤保障等资源配置。</w:t>
      </w:r>
    </w:p>
    <w:p>
      <w:pPr>
        <w:keepNext w:val="0"/>
        <w:keepLines w:val="0"/>
        <w:pageBreakBefore w:val="0"/>
        <w:kinsoku/>
        <w:wordWrap/>
        <w:overflowPunct/>
        <w:topLinePunct w:val="0"/>
        <w:autoSpaceDE/>
        <w:autoSpaceDN/>
        <w:bidi w:val="0"/>
        <w:adjustRightInd/>
        <w:snapToGrid/>
        <w:spacing w:line="590" w:lineRule="exact"/>
        <w:ind w:left="640" w:leftChars="305" w:firstLine="160" w:firstLineChars="5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u w:val="none"/>
        </w:rPr>
        <w:t>（二）起草学校财务管理制度、经费使用细则、预算执行与绩效自评报告，按规定做好预算公开、账务核算、资金监管与资产管控工作。</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pStyle w:val="7"/>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（一）学校本级内设</w:t>
      </w:r>
      <w:r>
        <w:rPr>
          <w:rFonts w:hint="eastAsia" w:ascii="仿宋_GB2312" w:hAnsi="黑体" w:eastAsia="仿宋_GB2312" w:cs="仿宋_GB2312"/>
          <w:sz w:val="32"/>
          <w:szCs w:val="32"/>
          <w:u w:val="none"/>
          <w:lang w:val="en-US" w:eastAsia="zh-CN"/>
        </w:rPr>
        <w:t>8</w:t>
      </w:r>
      <w:r>
        <w:rPr>
          <w:rFonts w:hint="eastAsia" w:ascii="仿宋_GB2312" w:hAnsi="黑体" w:eastAsia="仿宋_GB2312" w:cs="仿宋_GB2312"/>
          <w:sz w:val="32"/>
          <w:szCs w:val="32"/>
          <w:u w:val="none"/>
          <w:lang w:eastAsia="zh-CN"/>
        </w:rPr>
        <w:t>个处室，包括</w:t>
      </w:r>
      <w:r>
        <w:rPr>
          <w:rFonts w:hint="eastAsia" w:ascii="仿宋_GB2312" w:hAnsi="黑体" w:eastAsia="仿宋_GB2312" w:cs="仿宋_GB2312"/>
          <w:sz w:val="32"/>
          <w:szCs w:val="32"/>
          <w:u w:val="none"/>
          <w:lang w:val="en-US" w:eastAsia="zh-CN"/>
        </w:rPr>
        <w:t>校长室、校务办</w:t>
      </w:r>
      <w:r>
        <w:rPr>
          <w:rFonts w:hint="eastAsia" w:ascii="仿宋_GB2312" w:hAnsi="黑体" w:eastAsia="仿宋_GB2312" w:cs="仿宋_GB2312"/>
          <w:sz w:val="32"/>
          <w:szCs w:val="32"/>
          <w:u w:val="none"/>
          <w:lang w:eastAsia="zh-CN"/>
        </w:rPr>
        <w:t>公室、教</w:t>
      </w:r>
      <w:r>
        <w:rPr>
          <w:rFonts w:hint="eastAsia" w:ascii="仿宋_GB2312" w:hAnsi="黑体" w:eastAsia="仿宋_GB2312" w:cs="仿宋_GB2312"/>
          <w:sz w:val="32"/>
          <w:szCs w:val="32"/>
          <w:u w:val="none"/>
          <w:lang w:val="en-US" w:eastAsia="zh-CN"/>
        </w:rPr>
        <w:t>务</w:t>
      </w:r>
      <w:r>
        <w:rPr>
          <w:rFonts w:hint="eastAsia" w:ascii="仿宋_GB2312" w:hAnsi="黑体" w:eastAsia="仿宋_GB2312" w:cs="仿宋_GB2312"/>
          <w:sz w:val="32"/>
          <w:szCs w:val="32"/>
          <w:u w:val="none"/>
          <w:lang w:eastAsia="zh-CN"/>
        </w:rPr>
        <w:t>处、政教处、总务处、</w:t>
      </w:r>
      <w:r>
        <w:rPr>
          <w:rFonts w:hint="eastAsia" w:ascii="仿宋_GB2312" w:hAnsi="黑体" w:eastAsia="仿宋_GB2312" w:cs="仿宋_GB2312"/>
          <w:sz w:val="32"/>
          <w:szCs w:val="32"/>
          <w:u w:val="none"/>
          <w:lang w:val="en-US" w:eastAsia="zh-CN"/>
        </w:rPr>
        <w:t>党务办公</w:t>
      </w:r>
      <w:r>
        <w:rPr>
          <w:rFonts w:hint="eastAsia" w:ascii="仿宋_GB2312" w:hAnsi="黑体" w:eastAsia="仿宋_GB2312" w:cs="仿宋_GB2312"/>
          <w:sz w:val="32"/>
          <w:szCs w:val="32"/>
          <w:u w:val="none"/>
          <w:lang w:eastAsia="zh-CN"/>
        </w:rPr>
        <w:t>室、团委、工会。</w:t>
      </w:r>
    </w:p>
    <w:p>
      <w:pPr>
        <w:pStyle w:val="7"/>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（二）纳入屯昌县新兴镇新兴中学2026年预算编制范围的二级预算单位包括：</w:t>
      </w:r>
    </w:p>
    <w:p>
      <w:pPr>
        <w:pStyle w:val="7"/>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 xml:space="preserve"> 1. 屯昌县新兴镇新兴中学本级</w:t>
      </w:r>
    </w:p>
    <w:p>
      <w:pPr>
        <w:pStyle w:val="7"/>
        <w:keepNext w:val="0"/>
        <w:keepLines w:val="0"/>
        <w:pageBreakBefore w:val="0"/>
        <w:numPr>
          <w:ilvl w:val="-1"/>
          <w:numId w:val="0"/>
        </w:numPr>
        <w:kinsoku/>
        <w:wordWrap/>
        <w:overflowPunct/>
        <w:topLinePunct w:val="0"/>
        <w:autoSpaceDE/>
        <w:autoSpaceDN/>
        <w:bidi w:val="0"/>
        <w:adjustRightInd/>
        <w:snapToGrid/>
        <w:spacing w:line="590" w:lineRule="exact"/>
        <w:ind w:firstLine="960" w:firstLineChars="300"/>
        <w:jc w:val="both"/>
        <w:textAlignment w:val="auto"/>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u w:val="none"/>
          <w:lang w:eastAsia="zh-CN"/>
        </w:rPr>
        <w:t>2. 无（无独立二级预算单位）</w:t>
      </w:r>
    </w:p>
    <w:p>
      <w:pPr>
        <w:pStyle w:val="7"/>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屯昌县新兴镇新兴中学 2026 年财政拨款收支总预算 1299.27 万元，比上年预算数 1594.39 万元减少 295.12 万元，主要是人员经费相关缴费基数、补助标准调整，公用经费优化缩减所致。其中，收入总计 1299.27 万元，包括一般公共预算本年收入 1297.66 万元、上年结转 1.61 万元，政府性基金预算本年收入 0 万元、上年结转 0 万元，国有资本经营预算本年收入 0 万元、上年结转 0 万元；支出总计 1299.27 万元，包括教育支出 864.92 万元、社会保障和就业支出 203.06 万元、卫生健康支出 139.24 万元、住房保障支出 92.06 万元，结转下年 0 万元。</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屯昌县新兴镇新兴中学 2026 年一般公共预算当年拨款 1297.66 万元，比上年预算数 1594.39 万元减少 296.73 万元，主要是人员减少，学校同步优化经费使用结构，压缩非必要支出。</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教育（类）支出 864.92 万元，占 66.65%；社会保障和就业（类）支出 203.06 万元，占 15.65%；卫生健康（类）支出 139.24 万元，占 10.73%；住房保障（类）支出 92.06 万元，占 7.02%；无一般公共服务、外交、国防等其他类支出。</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keepNext w:val="0"/>
        <w:keepLines w:val="0"/>
        <w:pageBreakBefore w:val="0"/>
        <w:numPr>
          <w:ilvl w:val="0"/>
          <w:numId w:val="3"/>
        </w:numPr>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教育（类）普通教育（款）初中教育（项）2026 年预算数为 864.92 万元，比上年预算数 1072.77 万元减少 207.85 万元，主要是</w:t>
      </w:r>
      <w:r>
        <w:rPr>
          <w:rFonts w:hint="eastAsia" w:ascii="仿宋_GB2312" w:hAnsi="黑体" w:eastAsia="仿宋_GB2312"/>
          <w:sz w:val="32"/>
          <w:szCs w:val="32"/>
          <w:u w:val="none"/>
          <w:lang w:val="en-US" w:eastAsia="zh-CN"/>
        </w:rPr>
        <w:t>人员减少</w:t>
      </w:r>
      <w:r>
        <w:rPr>
          <w:rFonts w:hint="eastAsia" w:ascii="仿宋_GB2312" w:hAnsi="黑体" w:eastAsia="仿宋_GB2312"/>
          <w:sz w:val="32"/>
          <w:szCs w:val="32"/>
          <w:u w:val="none"/>
        </w:rPr>
        <w:t>。</w:t>
      </w:r>
    </w:p>
    <w:p>
      <w:pPr>
        <w:keepNext w:val="0"/>
        <w:keepLines w:val="0"/>
        <w:pageBreakBefore w:val="0"/>
        <w:numPr>
          <w:ilvl w:val="0"/>
          <w:numId w:val="3"/>
        </w:numPr>
        <w:kinsoku/>
        <w:wordWrap/>
        <w:overflowPunct/>
        <w:topLinePunct w:val="0"/>
        <w:autoSpaceDE/>
        <w:autoSpaceDN/>
        <w:bidi w:val="0"/>
        <w:adjustRightInd/>
        <w:snapToGrid/>
        <w:spacing w:line="590" w:lineRule="exact"/>
        <w:ind w:left="0" w:leftChars="0"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社会保障和就业（类）行政事业单位养老支出（款）机关事业单位基本养老保险缴费支出（项）2026 年预算数为 133.22 万元，比上年预算数 143.31 万元减少 10.09 万元，主要是</w:t>
      </w:r>
      <w:r>
        <w:rPr>
          <w:rFonts w:hint="eastAsia" w:ascii="仿宋_GB2312" w:hAnsi="黑体" w:eastAsia="仿宋_GB2312"/>
          <w:sz w:val="32"/>
          <w:szCs w:val="32"/>
          <w:u w:val="none"/>
          <w:lang w:val="en-US" w:eastAsia="zh-CN"/>
        </w:rPr>
        <w:t>人员减少</w:t>
      </w:r>
      <w:r>
        <w:rPr>
          <w:rFonts w:hint="eastAsia" w:ascii="仿宋_GB2312" w:hAnsi="黑体" w:eastAsia="仿宋_GB2312"/>
          <w:sz w:val="32"/>
          <w:szCs w:val="32"/>
          <w:u w:val="none"/>
        </w:rPr>
        <w:t>。</w:t>
      </w:r>
    </w:p>
    <w:p>
      <w:pPr>
        <w:keepNext w:val="0"/>
        <w:keepLines w:val="0"/>
        <w:pageBreakBefore w:val="0"/>
        <w:numPr>
          <w:ilvl w:val="0"/>
          <w:numId w:val="3"/>
        </w:numPr>
        <w:kinsoku/>
        <w:wordWrap/>
        <w:overflowPunct/>
        <w:topLinePunct w:val="0"/>
        <w:autoSpaceDE/>
        <w:autoSpaceDN/>
        <w:bidi w:val="0"/>
        <w:adjustRightInd/>
        <w:snapToGrid/>
        <w:spacing w:line="590" w:lineRule="exact"/>
        <w:ind w:left="0" w:leftChars="0"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社会保障和就业（类）行政事业单位养老支出（款）机关事业单位职业年金缴费支出（项）2026 年预算数为 64.71 万元，比上年预算数 71.66 万元减少 6.95 万元，主要是</w:t>
      </w:r>
      <w:r>
        <w:rPr>
          <w:rFonts w:hint="eastAsia" w:ascii="仿宋_GB2312" w:hAnsi="黑体" w:eastAsia="仿宋_GB2312"/>
          <w:sz w:val="32"/>
          <w:szCs w:val="32"/>
          <w:u w:val="none"/>
          <w:lang w:val="en-US" w:eastAsia="zh-CN"/>
        </w:rPr>
        <w:t>人员减少</w:t>
      </w:r>
      <w:r>
        <w:rPr>
          <w:rFonts w:hint="eastAsia" w:ascii="仿宋_GB2312" w:hAnsi="黑体" w:eastAsia="仿宋_GB2312"/>
          <w:sz w:val="32"/>
          <w:szCs w:val="32"/>
          <w:u w:val="none"/>
        </w:rPr>
        <w:t>。</w:t>
      </w:r>
    </w:p>
    <w:p>
      <w:pPr>
        <w:keepNext w:val="0"/>
        <w:keepLines w:val="0"/>
        <w:pageBreakBefore w:val="0"/>
        <w:numPr>
          <w:ilvl w:val="0"/>
          <w:numId w:val="3"/>
        </w:numPr>
        <w:kinsoku/>
        <w:wordWrap/>
        <w:overflowPunct/>
        <w:topLinePunct w:val="0"/>
        <w:autoSpaceDE/>
        <w:autoSpaceDN/>
        <w:bidi w:val="0"/>
        <w:adjustRightInd/>
        <w:snapToGrid/>
        <w:spacing w:line="590" w:lineRule="exact"/>
        <w:ind w:left="0" w:leftChars="0"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社会保障和就业（类）抚恤（款）其他优抚支出（项）2026 年预算数为 5.13 万元，比上年预算数 4.26 万元增加 0.87 万元，主要是学校遗属抚养人员</w:t>
      </w:r>
      <w:r>
        <w:rPr>
          <w:rFonts w:hint="eastAsia" w:ascii="仿宋_GB2312" w:hAnsi="黑体" w:eastAsia="仿宋_GB2312"/>
          <w:sz w:val="32"/>
          <w:szCs w:val="32"/>
          <w:u w:val="none"/>
          <w:lang w:val="en-US" w:eastAsia="zh-CN"/>
        </w:rPr>
        <w:t>增加</w:t>
      </w:r>
      <w:r>
        <w:rPr>
          <w:rFonts w:hint="eastAsia" w:ascii="仿宋_GB2312" w:hAnsi="黑体" w:eastAsia="仿宋_GB2312"/>
          <w:sz w:val="32"/>
          <w:szCs w:val="32"/>
          <w:u w:val="none"/>
        </w:rPr>
        <w:t>。</w:t>
      </w:r>
    </w:p>
    <w:p>
      <w:pPr>
        <w:keepNext w:val="0"/>
        <w:keepLines w:val="0"/>
        <w:pageBreakBefore w:val="0"/>
        <w:numPr>
          <w:ilvl w:val="0"/>
          <w:numId w:val="3"/>
        </w:numPr>
        <w:kinsoku/>
        <w:wordWrap/>
        <w:overflowPunct/>
        <w:topLinePunct w:val="0"/>
        <w:autoSpaceDE/>
        <w:autoSpaceDN/>
        <w:bidi w:val="0"/>
        <w:adjustRightInd/>
        <w:snapToGrid/>
        <w:spacing w:line="590" w:lineRule="exact"/>
        <w:ind w:left="0" w:leftChars="0"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卫生健康（类）行政事业单位医疗（款）事业单位医疗（项）2026 年预算数为 45.52 万元，比上年预算数 51.37 万元减少 5.85 万元，主要是主要是</w:t>
      </w:r>
      <w:r>
        <w:rPr>
          <w:rFonts w:hint="eastAsia" w:ascii="仿宋_GB2312" w:hAnsi="黑体" w:eastAsia="仿宋_GB2312"/>
          <w:sz w:val="32"/>
          <w:szCs w:val="32"/>
          <w:u w:val="none"/>
          <w:lang w:val="en-US" w:eastAsia="zh-CN"/>
        </w:rPr>
        <w:t>人员减少</w:t>
      </w:r>
      <w:r>
        <w:rPr>
          <w:rFonts w:hint="eastAsia" w:ascii="仿宋_GB2312" w:hAnsi="黑体" w:eastAsia="仿宋_GB2312"/>
          <w:sz w:val="32"/>
          <w:szCs w:val="32"/>
          <w:u w:val="none"/>
        </w:rPr>
        <w:t>。</w:t>
      </w:r>
    </w:p>
    <w:p>
      <w:pPr>
        <w:keepNext w:val="0"/>
        <w:keepLines w:val="0"/>
        <w:pageBreakBefore w:val="0"/>
        <w:numPr>
          <w:ilvl w:val="0"/>
          <w:numId w:val="3"/>
        </w:numPr>
        <w:kinsoku/>
        <w:wordWrap/>
        <w:overflowPunct/>
        <w:topLinePunct w:val="0"/>
        <w:autoSpaceDE/>
        <w:autoSpaceDN/>
        <w:bidi w:val="0"/>
        <w:adjustRightInd/>
        <w:snapToGrid/>
        <w:spacing w:line="590" w:lineRule="exact"/>
        <w:ind w:left="0" w:leftChars="0"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卫生健康（类）行政事业单位医疗（款）公务员医疗补助（项）2026 年预算数为 89.76 万元，比上年预算数 123.81 万元减少 34.05 万元，主要是主要是</w:t>
      </w:r>
      <w:r>
        <w:rPr>
          <w:rFonts w:hint="eastAsia" w:ascii="仿宋_GB2312" w:hAnsi="黑体" w:eastAsia="仿宋_GB2312"/>
          <w:sz w:val="32"/>
          <w:szCs w:val="32"/>
          <w:u w:val="none"/>
          <w:lang w:val="en-US" w:eastAsia="zh-CN"/>
        </w:rPr>
        <w:t>人员减少</w:t>
      </w:r>
      <w:r>
        <w:rPr>
          <w:rFonts w:hint="eastAsia" w:ascii="仿宋_GB2312" w:hAnsi="黑体" w:eastAsia="仿宋_GB2312"/>
          <w:sz w:val="32"/>
          <w:szCs w:val="32"/>
          <w:u w:val="none"/>
        </w:rPr>
        <w:t>。</w:t>
      </w:r>
    </w:p>
    <w:p>
      <w:pPr>
        <w:keepNext w:val="0"/>
        <w:keepLines w:val="0"/>
        <w:pageBreakBefore w:val="0"/>
        <w:numPr>
          <w:ilvl w:val="0"/>
          <w:numId w:val="3"/>
        </w:numPr>
        <w:kinsoku/>
        <w:wordWrap/>
        <w:overflowPunct/>
        <w:topLinePunct w:val="0"/>
        <w:autoSpaceDE/>
        <w:autoSpaceDN/>
        <w:bidi w:val="0"/>
        <w:adjustRightInd/>
        <w:snapToGrid/>
        <w:spacing w:line="590" w:lineRule="exact"/>
        <w:ind w:left="0" w:leftChars="0"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卫生健康（类）行政事业单位医疗（款）其他行政事业单位医疗支出（项）2026 年预算数为 3.95 万元，比上年预算数 3.83 万元增加 0.12 万元，主要是新增少量教职工医疗相关补助支出。</w:t>
      </w:r>
    </w:p>
    <w:p>
      <w:pPr>
        <w:keepNext w:val="0"/>
        <w:keepLines w:val="0"/>
        <w:pageBreakBefore w:val="0"/>
        <w:numPr>
          <w:numId w:val="0"/>
        </w:numPr>
        <w:kinsoku/>
        <w:wordWrap/>
        <w:overflowPunct/>
        <w:topLinePunct w:val="0"/>
        <w:autoSpaceDE/>
        <w:autoSpaceDN/>
        <w:bidi w:val="0"/>
        <w:adjustRightInd/>
        <w:snapToGrid/>
        <w:spacing w:line="590" w:lineRule="exact"/>
        <w:ind w:firstLine="640" w:firstLineChars="200"/>
        <w:jc w:val="both"/>
        <w:textAlignment w:val="auto"/>
        <w:rPr>
          <w:color w:val="000000"/>
          <w:sz w:val="24"/>
          <w:szCs w:val="24"/>
        </w:rPr>
      </w:pPr>
      <w:bookmarkStart w:id="0" w:name="_GoBack"/>
      <w:bookmarkEnd w:id="0"/>
      <w:r>
        <w:rPr>
          <w:rFonts w:hint="eastAsia" w:ascii="仿宋_GB2312" w:hAnsi="黑体" w:eastAsia="仿宋_GB2312"/>
          <w:sz w:val="32"/>
          <w:szCs w:val="32"/>
          <w:u w:val="none"/>
          <w:lang w:val="en-US" w:eastAsia="zh-CN"/>
        </w:rPr>
        <w:t>8.</w:t>
      </w:r>
      <w:r>
        <w:rPr>
          <w:rFonts w:hint="eastAsia" w:ascii="仿宋_GB2312" w:hAnsi="黑体" w:eastAsia="仿宋_GB2312"/>
          <w:sz w:val="32"/>
          <w:szCs w:val="32"/>
          <w:u w:val="none"/>
        </w:rPr>
        <w:t>住房保障（类）住房改革支出（款）住房公积金（项）2026 年预算数为 92.06 万元，比上年预算数 123.38 万元减少 31.32 万元，主要是主要是</w:t>
      </w:r>
      <w:r>
        <w:rPr>
          <w:rFonts w:hint="eastAsia" w:ascii="仿宋_GB2312" w:hAnsi="黑体" w:eastAsia="仿宋_GB2312"/>
          <w:sz w:val="32"/>
          <w:szCs w:val="32"/>
          <w:u w:val="none"/>
          <w:lang w:val="en-US" w:eastAsia="zh-CN"/>
        </w:rPr>
        <w:t>人员减少</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cs="仿宋_GB2312"/>
          <w:sz w:val="32"/>
          <w:szCs w:val="32"/>
          <w:u w:val="none"/>
          <w:lang w:eastAsia="zh-CN"/>
        </w:rPr>
      </w:pP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firstLineChars="200"/>
        <w:jc w:val="left"/>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屯昌县新兴镇新兴中学 2026 年一般公共预算基本支出为 1292.53 万元，其中：人员经费 1283.75 万元，主要包括：基本工资 402.79 万元、津贴补贴 214.27 万元、绩效工资 222.89 万元、机关事业单位基本养老保险缴费 133.22 万元、职业年金缴费 64.71 万元、职工基本医疗保险缴费 45.52 万元、公务员医疗补助缴费 89.76 万元、其他社会保障缴费 5.59 万元、住房公积金 92.06 万元、医疗费 3.95 万元等。公用经费 8.78 万元，主要包括：工会经费 8.78 万元，无其他公用经费支出。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（一）一般公共预算 “三公” 经费预算情况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屯昌县新兴镇新兴中学 2026 年一般公共预算 “三公” 经费预算数为 0 万元，与上年预算数持平，主要原因是学校根据办学实际及财政经费管控要求，无因公出国（境）、公务用车购置及运行、公务接待等相关经费需求，未安排此类预算。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（二）政府性基金预算 “三公” 经费预算情况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屯昌县新兴镇新兴中学 2026 年政府性基金预算 “三公” 经费预算数为 0 万元，与上年预算数持平，主要原因是学校 2026 年无政府性基金预算收入，未安排相关 “三公” 经费支出。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（一）政府性基金预算当年规模变化情况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屯昌县新兴镇新兴中学 2026 年政府性基金预算当年拨款 0 万元，与上年预算数持平，主要是学校办学运营经费均由一般公共预算拨款保障，无政府性基金预算拨款需求。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（二）政府性基金预算当年拨款结构情况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无政府性基金预算拨款，无相关支出结构。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（三）政府性基金预算当年拨款具体使用情况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无政府性基金预算拨款，无相关使用安排。</w:t>
      </w:r>
    </w:p>
    <w:p>
      <w:pPr>
        <w:keepNext w:val="0"/>
        <w:keepLines w:val="0"/>
        <w:pageBreakBefore w:val="0"/>
        <w:numPr>
          <w:ilvl w:val="0"/>
          <w:numId w:val="4"/>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屯昌县新兴镇新兴中学 2026 年国有资本经营预算当年拨款 0 万元，比上年预算数持平，主要是学校为公益二类事业单位，无国有资本经营相关收入，未获得国有资本经营预算拨款。</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按照综合预算原则，屯昌县新兴镇新兴中学所有收入和支出均纳入部门预算管理。2026 年收支总预算 1299.27 万元。收入包括：一般公共预算拨款收入 1297.66 万元、上年结转 1.61 万元，无政府性基金预算收入、国有资本经营预算收入、财政专户管理资金收入、事业收入、上级补助收入、附属单位上缴收入、事业单位经营收入、其他收入；支出包括：教育支出 864.92 万元、社会保障和就业支出 203.06 万元、卫生健康支出 139.24 万元、住房保障支出 92.06 万元，无一般公共服务、外交、国防、公共安全等其他类支出。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屯昌县新兴镇新兴中学 2026 年收入预算 1299.27 万元，其中：上年结转 1.61 万元，占 0.12%；一般公共预算拨款收入 1297.66 万元，占 99.88%；政府性基金预算拨款收入 0 万元，占 0%；国有资本经营预算拨款收入 0 万元，占 0%；无其他收入。比上年预算数 1594.39 万元减少 295.12 万元，主要是一般公共预算拨款收入因社保、医疗等缴费政策调整而下调。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屯昌县新兴镇新兴中学 2026 年支出预算 1299.27 万元，其中：基本支出 1292.53 万元，占 99.48%；项目支出 6.74 万元，占 0.52%。比上年预算数 1594.39 万元减少 295.12 万元，主要是基本支出中人员经费因缴费基数、标准调整下调，公用经费略有缩减，项目支出小幅增加为遗属抚养人员补贴支出上调所致。其中委托业务费预算总额 0 万元，与上年预算数持平。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屯昌县新兴镇新兴中学为事业单位，非行政单位、参照公务员法管理的事业单位，无需说明机关运行经费。</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highlight w:val="none"/>
          <w:u w:val="none"/>
        </w:rPr>
      </w:pPr>
      <w:r>
        <w:rPr>
          <w:rFonts w:hint="eastAsia" w:ascii="仿宋_GB2312" w:hAnsi="黑体" w:eastAsia="仿宋_GB2312"/>
          <w:sz w:val="32"/>
          <w:szCs w:val="32"/>
          <w:highlight w:val="none"/>
          <w:u w:val="none"/>
          <w:lang w:val="en-US" w:eastAsia="zh-CN"/>
        </w:rPr>
        <w:t>2026 年屯昌县新兴镇新兴中学政府采购预算总额 0 万元，其中：政府采购货物预算 0 万元，政府采购工程预算 0 万元，政府采购服务预算 0 万元，无其他政府采购预算。</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截至 2025 年 12 月 31 日，屯昌县新兴镇新兴中学本级及下属各预算单位共有车辆 0 辆，其中，领导干部用车 0 辆，机要通信应急用车 0 辆、一般执法执勤用车 0 辆、特种专业技术用车 0 辆、其他用车 0 辆。单位价值 100 万元以上设备 0 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2026 年屯昌县新兴镇新兴中学 12 个项目实行绩效目标管理，涉及一般公共预算 1299.27 万元、政府性基金 0 万元、国有资本经营预算 0 万元。其中，重点项目预算绩效情况：</w:t>
      </w:r>
    </w:p>
    <w:p>
      <w:pPr>
        <w:keepNext w:val="0"/>
        <w:keepLines w:val="0"/>
        <w:pageBreakBefore w:val="0"/>
        <w:numPr>
          <w:ilvl w:val="0"/>
          <w:numId w:val="5"/>
        </w:numPr>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工资奖金津补贴项目，预算安排 848.93 万元，主要用于保障教职工基本工资、津贴补贴、绩效工资等及时足额发放，绩效目标是严格执行相关政策，发放覆盖率 100%、标准执行率 100%、足额保障率 100%，切实保障教职工权益。</w:t>
      </w:r>
    </w:p>
    <w:p>
      <w:pPr>
        <w:keepNext w:val="0"/>
        <w:keepLines w:val="0"/>
        <w:pageBreakBefore w:val="0"/>
        <w:numPr>
          <w:ilvl w:val="0"/>
          <w:numId w:val="5"/>
        </w:numPr>
        <w:kinsoku/>
        <w:wordWrap/>
        <w:overflowPunct/>
        <w:topLinePunct w:val="0"/>
        <w:autoSpaceDE/>
        <w:autoSpaceDN/>
        <w:bidi w:val="0"/>
        <w:adjustRightInd/>
        <w:snapToGrid/>
        <w:spacing w:line="590" w:lineRule="exact"/>
        <w:ind w:left="0" w:leftChars="0" w:firstLine="640" w:firstLineChars="200"/>
        <w:jc w:val="both"/>
        <w:textAlignment w:val="auto"/>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养老保险项目，预算安排 133.22 万元，主要用于缴纳教职工机关事业单位基本养老保险，绩效目标是按政策足额缴纳，缴纳覆盖率 100%、标准执行率 100%、足额保障率 100%，落实教职工社保权益。</w:t>
      </w:r>
    </w:p>
    <w:p>
      <w:pPr>
        <w:keepNext w:val="0"/>
        <w:keepLines w:val="0"/>
        <w:pageBreakBefore w:val="0"/>
        <w:numPr>
          <w:ilvl w:val="0"/>
          <w:numId w:val="5"/>
        </w:numPr>
        <w:kinsoku/>
        <w:wordWrap/>
        <w:overflowPunct/>
        <w:topLinePunct w:val="0"/>
        <w:autoSpaceDE/>
        <w:autoSpaceDN/>
        <w:bidi w:val="0"/>
        <w:adjustRightInd/>
        <w:snapToGrid/>
        <w:spacing w:line="590" w:lineRule="exact"/>
        <w:ind w:left="0" w:leftChars="0" w:firstLine="640" w:firstLineChars="200"/>
        <w:jc w:val="both"/>
        <w:textAlignment w:val="auto"/>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公用支出项目，预算安排 8.78 万元，主要用于保障学校工会活动、日常办公等公用开支，绩效目标是提高预算编制质量，科目调整次数≤5 次、预算编制质量偏差率≤5%、三公经费控制率 100%、运转保障率 100%，保障单位日常运转。</w:t>
      </w:r>
    </w:p>
    <w:p>
      <w:pPr>
        <w:keepNext w:val="0"/>
        <w:keepLines w:val="0"/>
        <w:pageBreakBefore w:val="0"/>
        <w:numPr>
          <w:ilvl w:val="0"/>
          <w:numId w:val="5"/>
        </w:numPr>
        <w:kinsoku/>
        <w:wordWrap/>
        <w:overflowPunct/>
        <w:topLinePunct w:val="0"/>
        <w:autoSpaceDE/>
        <w:autoSpaceDN/>
        <w:bidi w:val="0"/>
        <w:adjustRightInd/>
        <w:snapToGrid/>
        <w:spacing w:line="590" w:lineRule="exact"/>
        <w:ind w:left="0" w:leftChars="0" w:firstLine="640" w:firstLineChars="200"/>
        <w:jc w:val="both"/>
        <w:textAlignment w:val="auto"/>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现有遗属抚养人员补贴项目，预算安排 5.13 万元，主要用于向学校遗属抚养人员发放生活补贴，绩效目标是足额完成补贴发放，数量、质量指标均≥100%，保障遗属基本生活。</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EDE84A"/>
    <w:multiLevelType w:val="singleLevel"/>
    <w:tmpl w:val="A7EDE84A"/>
    <w:lvl w:ilvl="0" w:tentative="0">
      <w:start w:val="1"/>
      <w:numFmt w:val="decimal"/>
      <w:suff w:val="space"/>
      <w:lvlText w:val="%1."/>
      <w:lvlJc w:val="left"/>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AF8E910"/>
    <w:multiLevelType w:val="singleLevel"/>
    <w:tmpl w:val="7AF8E910"/>
    <w:lvl w:ilvl="0" w:tentative="0">
      <w:start w:val="1"/>
      <w:numFmt w:val="decimal"/>
      <w:suff w:val="space"/>
      <w:lvlText w:val="%1."/>
      <w:lvlJc w:val="left"/>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41C2617"/>
    <w:rsid w:val="0D7F66E0"/>
    <w:rsid w:val="415D6A9A"/>
    <w:rsid w:val="5EB73528"/>
    <w:rsid w:val="68BE0655"/>
    <w:rsid w:val="6B453906"/>
    <w:rsid w:val="71054180"/>
    <w:rsid w:val="7504568E"/>
    <w:rsid w:val="77083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12</Pages>
  <Words>4514</Words>
  <Characters>5030</Characters>
  <Lines>0</Lines>
  <Paragraphs>0</Paragraphs>
  <TotalTime>4</TotalTime>
  <ScaleCrop>false</ScaleCrop>
  <LinksUpToDate>false</LinksUpToDate>
  <CharactersWithSpaces>5326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知煮尝乐</cp:lastModifiedBy>
  <dcterms:modified xsi:type="dcterms:W3CDTF">2026-03-03T01:15:18Z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KSOTemplateDocerSaveRecord">
    <vt:lpwstr>eyJoZGlkIjoiY2EwNWQxOTVlMmQ2Y2E4ZWQ1MWVkMzM5MGVlZGNjNmIiLCJ1c2VySWQiOiI0MDIzOTA0NzgifQ==</vt:lpwstr>
  </property>
  <property fmtid="{D5CDD505-2E9C-101B-9397-08002B2CF9AE}" pid="4" name="ICV">
    <vt:lpwstr>E93D5E10BD2D4BA6828C8528ACE6E1CE_12</vt:lpwstr>
  </property>
</Properties>
</file>