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spacing w:line="720" w:lineRule="exact"/>
        <w:jc w:val="center"/>
        <w:rPr>
          <w:rFonts w:hint="eastAsia" w:ascii="方正小标宋_GBK" w:hAnsi="方正小标宋_GBK" w:eastAsia="方正小标宋_GBK" w:cs="方正小标宋_GBK"/>
          <w:sz w:val="44"/>
          <w:szCs w:val="44"/>
          <w:u w:val="none"/>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屯昌县教育研究培训中心</w:t>
      </w:r>
      <w:r>
        <w:rPr>
          <w:rFonts w:hint="eastAsia" w:ascii="方正小标宋_GBK" w:hAnsi="方正小标宋_GBK" w:eastAsia="方正小标宋_GBK" w:cs="方正小标宋_GBK"/>
          <w:sz w:val="44"/>
          <w:szCs w:val="44"/>
          <w:u w:val="none"/>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color w:val="auto"/>
          <w:sz w:val="32"/>
          <w:szCs w:val="32"/>
          <w:lang w:eastAsia="zh-CN"/>
        </w:rPr>
        <w:t>屯昌县教育研究培训中心</w:t>
      </w:r>
      <w:r>
        <w:rPr>
          <w:rFonts w:hint="eastAsia" w:ascii="黑体" w:hAnsi="黑体" w:eastAsia="黑体"/>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widowControl w:val="0"/>
        <w:numPr>
          <w:numId w:val="0"/>
        </w:numPr>
        <w:jc w:val="left"/>
        <w:rPr>
          <w:rFonts w:hint="eastAsia" w:ascii="仿宋_GB2312" w:hAnsi="仿宋_GB2312" w:eastAsia="仿宋_GB2312" w:cs="仿宋_GB2312"/>
          <w:sz w:val="32"/>
          <w:szCs w:val="32"/>
        </w:rPr>
      </w:pP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3"/>
        </w:numPr>
        <w:ind w:firstLineChars="0"/>
        <w:jc w:val="center"/>
        <w:rPr>
          <w:rFonts w:hint="eastAsia" w:ascii="方正黑体_GBK" w:hAnsi="方正黑体_GBK" w:eastAsia="方正黑体_GBK" w:cs="方正黑体_GBK"/>
          <w:bCs/>
          <w:sz w:val="32"/>
          <w:szCs w:val="32"/>
          <w:u w:val="none"/>
        </w:rPr>
      </w:pPr>
      <w:r>
        <w:rPr>
          <w:rFonts w:hint="eastAsia" w:ascii="黑体" w:hAnsi="黑体" w:eastAsia="黑体"/>
          <w:sz w:val="32"/>
          <w:szCs w:val="32"/>
        </w:rPr>
        <w:t xml:space="preserve">  </w:t>
      </w:r>
      <w:r>
        <w:rPr>
          <w:rFonts w:hint="eastAsia" w:ascii="方正黑体_GBK" w:hAnsi="方正黑体_GBK" w:eastAsia="方正黑体_GBK" w:cs="方正黑体_GBK"/>
          <w:bCs/>
          <w:sz w:val="32"/>
          <w:szCs w:val="32"/>
          <w:u w:val="none"/>
          <w:lang w:eastAsia="zh-CN"/>
        </w:rPr>
        <w:t>屯昌县教育研究培训中心</w:t>
      </w:r>
      <w:r>
        <w:rPr>
          <w:rFonts w:hint="eastAsia" w:ascii="方正黑体_GBK" w:hAnsi="方正黑体_GBK" w:eastAsia="方正黑体_GBK" w:cs="方正黑体_GBK"/>
          <w:bCs/>
          <w:sz w:val="32"/>
          <w:szCs w:val="32"/>
          <w:u w:val="none"/>
          <w:lang w:val="en-US" w:eastAsia="zh-CN"/>
        </w:rPr>
        <w:t>2026</w:t>
      </w:r>
      <w:r>
        <w:rPr>
          <w:rFonts w:hint="eastAsia" w:ascii="方正黑体_GBK" w:hAnsi="方正黑体_GBK" w:eastAsia="方正黑体_GBK" w:cs="方正黑体_GBK"/>
          <w:bCs/>
          <w:sz w:val="32"/>
          <w:szCs w:val="32"/>
          <w:u w:val="none"/>
        </w:rPr>
        <w:t>年概况</w:t>
      </w:r>
    </w:p>
    <w:p>
      <w:pPr>
        <w:jc w:val="left"/>
        <w:rPr>
          <w:rFonts w:ascii="仿宋_GB2312" w:hAnsi="仿宋_GB2312" w:eastAsia="仿宋_GB2312" w:cs="仿宋_GB2312"/>
          <w:sz w:val="32"/>
          <w:szCs w:val="32"/>
        </w:rPr>
      </w:pPr>
    </w:p>
    <w:p>
      <w:pPr>
        <w:pStyle w:val="6"/>
        <w:numPr>
          <w:ilvl w:val="0"/>
          <w:numId w:val="4"/>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numPr>
          <w:ilvl w:val="0"/>
          <w:numId w:val="5"/>
        </w:numPr>
        <w:adjustRightInd/>
        <w:snapToGrid/>
        <w:spacing w:beforeAutospacing="0" w:afterAutospacing="0" w:line="590" w:lineRule="exact"/>
        <w:ind w:right="0" w:firstLine="640" w:firstLineChars="200"/>
        <w:textAlignment w:val="auto"/>
        <w:outlineLvl w:val="9"/>
        <w:rPr>
          <w:rFonts w:hint="eastAsia" w:ascii="仿宋" w:hAnsi="仿宋" w:eastAsia="仿宋" w:cs="仿宋"/>
          <w:sz w:val="36"/>
          <w:szCs w:val="36"/>
        </w:rPr>
      </w:pPr>
      <w:r>
        <w:rPr>
          <w:rFonts w:hint="eastAsia" w:ascii="仿宋_GB2312" w:hAnsi="黑体" w:eastAsia="仿宋_GB2312" w:cs="黑体"/>
          <w:color w:val="auto"/>
          <w:sz w:val="32"/>
          <w:szCs w:val="32"/>
        </w:rPr>
        <w:t>协助县教育局制定教师培训计划、规划；参与教师培训管理工作，承担有关教师和教育行政管理人员的业务培训。</w:t>
      </w:r>
    </w:p>
    <w:p>
      <w:pPr>
        <w:numPr>
          <w:ilvl w:val="0"/>
          <w:numId w:val="5"/>
        </w:numPr>
        <w:adjustRightInd/>
        <w:snapToGrid/>
        <w:spacing w:beforeAutospacing="0" w:afterAutospacing="0" w:line="590" w:lineRule="exact"/>
        <w:ind w:right="0" w:firstLine="640" w:firstLineChars="200"/>
        <w:textAlignment w:val="auto"/>
        <w:outlineLvl w:val="9"/>
        <w:rPr>
          <w:rFonts w:hint="eastAsia" w:ascii="仿宋_GB2312" w:hAnsi="黑体" w:eastAsia="仿宋_GB2312" w:cs="黑体"/>
          <w:color w:val="auto"/>
          <w:sz w:val="32"/>
          <w:szCs w:val="32"/>
        </w:rPr>
      </w:pPr>
      <w:r>
        <w:rPr>
          <w:rFonts w:hint="eastAsia" w:ascii="仿宋_GB2312" w:hAnsi="黑体" w:eastAsia="仿宋_GB2312" w:cs="黑体"/>
          <w:color w:val="auto"/>
          <w:sz w:val="32"/>
          <w:szCs w:val="32"/>
        </w:rPr>
        <w:t>从事中小学（幼儿园）开展教学研究活动；负责全县教育教学评价指导、研究工作。</w:t>
      </w:r>
    </w:p>
    <w:p>
      <w:pPr>
        <w:numPr>
          <w:ilvl w:val="0"/>
          <w:numId w:val="5"/>
        </w:numPr>
        <w:adjustRightInd/>
        <w:snapToGrid/>
        <w:spacing w:beforeAutospacing="0" w:afterAutospacing="0" w:line="590" w:lineRule="exact"/>
        <w:ind w:right="0" w:firstLine="640" w:firstLineChars="200"/>
        <w:textAlignment w:val="auto"/>
        <w:outlineLvl w:val="9"/>
        <w:rPr>
          <w:rFonts w:hint="eastAsia" w:ascii="仿宋" w:hAnsi="仿宋" w:eastAsia="仿宋" w:cs="仿宋"/>
          <w:sz w:val="36"/>
          <w:szCs w:val="36"/>
        </w:rPr>
      </w:pPr>
      <w:r>
        <w:rPr>
          <w:rFonts w:hint="eastAsia" w:ascii="仿宋_GB2312" w:hAnsi="黑体" w:eastAsia="仿宋_GB2312" w:cs="黑体"/>
          <w:color w:val="auto"/>
          <w:sz w:val="32"/>
          <w:szCs w:val="32"/>
        </w:rPr>
        <w:t>制订全县基础教育课程计划及实施指导，提出教材使用建议；负责课程改革试验、推广的义务指导，校本课程开发指导和课程资源的开发利用。</w:t>
      </w:r>
    </w:p>
    <w:p>
      <w:pPr>
        <w:numPr>
          <w:ilvl w:val="0"/>
          <w:numId w:val="5"/>
        </w:numPr>
        <w:spacing w:line="590" w:lineRule="exact"/>
        <w:ind w:firstLine="640" w:firstLineChars="200"/>
        <w:jc w:val="left"/>
        <w:outlineLvl w:val="9"/>
        <w:rPr>
          <w:rFonts w:hint="eastAsia" w:ascii="仿宋_GB2312" w:hAnsi="黑体" w:eastAsia="仿宋_GB2312"/>
          <w:color w:val="auto"/>
          <w:sz w:val="32"/>
          <w:szCs w:val="32"/>
        </w:rPr>
      </w:pPr>
      <w:r>
        <w:rPr>
          <w:rFonts w:hint="eastAsia" w:ascii="仿宋_GB2312" w:hAnsi="黑体" w:eastAsia="仿宋_GB2312" w:cs="黑体"/>
          <w:color w:val="auto"/>
          <w:sz w:val="32"/>
          <w:szCs w:val="32"/>
        </w:rPr>
        <w:t>负责全县教育网络的建设、管理和开发利用；从事电化教育、现代教育技术应用等方面的研究，指导，协调中小学电化教育工作，提供现代化教育技术服务。</w:t>
      </w:r>
    </w:p>
    <w:p>
      <w:pPr>
        <w:numPr>
          <w:ilvl w:val="0"/>
          <w:numId w:val="5"/>
        </w:numPr>
        <w:spacing w:line="590" w:lineRule="exact"/>
        <w:ind w:left="0" w:leftChars="0" w:firstLine="640" w:firstLineChars="200"/>
        <w:jc w:val="left"/>
        <w:rPr>
          <w:rFonts w:ascii="仿宋_GB2312" w:hAnsi="黑体" w:eastAsia="仿宋_GB2312" w:cs="仿宋_GB2312"/>
          <w:sz w:val="32"/>
          <w:szCs w:val="32"/>
        </w:rPr>
      </w:pPr>
      <w:r>
        <w:rPr>
          <w:rFonts w:hint="eastAsia" w:ascii="仿宋_GB2312" w:hAnsi="黑体" w:eastAsia="仿宋_GB2312" w:cs="黑体"/>
          <w:color w:val="auto"/>
          <w:sz w:val="32"/>
          <w:szCs w:val="32"/>
        </w:rPr>
        <w:t>承办上级主管部门交办的其他工作。</w:t>
      </w:r>
    </w:p>
    <w:p>
      <w:pPr>
        <w:pStyle w:val="6"/>
        <w:numPr>
          <w:ilvl w:val="0"/>
          <w:numId w:val="4"/>
        </w:numPr>
        <w:ind w:firstLineChars="0"/>
        <w:jc w:val="left"/>
        <w:rPr>
          <w:rFonts w:ascii="黑体" w:hAnsi="黑体" w:eastAsia="黑体" w:cs="仿宋_GB2312"/>
          <w:sz w:val="32"/>
          <w:szCs w:val="32"/>
        </w:rPr>
      </w:pPr>
      <w:r>
        <w:rPr>
          <w:rFonts w:hint="eastAsia" w:ascii="黑体" w:hAnsi="黑体" w:eastAsia="黑体" w:cs="仿宋_GB2312"/>
          <w:sz w:val="32"/>
          <w:szCs w:val="32"/>
          <w:lang w:eastAsia="zh-CN"/>
        </w:rPr>
        <w:t>机构设置</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屯昌县教育研究培训中心</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w:t>
      </w:r>
    </w:p>
    <w:p>
      <w:pPr>
        <w:pStyle w:val="6"/>
        <w:numPr>
          <w:ilvl w:val="0"/>
          <w:numId w:val="6"/>
        </w:numPr>
        <w:ind w:left="420" w:leftChars="200" w:firstLine="0" w:firstLineChars="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屯昌县教育研究培训中心</w:t>
      </w:r>
    </w:p>
    <w:p>
      <w:pPr>
        <w:pStyle w:val="6"/>
        <w:numPr>
          <w:ilvl w:val="-1"/>
          <w:numId w:val="0"/>
        </w:numPr>
        <w:ind w:left="0" w:leftChars="0" w:firstLine="0" w:firstLineChars="0"/>
        <w:rPr>
          <w:rFonts w:hint="eastAsia" w:ascii="仿宋_GB2312" w:hAnsi="黑体" w:eastAsia="仿宋_GB2312" w:cs="仿宋_GB2312"/>
          <w:sz w:val="32"/>
          <w:szCs w:val="32"/>
          <w:lang w:eastAsia="zh-CN"/>
        </w:rPr>
      </w:pPr>
    </w:p>
    <w:p>
      <w:pPr>
        <w:pStyle w:val="6"/>
        <w:numPr>
          <w:ilvl w:val="-1"/>
          <w:numId w:val="0"/>
        </w:numPr>
        <w:ind w:left="0" w:leftChars="0" w:firstLine="0" w:firstLineChars="0"/>
        <w:rPr>
          <w:rFonts w:hint="eastAsia" w:ascii="仿宋_GB2312" w:hAnsi="黑体" w:eastAsia="仿宋_GB2312" w:cs="仿宋_GB2312"/>
          <w:sz w:val="32"/>
          <w:szCs w:val="32"/>
          <w:lang w:eastAsia="zh-CN"/>
        </w:rPr>
      </w:pPr>
    </w:p>
    <w:p>
      <w:pPr>
        <w:pStyle w:val="6"/>
        <w:numPr>
          <w:ilvl w:val="-1"/>
          <w:numId w:val="0"/>
        </w:numPr>
        <w:ind w:left="0" w:leftChars="0" w:firstLine="0" w:firstLineChars="0"/>
        <w:rPr>
          <w:rFonts w:hint="eastAsia" w:ascii="仿宋_GB2312" w:hAnsi="黑体" w:eastAsia="仿宋_GB2312" w:cs="仿宋_GB2312"/>
          <w:sz w:val="32"/>
          <w:szCs w:val="32"/>
          <w:lang w:eastAsia="zh-CN"/>
        </w:rPr>
      </w:pPr>
    </w:p>
    <w:p>
      <w:pPr>
        <w:pStyle w:val="6"/>
        <w:numPr>
          <w:ilvl w:val="-1"/>
          <w:numId w:val="0"/>
        </w:numPr>
        <w:ind w:left="0" w:leftChars="0" w:firstLine="0" w:firstLineChars="0"/>
        <w:rPr>
          <w:rFonts w:hint="eastAsia" w:ascii="仿宋_GB2312" w:hAnsi="黑体" w:eastAsia="仿宋_GB2312" w:cs="仿宋_GB2312"/>
          <w:sz w:val="32"/>
          <w:szCs w:val="32"/>
          <w:lang w:eastAsia="zh-CN"/>
        </w:rPr>
      </w:pPr>
    </w:p>
    <w:p>
      <w:pPr>
        <w:pStyle w:val="6"/>
        <w:numPr>
          <w:ilvl w:val="0"/>
          <w:numId w:val="0"/>
        </w:numPr>
        <w:spacing w:line="590" w:lineRule="exact"/>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 xml:space="preserve"> </w:t>
      </w:r>
      <w:r>
        <w:rPr>
          <w:rFonts w:hint="eastAsia" w:ascii="方正黑体_GBK" w:hAnsi="方正黑体_GBK" w:eastAsia="方正黑体_GBK" w:cs="方正黑体_GBK"/>
          <w:b w:val="0"/>
          <w:bCs/>
          <w:sz w:val="32"/>
          <w:szCs w:val="32"/>
          <w:u w:val="none"/>
          <w:lang w:val="en-US" w:eastAsia="zh-CN"/>
        </w:rPr>
        <w:t>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u w:val="none"/>
          <w:lang w:val="en-US" w:eastAsia="zh-CN"/>
        </w:rPr>
        <w:t>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eastAsia="zh-CN"/>
        </w:rPr>
        <w:t>屯昌县教育研究培训中心</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620.62</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620.62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620.62</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0.00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0.00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sz w:val="32"/>
          <w:szCs w:val="32"/>
        </w:rPr>
        <w:t>支出总计</w:t>
      </w:r>
      <w:r>
        <w:rPr>
          <w:rFonts w:hint="eastAsia" w:ascii="仿宋_GB2312" w:hAnsi="黑体" w:eastAsia="仿宋_GB2312" w:cs="仿宋_GB2312"/>
          <w:sz w:val="32"/>
          <w:szCs w:val="32"/>
        </w:rPr>
        <w:t>620.62</w:t>
      </w:r>
      <w:r>
        <w:rPr>
          <w:rFonts w:hint="eastAsia" w:ascii="仿宋_GB2312" w:hAnsi="黑体" w:eastAsia="仿宋_GB2312"/>
          <w:sz w:val="32"/>
          <w:szCs w:val="32"/>
        </w:rPr>
        <w:t>万元，包括一般公共服务支出0.39</w:t>
      </w:r>
      <w:r>
        <w:rPr>
          <w:rFonts w:hint="eastAsia" w:ascii="仿宋_GB2312" w:hAnsi="黑体" w:eastAsia="仿宋_GB2312"/>
          <w:sz w:val="32"/>
          <w:szCs w:val="32"/>
          <w:lang w:eastAsia="zh-CN"/>
        </w:rPr>
        <w:t>万元，</w:t>
      </w:r>
      <w:r>
        <w:rPr>
          <w:rFonts w:hint="eastAsia" w:ascii="仿宋_GB2312" w:hAnsi="黑体" w:eastAsia="仿宋_GB2312"/>
          <w:color w:val="auto"/>
          <w:sz w:val="32"/>
          <w:szCs w:val="32"/>
          <w:lang w:eastAsia="zh-CN"/>
        </w:rPr>
        <w:t>教育</w:t>
      </w:r>
      <w:r>
        <w:rPr>
          <w:rFonts w:hint="eastAsia" w:ascii="仿宋_GB2312" w:hAnsi="黑体" w:eastAsia="仿宋_GB2312"/>
          <w:color w:val="auto"/>
          <w:sz w:val="32"/>
          <w:szCs w:val="32"/>
        </w:rPr>
        <w:t>支出</w:t>
      </w:r>
      <w:r>
        <w:rPr>
          <w:rFonts w:hint="eastAsia" w:ascii="仿宋_GB2312" w:hAnsi="黑体" w:eastAsia="仿宋_GB2312"/>
          <w:color w:val="auto"/>
          <w:sz w:val="32"/>
          <w:szCs w:val="32"/>
          <w:lang w:val="en-US" w:eastAsia="zh-CN"/>
        </w:rPr>
        <w:t>417.73</w:t>
      </w:r>
      <w:r>
        <w:rPr>
          <w:rFonts w:hint="eastAsia" w:ascii="仿宋_GB2312" w:hAnsi="黑体" w:eastAsia="仿宋_GB2312"/>
          <w:color w:val="auto"/>
          <w:sz w:val="32"/>
          <w:szCs w:val="32"/>
        </w:rPr>
        <w:t>万元、社会保障和就业支出</w:t>
      </w:r>
      <w:r>
        <w:rPr>
          <w:rFonts w:hint="eastAsia" w:ascii="仿宋_GB2312" w:hAnsi="黑体" w:eastAsia="仿宋_GB2312"/>
          <w:color w:val="auto"/>
          <w:sz w:val="32"/>
          <w:szCs w:val="32"/>
          <w:lang w:eastAsia="zh-CN"/>
        </w:rPr>
        <w:t>91.48</w:t>
      </w:r>
      <w:r>
        <w:rPr>
          <w:rFonts w:hint="eastAsia" w:ascii="仿宋_GB2312" w:hAnsi="黑体" w:eastAsia="仿宋_GB2312"/>
          <w:color w:val="auto"/>
          <w:sz w:val="32"/>
          <w:szCs w:val="32"/>
        </w:rPr>
        <w:t>万元、卫生健康支出</w:t>
      </w:r>
      <w:r>
        <w:rPr>
          <w:rFonts w:hint="eastAsia" w:ascii="仿宋_GB2312" w:hAnsi="黑体" w:eastAsia="仿宋_GB2312"/>
          <w:color w:val="auto"/>
          <w:sz w:val="32"/>
          <w:szCs w:val="32"/>
          <w:lang w:eastAsia="zh-CN"/>
        </w:rPr>
        <w:t>69.73</w:t>
      </w:r>
      <w:r>
        <w:rPr>
          <w:rFonts w:hint="eastAsia" w:ascii="仿宋_GB2312" w:hAnsi="黑体" w:eastAsia="仿宋_GB2312"/>
          <w:color w:val="auto"/>
          <w:sz w:val="32"/>
          <w:szCs w:val="32"/>
        </w:rPr>
        <w:t>万元、住房保障支出</w:t>
      </w:r>
      <w:r>
        <w:rPr>
          <w:rFonts w:hint="eastAsia" w:ascii="仿宋_GB2312" w:hAnsi="黑体" w:eastAsia="仿宋_GB2312"/>
          <w:sz w:val="32"/>
          <w:szCs w:val="32"/>
          <w:lang w:val="en-US" w:eastAsia="zh-CN"/>
        </w:rPr>
        <w:t>41.30</w:t>
      </w:r>
      <w:r>
        <w:rPr>
          <w:rFonts w:hint="eastAsia" w:ascii="仿宋_GB2312" w:hAnsi="黑体" w:eastAsia="仿宋_GB2312"/>
          <w:color w:val="auto"/>
          <w:sz w:val="32"/>
          <w:szCs w:val="32"/>
        </w:rPr>
        <w:t>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屯昌县教育研究培训中心</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620.62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181.32</w:t>
      </w:r>
      <w:r>
        <w:rPr>
          <w:rFonts w:hint="eastAsia" w:ascii="仿宋_GB2312" w:hAnsi="黑体" w:eastAsia="仿宋_GB2312"/>
          <w:sz w:val="32"/>
          <w:szCs w:val="32"/>
        </w:rPr>
        <w:t>万元，主要是一般公共服务支出</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0.11万元，</w:t>
      </w:r>
      <w:r>
        <w:rPr>
          <w:rFonts w:hint="eastAsia" w:ascii="仿宋_GB2312" w:hAnsi="黑体" w:eastAsia="仿宋_GB2312"/>
          <w:color w:val="auto"/>
          <w:sz w:val="32"/>
          <w:szCs w:val="32"/>
          <w:lang w:eastAsia="zh-CN"/>
        </w:rPr>
        <w:t>教育</w:t>
      </w:r>
      <w:r>
        <w:rPr>
          <w:rFonts w:hint="eastAsia" w:ascii="仿宋_GB2312" w:hAnsi="黑体" w:eastAsia="仿宋_GB2312"/>
          <w:color w:val="auto"/>
          <w:sz w:val="32"/>
          <w:szCs w:val="32"/>
        </w:rPr>
        <w:t>支出</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126.66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社会保障和就业支出</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16</w:t>
      </w:r>
      <w:r>
        <w:rPr>
          <w:rFonts w:hint="eastAsia" w:ascii="仿宋_GB2312" w:hAnsi="黑体" w:eastAsia="仿宋_GB2312"/>
          <w:color w:val="auto"/>
          <w:sz w:val="32"/>
          <w:szCs w:val="32"/>
        </w:rPr>
        <w:t>万元、卫生健康支出</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20.96</w:t>
      </w:r>
      <w:r>
        <w:rPr>
          <w:rFonts w:hint="eastAsia" w:ascii="仿宋_GB2312" w:hAnsi="黑体" w:eastAsia="仿宋_GB2312"/>
          <w:color w:val="auto"/>
          <w:sz w:val="32"/>
          <w:szCs w:val="32"/>
        </w:rPr>
        <w:t>万元、住房保障支出</w:t>
      </w:r>
      <w:r>
        <w:rPr>
          <w:rFonts w:hint="eastAsia" w:ascii="仿宋_GB2312" w:hAnsi="黑体" w:eastAsia="仿宋_GB2312"/>
          <w:color w:val="auto"/>
          <w:sz w:val="32"/>
          <w:szCs w:val="32"/>
          <w:lang w:eastAsia="zh-CN"/>
        </w:rPr>
        <w:t>增加</w:t>
      </w:r>
      <w:r>
        <w:rPr>
          <w:rFonts w:hint="eastAsia" w:ascii="仿宋_GB2312" w:hAnsi="黑体" w:eastAsia="仿宋_GB2312"/>
          <w:sz w:val="32"/>
          <w:szCs w:val="32"/>
          <w:lang w:val="en-US" w:eastAsia="zh-CN"/>
        </w:rPr>
        <w:t>17.8</w:t>
      </w:r>
      <w:r>
        <w:rPr>
          <w:rFonts w:hint="eastAsia" w:ascii="仿宋_GB2312" w:hAnsi="黑体" w:eastAsia="仿宋_GB2312"/>
          <w:color w:val="auto"/>
          <w:sz w:val="32"/>
          <w:szCs w:val="32"/>
        </w:rPr>
        <w:t>元</w:t>
      </w:r>
      <w:r>
        <w:rPr>
          <w:rFonts w:hint="eastAsia" w:ascii="仿宋_GB2312" w:hAnsi="黑体" w:eastAsia="仿宋_GB2312"/>
          <w:color w:val="auto"/>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一般公共服务（类）支出0.39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0.06</w:t>
      </w:r>
      <w:r>
        <w:rPr>
          <w:rFonts w:hint="eastAsia" w:ascii="仿宋_GB2312" w:hAnsi="黑体" w:eastAsia="仿宋_GB2312"/>
          <w:sz w:val="32"/>
          <w:szCs w:val="32"/>
        </w:rPr>
        <w:t>%；</w:t>
      </w:r>
      <w:r>
        <w:rPr>
          <w:rFonts w:hint="eastAsia" w:ascii="仿宋_GB2312" w:hAnsi="黑体" w:eastAsia="仿宋_GB2312"/>
          <w:color w:val="auto"/>
          <w:sz w:val="32"/>
          <w:szCs w:val="32"/>
          <w:lang w:val="en-US" w:eastAsia="zh-CN"/>
        </w:rPr>
        <w:t>教育支出</w:t>
      </w:r>
      <w:r>
        <w:rPr>
          <w:rFonts w:hint="eastAsia" w:ascii="仿宋_GB2312" w:hAnsi="黑体" w:eastAsia="仿宋_GB2312"/>
          <w:color w:val="auto"/>
          <w:sz w:val="32"/>
          <w:szCs w:val="32"/>
        </w:rPr>
        <w:t>（类）</w:t>
      </w:r>
      <w:r>
        <w:rPr>
          <w:rFonts w:hint="eastAsia" w:ascii="仿宋_GB2312" w:hAnsi="黑体" w:eastAsia="仿宋_GB2312"/>
          <w:sz w:val="32"/>
          <w:szCs w:val="32"/>
        </w:rPr>
        <w:t>417.73</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67.31</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社会保障缴费</w:t>
      </w:r>
      <w:r>
        <w:rPr>
          <w:rFonts w:hint="eastAsia" w:ascii="仿宋_GB2312" w:hAnsi="黑体" w:eastAsia="仿宋_GB2312" w:cs="仿宋_GB2312"/>
          <w:color w:val="auto"/>
          <w:sz w:val="32"/>
          <w:szCs w:val="32"/>
        </w:rPr>
        <w:t>支出（类）</w:t>
      </w:r>
      <w:r>
        <w:rPr>
          <w:rFonts w:hint="eastAsia" w:ascii="仿宋_GB2312" w:hAnsi="黑体" w:eastAsia="仿宋_GB2312" w:cs="仿宋_GB2312"/>
          <w:sz w:val="32"/>
          <w:szCs w:val="32"/>
        </w:rPr>
        <w:t>91.48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14.74</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卫生健康支出</w:t>
      </w:r>
      <w:r>
        <w:rPr>
          <w:rFonts w:hint="eastAsia" w:ascii="仿宋_GB2312" w:hAnsi="黑体" w:eastAsia="仿宋_GB2312"/>
          <w:color w:val="auto"/>
          <w:sz w:val="32"/>
          <w:szCs w:val="32"/>
        </w:rPr>
        <w:t>（类）</w:t>
      </w:r>
      <w:r>
        <w:rPr>
          <w:rFonts w:hint="eastAsia" w:ascii="仿宋_GB2312" w:hAnsi="黑体" w:eastAsia="仿宋_GB2312"/>
          <w:sz w:val="32"/>
          <w:szCs w:val="32"/>
        </w:rPr>
        <w:t>69.73</w:t>
      </w:r>
      <w:r>
        <w:rPr>
          <w:rFonts w:hint="eastAsia" w:ascii="仿宋_GB2312" w:hAnsi="黑体" w:eastAsia="仿宋_GB2312"/>
          <w:color w:val="auto"/>
          <w:sz w:val="32"/>
          <w:szCs w:val="32"/>
          <w:lang w:eastAsia="zh-CN"/>
        </w:rPr>
        <w:t>万元，占</w:t>
      </w:r>
      <w:r>
        <w:rPr>
          <w:rFonts w:hint="eastAsia" w:ascii="仿宋_GB2312" w:hAnsi="黑体" w:eastAsia="仿宋_GB2312"/>
          <w:color w:val="auto"/>
          <w:sz w:val="32"/>
          <w:szCs w:val="32"/>
          <w:lang w:val="en-US" w:eastAsia="zh-CN"/>
        </w:rPr>
        <w:t>11.24%，住房保障</w:t>
      </w:r>
      <w:r>
        <w:rPr>
          <w:rFonts w:hint="eastAsia" w:ascii="仿宋_GB2312" w:hAnsi="黑体" w:eastAsia="仿宋_GB2312" w:cs="仿宋_GB2312"/>
          <w:color w:val="auto"/>
          <w:sz w:val="32"/>
          <w:szCs w:val="32"/>
        </w:rPr>
        <w:t>支出</w:t>
      </w:r>
      <w:r>
        <w:rPr>
          <w:rFonts w:hint="eastAsia" w:ascii="仿宋_GB2312" w:hAnsi="黑体" w:eastAsia="仿宋_GB2312"/>
          <w:color w:val="auto"/>
          <w:sz w:val="32"/>
          <w:szCs w:val="32"/>
        </w:rPr>
        <w:t>（类）</w:t>
      </w:r>
      <w:r>
        <w:rPr>
          <w:rFonts w:hint="eastAsia" w:ascii="仿宋_GB2312" w:hAnsi="黑体" w:eastAsia="仿宋_GB2312" w:cs="仿宋_GB2312"/>
          <w:sz w:val="32"/>
          <w:szCs w:val="32"/>
        </w:rPr>
        <w:t>41.30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6.65</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rPr>
        <w:t>1.</w:t>
      </w:r>
      <w:r>
        <w:rPr>
          <w:rFonts w:hint="eastAsia" w:ascii="仿宋_GB2312" w:hAnsi="黑体" w:eastAsia="仿宋_GB2312" w:cs="仿宋_GB2312"/>
          <w:color w:val="auto"/>
          <w:sz w:val="32"/>
          <w:szCs w:val="32"/>
        </w:rPr>
        <w:t>一般公共服务（类）其他共产党事务支出（款）其他共产党事务支出</w:t>
      </w:r>
      <w:r>
        <w:rPr>
          <w:rFonts w:hint="eastAsia" w:ascii="仿宋_GB2312" w:hAnsi="黑体" w:eastAsia="仿宋_GB2312" w:cs="仿宋_GB2312"/>
          <w:color w:val="auto"/>
          <w:sz w:val="32"/>
          <w:szCs w:val="32"/>
          <w:lang w:eastAsia="zh-CN"/>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lang w:val="en-US" w:eastAsia="zh-CN"/>
        </w:rPr>
        <w:t>0.39</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较</w:t>
      </w:r>
      <w:r>
        <w:rPr>
          <w:rFonts w:hint="eastAsia" w:ascii="仿宋_GB2312" w:hAnsi="黑体" w:eastAsia="仿宋_GB2312"/>
          <w:color w:val="auto"/>
          <w:sz w:val="32"/>
          <w:szCs w:val="32"/>
        </w:rPr>
        <w:t>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0.11万元，主要是党建经费增加</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lang w:val="en-US" w:eastAsia="zh-CN"/>
        </w:rPr>
        <w:t>2.</w:t>
      </w:r>
      <w:r>
        <w:rPr>
          <w:rFonts w:hint="eastAsia" w:ascii="仿宋_GB2312" w:hAnsi="黑体" w:eastAsia="仿宋_GB2312" w:cs="仿宋_GB2312"/>
          <w:color w:val="auto"/>
          <w:sz w:val="32"/>
          <w:szCs w:val="32"/>
        </w:rPr>
        <w:t>教育支出（类）进修与培训（款）</w:t>
      </w:r>
      <w:r>
        <w:rPr>
          <w:rFonts w:hint="eastAsia" w:ascii="仿宋_GB2312" w:hAnsi="黑体" w:eastAsia="仿宋_GB2312" w:cs="仿宋_GB2312"/>
          <w:color w:val="auto"/>
          <w:sz w:val="32"/>
          <w:szCs w:val="32"/>
          <w:lang w:eastAsia="zh-CN"/>
        </w:rPr>
        <w:t>其他进修与培训</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417.73</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126.66</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2人</w:t>
      </w:r>
      <w:r>
        <w:rPr>
          <w:rFonts w:hint="eastAsia" w:ascii="仿宋_GB2312" w:hAnsi="黑体" w:eastAsia="仿宋_GB2312"/>
          <w:color w:val="auto"/>
          <w:sz w:val="32"/>
          <w:szCs w:val="32"/>
          <w:lang w:eastAsia="zh-CN"/>
        </w:rPr>
        <w:t>，经费减少</w:t>
      </w:r>
      <w:r>
        <w:rPr>
          <w:rFonts w:hint="eastAsia" w:ascii="仿宋_GB2312" w:hAnsi="黑体" w:eastAsia="仿宋_GB2312" w:cs="仿宋_GB2312"/>
          <w:color w:val="auto"/>
          <w:sz w:val="32"/>
          <w:szCs w:val="32"/>
          <w:lang w:eastAsia="zh-CN"/>
        </w:rPr>
        <w:t>。</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s="仿宋_GB2312"/>
          <w:color w:val="auto"/>
          <w:sz w:val="32"/>
          <w:szCs w:val="32"/>
          <w:lang w:val="en-US" w:eastAsia="zh-CN"/>
        </w:rPr>
        <w:t>3.</w:t>
      </w:r>
      <w:r>
        <w:rPr>
          <w:rFonts w:hint="eastAsia" w:ascii="仿宋_GB2312" w:hAnsi="黑体" w:eastAsia="仿宋_GB2312" w:cs="仿宋_GB2312"/>
          <w:color w:val="auto"/>
          <w:sz w:val="32"/>
          <w:szCs w:val="32"/>
        </w:rPr>
        <w:t>社会保障和就业支出（类）行政事业单位养老支出（款）机关事业单位基本养老保险缴费支出（项）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lang w:val="en-US" w:eastAsia="zh-CN"/>
        </w:rPr>
        <w:t>61.49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10.08</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w:t>
      </w:r>
      <w:r>
        <w:rPr>
          <w:rFonts w:hint="eastAsia" w:ascii="仿宋_GB2312" w:hAnsi="黑体" w:eastAsia="仿宋_GB2312"/>
          <w:color w:val="auto"/>
          <w:sz w:val="32"/>
          <w:szCs w:val="32"/>
          <w:highlight w:val="none"/>
        </w:rPr>
        <w:t>主要是</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2人</w:t>
      </w:r>
      <w:r>
        <w:rPr>
          <w:rFonts w:hint="eastAsia" w:ascii="仿宋_GB2312" w:hAnsi="黑体" w:eastAsia="仿宋_GB2312"/>
          <w:color w:val="auto"/>
          <w:sz w:val="32"/>
          <w:szCs w:val="32"/>
          <w:lang w:eastAsia="zh-CN"/>
        </w:rPr>
        <w:t>，经费减少</w:t>
      </w:r>
      <w:r>
        <w:rPr>
          <w:rFonts w:hint="eastAsia" w:ascii="仿宋_GB2312" w:hAnsi="黑体" w:eastAsia="仿宋_GB2312" w:cs="仿宋_GB2312"/>
          <w:color w:val="auto"/>
          <w:sz w:val="32"/>
          <w:szCs w:val="32"/>
          <w:lang w:eastAsia="zh-CN"/>
        </w:rPr>
        <w:t>。</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s="仿宋_GB2312"/>
          <w:color w:val="auto"/>
          <w:sz w:val="32"/>
          <w:szCs w:val="32"/>
        </w:rPr>
        <w:t>社会保障和就业支出（类）行政事业单位养老支出（款）机关事业单位职业年金缴费支出（项）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lang w:val="en-US" w:eastAsia="zh-CN"/>
        </w:rPr>
        <w:t>29.87</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5.91</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w:t>
      </w:r>
      <w:r>
        <w:rPr>
          <w:rFonts w:hint="eastAsia" w:ascii="仿宋_GB2312" w:hAnsi="黑体" w:eastAsia="仿宋_GB2312"/>
          <w:color w:val="auto"/>
          <w:sz w:val="32"/>
          <w:szCs w:val="32"/>
          <w:highlight w:val="none"/>
        </w:rPr>
        <w:t>主要是</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2人</w:t>
      </w:r>
      <w:r>
        <w:rPr>
          <w:rFonts w:hint="eastAsia" w:ascii="仿宋_GB2312" w:hAnsi="黑体" w:eastAsia="仿宋_GB2312"/>
          <w:color w:val="auto"/>
          <w:sz w:val="32"/>
          <w:szCs w:val="32"/>
          <w:lang w:eastAsia="zh-CN"/>
        </w:rPr>
        <w:t>，经费减少</w:t>
      </w:r>
      <w:r>
        <w:rPr>
          <w:rFonts w:hint="eastAsia" w:ascii="仿宋_GB2312" w:hAnsi="黑体" w:eastAsia="仿宋_GB2312" w:cs="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rPr>
        <w:t>社会保障和就业支出（类）抚恤（款）其他优抚支出（项）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lang w:val="en-US" w:eastAsia="zh-CN"/>
        </w:rPr>
        <w:t>0.12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比</w:t>
      </w:r>
      <w:r>
        <w:rPr>
          <w:rFonts w:hint="eastAsia" w:ascii="仿宋_GB2312" w:hAnsi="黑体" w:eastAsia="仿宋_GB2312"/>
          <w:color w:val="auto"/>
          <w:sz w:val="32"/>
          <w:szCs w:val="32"/>
        </w:rPr>
        <w:t>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0.01万元，主要原因是</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2人</w:t>
      </w:r>
      <w:r>
        <w:rPr>
          <w:rFonts w:hint="eastAsia" w:ascii="仿宋_GB2312" w:hAnsi="黑体" w:eastAsia="仿宋_GB2312"/>
          <w:color w:val="auto"/>
          <w:sz w:val="32"/>
          <w:szCs w:val="32"/>
          <w:lang w:eastAsia="zh-CN"/>
        </w:rPr>
        <w:t>，经费减少</w:t>
      </w:r>
      <w:r>
        <w:rPr>
          <w:rFonts w:hint="eastAsia" w:ascii="仿宋_GB2312" w:hAnsi="黑体" w:eastAsia="仿宋_GB2312" w:cs="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卫生健康支出（类）行政事业单位医疗（款）事业单位医疗（项）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21.23</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4.94</w:t>
      </w:r>
      <w:r>
        <w:rPr>
          <w:rFonts w:hint="eastAsia" w:ascii="仿宋_GB2312" w:hAnsi="黑体" w:eastAsia="仿宋_GB2312"/>
          <w:color w:val="auto"/>
          <w:sz w:val="32"/>
          <w:szCs w:val="32"/>
          <w:lang w:eastAsia="zh-CN"/>
        </w:rPr>
        <w:t>万元</w:t>
      </w:r>
      <w:r>
        <w:rPr>
          <w:rFonts w:hint="eastAsia" w:ascii="仿宋_GB2312" w:hAnsi="黑体" w:eastAsia="仿宋_GB2312" w:cs="仿宋_GB2312"/>
          <w:color w:val="auto"/>
          <w:sz w:val="32"/>
          <w:szCs w:val="32"/>
          <w:lang w:val="en-US" w:eastAsia="zh-CN"/>
        </w:rPr>
        <w:t>，主要原因是</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2人</w:t>
      </w:r>
      <w:r>
        <w:rPr>
          <w:rFonts w:hint="eastAsia" w:ascii="仿宋_GB2312" w:hAnsi="黑体" w:eastAsia="仿宋_GB2312"/>
          <w:color w:val="auto"/>
          <w:sz w:val="32"/>
          <w:szCs w:val="32"/>
          <w:lang w:eastAsia="zh-CN"/>
        </w:rPr>
        <w:t>，经费减少</w:t>
      </w:r>
      <w:r>
        <w:rPr>
          <w:rFonts w:hint="eastAsia" w:ascii="仿宋_GB2312" w:hAnsi="黑体" w:eastAsia="仿宋_GB2312" w:cs="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lang w:val="en-US" w:eastAsia="zh-CN"/>
        </w:rPr>
        <w:t>7.</w:t>
      </w:r>
      <w:r>
        <w:rPr>
          <w:rFonts w:hint="eastAsia" w:ascii="仿宋_GB2312" w:hAnsi="黑体" w:eastAsia="仿宋_GB2312" w:cs="仿宋_GB2312"/>
          <w:color w:val="auto"/>
          <w:sz w:val="32"/>
          <w:szCs w:val="32"/>
        </w:rPr>
        <w:t>卫生健康支出（类）行政事业单位医疗（款）公务员医疗补助（项）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46.70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15.97</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lang w:val="en-US" w:eastAsia="zh-CN"/>
        </w:rPr>
        <w:t>，主要原因是</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2人</w:t>
      </w:r>
      <w:r>
        <w:rPr>
          <w:rFonts w:hint="eastAsia" w:ascii="仿宋_GB2312" w:hAnsi="黑体" w:eastAsia="仿宋_GB2312"/>
          <w:color w:val="auto"/>
          <w:sz w:val="32"/>
          <w:szCs w:val="32"/>
          <w:lang w:eastAsia="zh-CN"/>
        </w:rPr>
        <w:t>，经费减少</w:t>
      </w:r>
      <w:r>
        <w:rPr>
          <w:rFonts w:hint="eastAsia" w:ascii="仿宋_GB2312" w:hAnsi="黑体" w:eastAsia="仿宋_GB2312" w:cs="仿宋_GB2312"/>
          <w:color w:val="auto"/>
          <w:sz w:val="32"/>
          <w:szCs w:val="32"/>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lang w:val="en-US" w:eastAsia="zh-CN"/>
        </w:rPr>
        <w:t>8.</w:t>
      </w:r>
      <w:r>
        <w:rPr>
          <w:rFonts w:hint="eastAsia" w:ascii="仿宋_GB2312" w:hAnsi="黑体" w:eastAsia="仿宋_GB2312" w:cs="仿宋_GB2312"/>
          <w:color w:val="auto"/>
          <w:sz w:val="32"/>
          <w:szCs w:val="32"/>
        </w:rPr>
        <w:t>卫生健康支出（类）行政事业单位医疗（款）其他行政事业单位医疗支出（项）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1.80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0.05</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9.</w:t>
      </w:r>
      <w:r>
        <w:rPr>
          <w:rFonts w:hint="eastAsia" w:ascii="仿宋_GB2312" w:hAnsi="黑体" w:eastAsia="仿宋_GB2312" w:cs="仿宋_GB2312"/>
          <w:color w:val="auto"/>
          <w:sz w:val="32"/>
          <w:szCs w:val="32"/>
        </w:rPr>
        <w:t>住房保障支出（类）住房改革支出（款）住房公积金（项）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41.30</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val="en-US" w:eastAsia="zh-CN"/>
        </w:rPr>
        <w:t>减少17.8</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lang w:val="en-US" w:eastAsia="zh-CN"/>
        </w:rPr>
        <w:t>，主要原因是</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2人</w:t>
      </w:r>
      <w:r>
        <w:rPr>
          <w:rFonts w:hint="eastAsia" w:ascii="仿宋_GB2312" w:hAnsi="黑体" w:eastAsia="仿宋_GB2312"/>
          <w:color w:val="auto"/>
          <w:sz w:val="32"/>
          <w:szCs w:val="32"/>
          <w:lang w:eastAsia="zh-CN"/>
        </w:rPr>
        <w:t>，经费减少</w:t>
      </w:r>
      <w:r>
        <w:rPr>
          <w:rFonts w:hint="eastAsia" w:ascii="仿宋_GB2312" w:hAnsi="黑体" w:eastAsia="仿宋_GB2312" w:cs="仿宋_GB2312"/>
          <w:color w:val="auto"/>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屯昌县教育研究培训中心</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620.00</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584.13</w:t>
      </w:r>
      <w:r>
        <w:rPr>
          <w:rFonts w:hint="eastAsia" w:ascii="仿宋_GB2312" w:hAnsi="黑体" w:eastAsia="仿宋_GB2312"/>
          <w:sz w:val="32"/>
          <w:szCs w:val="32"/>
        </w:rPr>
        <w:t>万元，主要包括：基本工资、津贴补贴、绩效工资、社会保障缴费、住房公积金</w:t>
      </w:r>
      <w:r>
        <w:rPr>
          <w:rFonts w:hint="eastAsia" w:ascii="仿宋_GB2312" w:hAnsi="黑体" w:eastAsia="仿宋_GB2312"/>
          <w:sz w:val="32"/>
          <w:szCs w:val="32"/>
          <w:lang w:eastAsia="zh-CN"/>
        </w:rPr>
        <w:t>、医疗费、邮电费</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35.87</w:t>
      </w:r>
      <w:r>
        <w:rPr>
          <w:rFonts w:hint="eastAsia" w:ascii="仿宋_GB2312" w:hAnsi="黑体" w:eastAsia="仿宋_GB2312"/>
          <w:sz w:val="32"/>
          <w:szCs w:val="32"/>
        </w:rPr>
        <w:t>万元，主要包括：其他工资福利支出</w:t>
      </w:r>
      <w:r>
        <w:rPr>
          <w:rFonts w:hint="eastAsia" w:ascii="仿宋_GB2312" w:hAnsi="黑体" w:eastAsia="仿宋_GB2312"/>
          <w:sz w:val="32"/>
          <w:szCs w:val="32"/>
          <w:lang w:eastAsia="zh-CN"/>
        </w:rPr>
        <w:t>、</w:t>
      </w:r>
      <w:r>
        <w:rPr>
          <w:rFonts w:hint="eastAsia" w:ascii="仿宋_GB2312" w:hAnsi="黑体" w:eastAsia="仿宋_GB2312"/>
          <w:sz w:val="32"/>
          <w:szCs w:val="32"/>
        </w:rPr>
        <w:t>办公费、印刷费、水费、电费、邮电费</w:t>
      </w:r>
      <w:r>
        <w:rPr>
          <w:rFonts w:hint="eastAsia" w:ascii="仿宋_GB2312" w:hAnsi="黑体" w:eastAsia="仿宋_GB2312"/>
          <w:sz w:val="32"/>
          <w:szCs w:val="32"/>
          <w:lang w:eastAsia="zh-CN"/>
        </w:rPr>
        <w:t>、差旅费、维修（护）费、工会经费、公务用车运行维护费、其他商品和服务支出、办公设备购置</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30"/>
        <w:rPr>
          <w:rFonts w:ascii="Times New Roman" w:hAnsi="Times New Roman" w:eastAsia="仿宋_GB2312" w:cs="Times New Roman"/>
          <w:sz w:val="32"/>
          <w:shd w:val="clear" w:color="auto" w:fill="FFFFFF"/>
        </w:rPr>
      </w:pPr>
      <w:r>
        <w:rPr>
          <w:rFonts w:hint="eastAsia" w:ascii="仿宋_GB2312" w:hAnsi="黑体" w:eastAsia="仿宋_GB2312"/>
          <w:sz w:val="32"/>
          <w:szCs w:val="32"/>
        </w:rPr>
        <w:t>（一）</w:t>
      </w:r>
      <w:r>
        <w:rPr>
          <w:rFonts w:hint="eastAsia" w:ascii="仿宋_GB2312" w:hAnsi="黑体" w:eastAsia="仿宋_GB2312" w:cs="黑体"/>
          <w:sz w:val="32"/>
          <w:szCs w:val="32"/>
          <w:lang w:eastAsia="zh-CN"/>
        </w:rPr>
        <w:t>屯昌县教育研究培训中心</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pPr>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cs="黑体"/>
          <w:sz w:val="32"/>
          <w:szCs w:val="32"/>
          <w:lang w:eastAsia="zh-CN"/>
        </w:rPr>
        <w:t>屯昌县教育研究培训中心</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s="黑体"/>
          <w:sz w:val="32"/>
          <w:szCs w:val="32"/>
          <w:lang w:eastAsia="zh-CN"/>
        </w:rPr>
        <w:t>屯昌县教育研究培训中心</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2249" w:firstLineChars="703"/>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无</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 xml:space="preserve">  </w:t>
      </w:r>
      <w:r>
        <w:rPr>
          <w:rFonts w:hint="eastAsia" w:ascii="仿宋_GB2312" w:hAnsi="黑体" w:eastAsia="仿宋_GB2312"/>
          <w:sz w:val="32"/>
          <w:szCs w:val="32"/>
          <w:lang w:val="en-US" w:eastAsia="zh-CN"/>
        </w:rPr>
        <w:t xml:space="preserve">        无</w:t>
      </w:r>
    </w:p>
    <w:p>
      <w:pPr>
        <w:keepNext w:val="0"/>
        <w:keepLines w:val="0"/>
        <w:pageBreakBefore w:val="0"/>
        <w:numPr>
          <w:ilvl w:val="0"/>
          <w:numId w:val="7"/>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黑体"/>
          <w:sz w:val="32"/>
          <w:szCs w:val="32"/>
          <w:lang w:eastAsia="zh-CN"/>
        </w:rPr>
        <w:t>屯昌县教育研究培训中心</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0.00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七</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黑体"/>
          <w:sz w:val="32"/>
          <w:szCs w:val="32"/>
          <w:lang w:eastAsia="zh-CN"/>
        </w:rPr>
        <w:t>屯昌县教育研究培训中心</w:t>
      </w:r>
      <w:r>
        <w:rPr>
          <w:rFonts w:hint="eastAsia" w:ascii="仿宋_GB2312" w:hAnsi="黑体" w:eastAsia="仿宋_GB2312" w:cs="仿宋_GB2312"/>
          <w:sz w:val="32"/>
          <w:szCs w:val="32"/>
        </w:rPr>
        <w:t>所有收入和支出均纳入部门预算管理。收入包括：</w:t>
      </w:r>
      <w:r>
        <w:rPr>
          <w:rFonts w:hint="eastAsia" w:ascii="仿宋_GB2312" w:hAnsi="黑体" w:eastAsia="仿宋_GB2312" w:cs="仿宋_GB2312"/>
          <w:sz w:val="32"/>
          <w:szCs w:val="32"/>
          <w:highlight w:val="none"/>
          <w:u w:val="none"/>
        </w:rPr>
        <w:t>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rPr>
        <w:t>；支出包括：一般公共服务支出、</w:t>
      </w:r>
      <w:r>
        <w:rPr>
          <w:rFonts w:hint="eastAsia" w:ascii="仿宋_GB2312" w:hAnsi="黑体" w:eastAsia="仿宋_GB2312"/>
          <w:color w:val="auto"/>
          <w:sz w:val="32"/>
          <w:szCs w:val="32"/>
        </w:rPr>
        <w:t>教育支出、社会保障和就业支出、卫生健康支出、住房保障支出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黑体"/>
          <w:sz w:val="32"/>
          <w:szCs w:val="32"/>
          <w:lang w:eastAsia="zh-CN"/>
        </w:rPr>
        <w:t>屯昌县教育研究培训中心</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620.62</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八</w:t>
      </w:r>
      <w:r>
        <w:rPr>
          <w:rFonts w:hint="eastAsia" w:ascii="黑体" w:hAnsi="黑体" w:eastAsia="黑体" w:cs="Times New Roman"/>
          <w:sz w:val="32"/>
          <w:shd w:val="clear" w:color="auto" w:fill="FFFFFF"/>
        </w:rPr>
        <w:t>、收入预算情况说明</w:t>
      </w:r>
    </w:p>
    <w:p>
      <w:pPr>
        <w:spacing w:line="590" w:lineRule="exact"/>
        <w:ind w:firstLine="640" w:firstLineChars="200"/>
        <w:rPr>
          <w:rFonts w:ascii="仿宋_GB2312" w:hAnsi="黑体" w:eastAsia="仿宋_GB2312"/>
          <w:sz w:val="32"/>
          <w:szCs w:val="32"/>
        </w:rPr>
      </w:pPr>
      <w:r>
        <w:rPr>
          <w:rFonts w:hint="eastAsia" w:ascii="仿宋_GB2312" w:hAnsi="黑体" w:eastAsia="仿宋_GB2312" w:cs="黑体"/>
          <w:sz w:val="32"/>
          <w:szCs w:val="32"/>
          <w:lang w:eastAsia="zh-CN"/>
        </w:rPr>
        <w:t>屯昌县教育研究培训中心</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rPr>
        <w:t>620.62</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rPr>
        <w:t>620.62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0.00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0.00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0.00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0.00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181.32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，主要是人员经费减少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九</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黑体"/>
          <w:sz w:val="32"/>
          <w:szCs w:val="32"/>
          <w:lang w:eastAsia="zh-CN"/>
        </w:rPr>
        <w:t>屯昌县教育研究培训中心</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rPr>
        <w:t>620.62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620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99.90</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0.62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0.10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u w:val="none"/>
          <w:lang w:val="en-US" w:eastAsia="zh-CN"/>
        </w:rPr>
        <w:t>181.32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人员经费支出减少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十</w:t>
      </w:r>
      <w:r>
        <w:rPr>
          <w:rFonts w:hint="eastAsia" w:ascii="黑体" w:hAnsi="黑体" w:eastAsia="黑体" w:cs="Times New Roman"/>
          <w:sz w:val="32"/>
          <w:shd w:val="clear" w:color="auto" w:fill="FFFFFF"/>
        </w:rPr>
        <w:t>、其他重要事项的情况说明</w:t>
      </w:r>
    </w:p>
    <w:p>
      <w:pPr>
        <w:ind w:firstLine="640" w:firstLineChars="200"/>
        <w:rPr>
          <w:rFonts w:ascii="仿宋_GB2312" w:hAnsi="黑体" w:eastAsia="仿宋_GB2312"/>
          <w:sz w:val="32"/>
          <w:szCs w:val="32"/>
        </w:rPr>
      </w:pPr>
      <w:r>
        <w:rPr>
          <w:rFonts w:hint="eastAsia" w:ascii="仿宋_GB2312" w:hAnsi="黑体" w:eastAsia="仿宋_GB2312" w:cs="黑体"/>
          <w:sz w:val="32"/>
          <w:szCs w:val="32"/>
          <w:lang w:eastAsia="zh-CN"/>
        </w:rPr>
        <w:t>屯昌县教育研究培训中心</w:t>
      </w: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无</w:t>
      </w:r>
      <w:r>
        <w:rPr>
          <w:rFonts w:hint="eastAsia" w:ascii="仿宋_GB2312" w:hAnsi="黑体" w:eastAsia="仿宋_GB2312" w:cs="仿宋_GB2312"/>
          <w:sz w:val="32"/>
          <w:szCs w:val="32"/>
        </w:rPr>
        <w:t>机关运行经费</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黑体"/>
          <w:sz w:val="32"/>
          <w:szCs w:val="32"/>
          <w:lang w:eastAsia="zh-CN"/>
        </w:rPr>
        <w:t>屯昌县教育研究培训中心</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黑体"/>
          <w:sz w:val="32"/>
          <w:szCs w:val="32"/>
          <w:lang w:eastAsia="zh-CN"/>
        </w:rPr>
        <w:t>屯昌县教育研究培训中心</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黑体"/>
          <w:sz w:val="32"/>
          <w:szCs w:val="32"/>
          <w:lang w:eastAsia="zh-CN"/>
        </w:rPr>
        <w:t>屯昌县教育研究培训中心</w:t>
      </w:r>
      <w:r>
        <w:rPr>
          <w:rFonts w:hint="eastAsia" w:ascii="仿宋_GB2312" w:hAnsi="黑体" w:eastAsia="仿宋_GB2312" w:cs="黑体"/>
          <w:sz w:val="32"/>
          <w:szCs w:val="32"/>
          <w:lang w:val="en-US" w:eastAsia="zh-CN"/>
        </w:rPr>
        <w:t>14</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620.63</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p>
      <w:pPr>
        <w:ind w:firstLine="640" w:firstLineChars="200"/>
        <w:jc w:val="left"/>
        <w:rPr>
          <w:rFonts w:ascii="仿宋_GB2312" w:hAnsi="黑体" w:eastAsia="仿宋_GB2312" w:cs="仿宋_GB2312"/>
          <w:sz w:val="32"/>
          <w:szCs w:val="32"/>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119A42"/>
    <w:multiLevelType w:val="singleLevel"/>
    <w:tmpl w:val="D4119A42"/>
    <w:lvl w:ilvl="0" w:tentative="0">
      <w:start w:val="1"/>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EFF0ABE1"/>
    <w:multiLevelType w:val="singleLevel"/>
    <w:tmpl w:val="EFF0ABE1"/>
    <w:lvl w:ilvl="0" w:tentative="0">
      <w:start w:val="1"/>
      <w:numFmt w:val="decimal"/>
      <w:lvlText w:val="%1."/>
      <w:lvlJc w:val="left"/>
      <w:pPr>
        <w:tabs>
          <w:tab w:val="left" w:pos="312"/>
        </w:tabs>
      </w:p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6"/>
  </w:num>
  <w:num w:numId="4">
    <w:abstractNumId w:val="4"/>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02EED"/>
    <w:rsid w:val="0E901746"/>
    <w:rsid w:val="11B9463E"/>
    <w:rsid w:val="19D5DA33"/>
    <w:rsid w:val="1FBF8E30"/>
    <w:rsid w:val="21A51703"/>
    <w:rsid w:val="25E753B7"/>
    <w:rsid w:val="261C32F5"/>
    <w:rsid w:val="2BDF0DC0"/>
    <w:rsid w:val="2FF7110D"/>
    <w:rsid w:val="2FFFCED3"/>
    <w:rsid w:val="3F7FB4B5"/>
    <w:rsid w:val="3FAD4D11"/>
    <w:rsid w:val="440B2E38"/>
    <w:rsid w:val="4FB80849"/>
    <w:rsid w:val="51867618"/>
    <w:rsid w:val="53DA383D"/>
    <w:rsid w:val="55066538"/>
    <w:rsid w:val="574C4FE5"/>
    <w:rsid w:val="5DB7E539"/>
    <w:rsid w:val="612F10FF"/>
    <w:rsid w:val="66DACB0B"/>
    <w:rsid w:val="697BF56A"/>
    <w:rsid w:val="6B6CE30F"/>
    <w:rsid w:val="6C7F1319"/>
    <w:rsid w:val="6DDF74AC"/>
    <w:rsid w:val="6FAF0D8D"/>
    <w:rsid w:val="6FCFCADC"/>
    <w:rsid w:val="6FFA4FE6"/>
    <w:rsid w:val="75FB0B04"/>
    <w:rsid w:val="798E7BAF"/>
    <w:rsid w:val="79F7B683"/>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2026-03-06T12:03:22Z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