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1115D">
      <w:pPr>
        <w:spacing w:line="560" w:lineRule="exact"/>
        <w:rPr>
          <w:sz w:val="84"/>
          <w:szCs w:val="84"/>
          <w:u w:val="none"/>
        </w:rPr>
      </w:pPr>
    </w:p>
    <w:p w14:paraId="3D9FAA6E">
      <w:pPr>
        <w:spacing w:line="560" w:lineRule="exact"/>
        <w:rPr>
          <w:sz w:val="84"/>
          <w:szCs w:val="84"/>
          <w:u w:val="none"/>
        </w:rPr>
      </w:pPr>
    </w:p>
    <w:p w14:paraId="55B6349F">
      <w:pPr>
        <w:spacing w:line="560" w:lineRule="exact"/>
        <w:rPr>
          <w:sz w:val="84"/>
          <w:szCs w:val="84"/>
          <w:u w:val="none"/>
        </w:rPr>
      </w:pPr>
    </w:p>
    <w:p w14:paraId="68E2CD33">
      <w:pPr>
        <w:spacing w:line="560" w:lineRule="exact"/>
        <w:rPr>
          <w:sz w:val="84"/>
          <w:szCs w:val="84"/>
          <w:u w:val="none"/>
        </w:rPr>
      </w:pPr>
    </w:p>
    <w:p w14:paraId="58E5AC54">
      <w:pPr>
        <w:spacing w:line="560" w:lineRule="exact"/>
        <w:jc w:val="center"/>
        <w:rPr>
          <w:rFonts w:hint="eastAsia"/>
          <w:sz w:val="52"/>
          <w:szCs w:val="52"/>
          <w:u w:val="none"/>
          <w:lang w:val="en-US" w:eastAsia="zh-CN"/>
        </w:rPr>
      </w:pPr>
    </w:p>
    <w:p w14:paraId="3E56E8C3">
      <w:pPr>
        <w:spacing w:line="560" w:lineRule="exact"/>
        <w:jc w:val="center"/>
        <w:rPr>
          <w:rFonts w:hint="eastAsia"/>
          <w:sz w:val="52"/>
          <w:szCs w:val="52"/>
          <w:u w:val="none"/>
          <w:lang w:val="en-US" w:eastAsia="zh-CN"/>
        </w:rPr>
      </w:pPr>
    </w:p>
    <w:p w14:paraId="23EA2D72">
      <w:pPr>
        <w:spacing w:line="560" w:lineRule="exact"/>
        <w:jc w:val="center"/>
        <w:rPr>
          <w:rFonts w:hint="eastAsia"/>
          <w:sz w:val="52"/>
          <w:szCs w:val="52"/>
          <w:u w:val="none"/>
          <w:lang w:val="en-US" w:eastAsia="zh-CN"/>
        </w:rPr>
      </w:pPr>
    </w:p>
    <w:p w14:paraId="6E6D720E">
      <w:pPr>
        <w:spacing w:line="560" w:lineRule="exact"/>
        <w:jc w:val="center"/>
        <w:rPr>
          <w:rFonts w:hint="eastAsia"/>
          <w:sz w:val="52"/>
          <w:szCs w:val="52"/>
          <w:u w:val="none"/>
          <w:lang w:val="en-US" w:eastAsia="zh-CN"/>
        </w:rPr>
      </w:pPr>
    </w:p>
    <w:p w14:paraId="5C36E9F7">
      <w:pPr>
        <w:spacing w:line="560" w:lineRule="exact"/>
        <w:jc w:val="center"/>
        <w:rPr>
          <w:rFonts w:hint="eastAsia"/>
          <w:sz w:val="52"/>
          <w:szCs w:val="52"/>
          <w:u w:val="none"/>
          <w:lang w:val="en-US" w:eastAsia="zh-CN"/>
        </w:rPr>
      </w:pPr>
    </w:p>
    <w:p w14:paraId="77C97879">
      <w:pPr>
        <w:spacing w:line="560" w:lineRule="exact"/>
        <w:jc w:val="center"/>
        <w:rPr>
          <w:rFonts w:hint="eastAsia"/>
          <w:sz w:val="52"/>
          <w:szCs w:val="52"/>
          <w:u w:val="none"/>
          <w:lang w:val="en-US" w:eastAsia="zh-CN"/>
        </w:rPr>
      </w:pPr>
    </w:p>
    <w:p w14:paraId="383AFCEC">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eastAsia="zh-CN"/>
        </w:rPr>
        <w:t>屯昌县屯昌小学</w:t>
      </w: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14:paraId="0676E70A">
      <w:pPr>
        <w:spacing w:line="560" w:lineRule="exact"/>
        <w:ind w:firstLine="1680"/>
        <w:jc w:val="center"/>
        <w:rPr>
          <w:sz w:val="84"/>
          <w:szCs w:val="84"/>
          <w:u w:val="none"/>
        </w:rPr>
      </w:pPr>
    </w:p>
    <w:p w14:paraId="6EEC5CBD">
      <w:pPr>
        <w:spacing w:line="560" w:lineRule="exact"/>
        <w:ind w:firstLine="1680"/>
        <w:jc w:val="center"/>
        <w:rPr>
          <w:sz w:val="84"/>
          <w:szCs w:val="84"/>
          <w:u w:val="none"/>
        </w:rPr>
      </w:pPr>
    </w:p>
    <w:p w14:paraId="2C2C02FA">
      <w:pPr>
        <w:spacing w:line="560" w:lineRule="exact"/>
        <w:ind w:firstLine="1680"/>
        <w:jc w:val="center"/>
        <w:rPr>
          <w:sz w:val="84"/>
          <w:szCs w:val="84"/>
          <w:u w:val="none"/>
        </w:rPr>
      </w:pPr>
    </w:p>
    <w:p w14:paraId="3D59EF5E">
      <w:pPr>
        <w:spacing w:line="560" w:lineRule="exact"/>
        <w:ind w:firstLine="1680"/>
        <w:jc w:val="center"/>
        <w:rPr>
          <w:sz w:val="84"/>
          <w:szCs w:val="84"/>
          <w:u w:val="none"/>
        </w:rPr>
      </w:pPr>
    </w:p>
    <w:p w14:paraId="2183B484">
      <w:pPr>
        <w:rPr>
          <w:sz w:val="84"/>
          <w:szCs w:val="84"/>
          <w:u w:val="none"/>
        </w:rPr>
      </w:pPr>
      <w:r>
        <w:rPr>
          <w:sz w:val="84"/>
          <w:szCs w:val="84"/>
          <w:u w:val="none"/>
        </w:rPr>
        <w:br w:type="page"/>
      </w:r>
    </w:p>
    <w:p w14:paraId="7EC8EC62">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0AAF600A">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屯昌县屯昌小学</w:t>
      </w:r>
      <w:r>
        <w:rPr>
          <w:rFonts w:hint="eastAsia" w:ascii="方正黑体_GBK" w:hAnsi="方正黑体_GBK" w:eastAsia="方正黑体_GBK" w:cs="方正黑体_GBK"/>
          <w:sz w:val="32"/>
          <w:szCs w:val="32"/>
          <w:u w:val="none"/>
        </w:rPr>
        <w:t>概况</w:t>
      </w:r>
    </w:p>
    <w:p w14:paraId="0443747D">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23B1A42E">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70155ED3">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14:paraId="1B281292">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3F9A37CC">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69491B8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3E05081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7154EDB8">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40F3CAC4">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602FBD60">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7688026A">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14DC12EA">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4BD2AF6A">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7AA480F0">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798BAF46">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14:paraId="21985959">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471C168B">
      <w:pPr>
        <w:jc w:val="left"/>
        <w:rPr>
          <w:rFonts w:hint="eastAsia" w:ascii="黑体" w:hAnsi="黑体" w:eastAsia="黑体"/>
          <w:sz w:val="52"/>
          <w:szCs w:val="52"/>
          <w:u w:val="none"/>
        </w:rPr>
      </w:pPr>
    </w:p>
    <w:p w14:paraId="198FCC7F">
      <w:pPr>
        <w:pStyle w:val="6"/>
        <w:spacing w:line="560" w:lineRule="exact"/>
        <w:ind w:left="1320" w:firstLine="0" w:firstLineChars="0"/>
        <w:jc w:val="left"/>
        <w:rPr>
          <w:rFonts w:ascii="黑体" w:hAnsi="黑体" w:eastAsia="黑体"/>
          <w:sz w:val="32"/>
          <w:szCs w:val="32"/>
          <w:u w:val="none"/>
        </w:rPr>
      </w:pPr>
    </w:p>
    <w:p w14:paraId="4E70A4C7">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屯昌县屯昌小学</w:t>
      </w:r>
      <w:r>
        <w:rPr>
          <w:rFonts w:hint="eastAsia" w:ascii="方正黑体_GBK" w:hAnsi="方正黑体_GBK" w:eastAsia="方正黑体_GBK" w:cs="方正黑体_GBK"/>
          <w:sz w:val="32"/>
          <w:szCs w:val="32"/>
          <w:u w:val="none"/>
        </w:rPr>
        <w:t>概况</w:t>
      </w:r>
    </w:p>
    <w:p w14:paraId="517B3F21">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14:paraId="7BA6F7AC">
      <w:pPr>
        <w:pStyle w:val="6"/>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36BAF0E9">
      <w:pPr>
        <w:pStyle w:val="6"/>
        <w:keepNext w:val="0"/>
        <w:keepLines w:val="0"/>
        <w:pageBreakBefore w:val="0"/>
        <w:numPr>
          <w:ilvl w:val="0"/>
          <w:numId w:val="3"/>
        </w:numPr>
        <w:kinsoku/>
        <w:wordWrap/>
        <w:overflowPunct/>
        <w:topLinePunct w:val="0"/>
        <w:autoSpaceDE/>
        <w:autoSpaceDN/>
        <w:bidi w:val="0"/>
        <w:adjustRightInd/>
        <w:snapToGrid/>
        <w:spacing w:line="590" w:lineRule="exact"/>
        <w:ind w:firstLineChars="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依法办学：落实免试就近入学、控辍保学，执行免费义务教育。​</w:t>
      </w:r>
    </w:p>
    <w:p w14:paraId="266083B2">
      <w:pPr>
        <w:pStyle w:val="6"/>
        <w:keepNext w:val="0"/>
        <w:keepLines w:val="0"/>
        <w:pageBreakBefore w:val="0"/>
        <w:numPr>
          <w:ilvl w:val="0"/>
          <w:numId w:val="3"/>
        </w:numPr>
        <w:kinsoku/>
        <w:wordWrap/>
        <w:overflowPunct/>
        <w:topLinePunct w:val="0"/>
        <w:autoSpaceDE/>
        <w:autoSpaceDN/>
        <w:bidi w:val="0"/>
        <w:adjustRightInd/>
        <w:snapToGrid/>
        <w:spacing w:line="590" w:lineRule="exact"/>
        <w:ind w:firstLineChars="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教育教学：落实国家课程，五育并举，抓好德育、教学与教研。​</w:t>
      </w:r>
    </w:p>
    <w:p w14:paraId="60DCE61B">
      <w:pPr>
        <w:pStyle w:val="6"/>
        <w:keepNext w:val="0"/>
        <w:keepLines w:val="0"/>
        <w:pageBreakBefore w:val="0"/>
        <w:numPr>
          <w:ilvl w:val="0"/>
          <w:numId w:val="3"/>
        </w:numPr>
        <w:kinsoku/>
        <w:wordWrap/>
        <w:overflowPunct/>
        <w:topLinePunct w:val="0"/>
        <w:autoSpaceDE/>
        <w:autoSpaceDN/>
        <w:bidi w:val="0"/>
        <w:adjustRightInd/>
        <w:snapToGrid/>
        <w:spacing w:line="590" w:lineRule="exact"/>
        <w:ind w:firstLineChars="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学生发展：规范学生管理，开展心理健康、综合素质评价与实践活动。​</w:t>
      </w:r>
    </w:p>
    <w:p w14:paraId="08D56DBB">
      <w:pPr>
        <w:pStyle w:val="6"/>
        <w:keepNext w:val="0"/>
        <w:keepLines w:val="0"/>
        <w:pageBreakBefore w:val="0"/>
        <w:numPr>
          <w:ilvl w:val="0"/>
          <w:numId w:val="3"/>
        </w:numPr>
        <w:kinsoku/>
        <w:wordWrap/>
        <w:overflowPunct/>
        <w:topLinePunct w:val="0"/>
        <w:autoSpaceDE/>
        <w:autoSpaceDN/>
        <w:bidi w:val="0"/>
        <w:adjustRightInd/>
        <w:snapToGrid/>
        <w:spacing w:line="590" w:lineRule="exact"/>
        <w:ind w:firstLineChars="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安全保障：负责校园安全、后勤、卫生及设施保​</w:t>
      </w:r>
    </w:p>
    <w:p w14:paraId="3C1FD9C3">
      <w:pPr>
        <w:pStyle w:val="6"/>
        <w:keepNext w:val="0"/>
        <w:keepLines w:val="0"/>
        <w:pageBreakBefore w:val="0"/>
        <w:numPr>
          <w:ilvl w:val="0"/>
          <w:numId w:val="3"/>
        </w:numPr>
        <w:kinsoku/>
        <w:wordWrap/>
        <w:overflowPunct/>
        <w:topLinePunct w:val="0"/>
        <w:autoSpaceDE/>
        <w:autoSpaceDN/>
        <w:bidi w:val="0"/>
        <w:adjustRightInd/>
        <w:snapToGrid/>
        <w:spacing w:line="590" w:lineRule="exact"/>
        <w:ind w:firstLineChars="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 队伍建设：抓好师德师风、教师培训与管理。​</w:t>
      </w:r>
    </w:p>
    <w:p w14:paraId="68293062">
      <w:pPr>
        <w:pStyle w:val="6"/>
        <w:keepNext w:val="0"/>
        <w:keepLines w:val="0"/>
        <w:pageBreakBefore w:val="0"/>
        <w:numPr>
          <w:ilvl w:val="0"/>
          <w:numId w:val="3"/>
        </w:numPr>
        <w:kinsoku/>
        <w:wordWrap/>
        <w:overflowPunct/>
        <w:topLinePunct w:val="0"/>
        <w:autoSpaceDE/>
        <w:autoSpaceDN/>
        <w:bidi w:val="0"/>
        <w:adjustRightInd/>
        <w:snapToGrid/>
        <w:spacing w:line="590" w:lineRule="exact"/>
        <w:ind w:firstLineChars="0"/>
        <w:jc w:val="both"/>
        <w:textAlignment w:val="auto"/>
        <w:rPr>
          <w:rFonts w:ascii="仿宋_GB2312" w:hAnsi="黑体" w:eastAsia="仿宋_GB2312" w:cs="仿宋_GB2312"/>
          <w:sz w:val="32"/>
          <w:szCs w:val="32"/>
          <w:u w:val="none"/>
        </w:rPr>
      </w:pPr>
      <w:r>
        <w:rPr>
          <w:rFonts w:hint="eastAsia" w:ascii="仿宋_GB2312" w:hAnsi="黑体" w:eastAsia="仿宋_GB2312" w:cs="仿宋_GB2312"/>
          <w:sz w:val="32"/>
          <w:szCs w:val="32"/>
          <w:u w:val="none"/>
        </w:rPr>
        <w:t>协同育人：做好家校沟通，联动社会资源育人。</w:t>
      </w:r>
    </w:p>
    <w:p w14:paraId="6A6254ED">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22F5BAAF">
      <w:pPr>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r>
        <w:rPr>
          <w:rFonts w:hint="eastAsia" w:ascii="仿宋_GB2312" w:hAnsi="黑体" w:eastAsia="仿宋_GB2312" w:cs="仿宋_GB2312"/>
          <w:sz w:val="32"/>
          <w:szCs w:val="32"/>
          <w:u w:val="none"/>
          <w:lang w:val="en-US" w:eastAsia="zh-CN"/>
        </w:rPr>
        <w:t>XX</w:t>
      </w:r>
      <w:r>
        <w:rPr>
          <w:rFonts w:hint="eastAsia" w:ascii="仿宋_GB2312" w:hAnsi="黑体" w:eastAsia="仿宋_GB2312" w:cs="仿宋_GB2312"/>
          <w:sz w:val="32"/>
          <w:szCs w:val="32"/>
          <w:highlight w:val="none"/>
          <w:u w:val="none"/>
          <w:lang w:val="en-US" w:eastAsia="zh-CN"/>
        </w:rPr>
        <w:t>内设</w:t>
      </w:r>
      <w:r>
        <w:rPr>
          <w:rFonts w:hint="eastAsia" w:ascii="仿宋_GB2312" w:hAnsi="黑体" w:eastAsia="仿宋_GB2312" w:cs="仿宋_GB2312"/>
          <w:sz w:val="32"/>
          <w:szCs w:val="32"/>
          <w:highlight w:val="none"/>
          <w:u w:val="none"/>
        </w:rPr>
        <w:t>××</w:t>
      </w:r>
      <w:r>
        <w:rPr>
          <w:rFonts w:hint="eastAsia" w:ascii="仿宋_GB2312" w:hAnsi="黑体" w:eastAsia="仿宋_GB2312" w:cs="仿宋_GB2312"/>
          <w:sz w:val="32"/>
          <w:szCs w:val="32"/>
          <w:highlight w:val="none"/>
          <w:u w:val="none"/>
          <w:lang w:val="en-US" w:eastAsia="zh-CN"/>
        </w:rPr>
        <w:t>个处室（科室），包括</w:t>
      </w:r>
      <w:r>
        <w:rPr>
          <w:rFonts w:hint="eastAsia" w:ascii="仿宋_GB2312" w:hAnsi="黑体" w:eastAsia="仿宋_GB2312" w:cs="仿宋_GB2312"/>
          <w:sz w:val="32"/>
          <w:szCs w:val="32"/>
          <w:highlight w:val="none"/>
          <w:u w:val="none"/>
        </w:rPr>
        <w:t>××</w:t>
      </w:r>
      <w:r>
        <w:rPr>
          <w:rFonts w:hint="eastAsia" w:ascii="仿宋_GB2312" w:hAnsi="黑体" w:eastAsia="仿宋_GB2312" w:cs="仿宋_GB2312"/>
          <w:sz w:val="32"/>
          <w:szCs w:val="32"/>
          <w:highlight w:val="none"/>
          <w:u w:val="none"/>
          <w:lang w:val="en-US" w:eastAsia="zh-CN"/>
        </w:rPr>
        <w:t>、</w:t>
      </w:r>
      <w:r>
        <w:rPr>
          <w:rFonts w:hint="eastAsia" w:ascii="仿宋_GB2312" w:hAnsi="黑体" w:eastAsia="仿宋_GB2312" w:cs="仿宋_GB2312"/>
          <w:sz w:val="32"/>
          <w:szCs w:val="32"/>
          <w:highlight w:val="none"/>
          <w:u w:val="none"/>
        </w:rPr>
        <w:t>××</w:t>
      </w:r>
      <w:r>
        <w:rPr>
          <w:rFonts w:hint="eastAsia" w:ascii="仿宋_GB2312" w:hAnsi="黑体" w:eastAsia="仿宋_GB2312" w:cs="仿宋_GB2312"/>
          <w:sz w:val="32"/>
          <w:szCs w:val="32"/>
          <w:highlight w:val="none"/>
          <w:u w:val="none"/>
          <w:lang w:val="en-US" w:eastAsia="zh-CN"/>
        </w:rPr>
        <w:t>、……。</w:t>
      </w:r>
    </w:p>
    <w:p w14:paraId="3E8120FB">
      <w:pPr>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（二）</w:t>
      </w:r>
      <w:r>
        <w:rPr>
          <w:rFonts w:hint="eastAsia" w:ascii="仿宋_GB2312" w:hAnsi="黑体" w:eastAsia="仿宋_GB2312" w:cs="仿宋_GB2312"/>
          <w:sz w:val="32"/>
          <w:szCs w:val="32"/>
          <w:highlight w:val="none"/>
          <w:u w:val="none"/>
        </w:rPr>
        <w:t>纳入××</w:t>
      </w:r>
      <w:r>
        <w:rPr>
          <w:rFonts w:hint="eastAsia" w:ascii="仿宋_GB2312" w:hAnsi="黑体" w:eastAsia="仿宋_GB2312" w:cs="仿宋_GB2312"/>
          <w:sz w:val="32"/>
          <w:szCs w:val="32"/>
          <w:highlight w:val="none"/>
          <w:u w:val="none"/>
          <w:lang w:eastAsia="zh-CN"/>
        </w:rPr>
        <w:t>2</w:t>
      </w:r>
      <w:r>
        <w:rPr>
          <w:rFonts w:hint="eastAsia" w:ascii="仿宋_GB2312" w:hAnsi="黑体" w:eastAsia="仿宋_GB2312" w:cs="仿宋_GB2312"/>
          <w:sz w:val="32"/>
          <w:szCs w:val="32"/>
          <w:highlight w:val="none"/>
          <w:u w:val="none"/>
          <w:lang w:val="en-US" w:eastAsia="zh-CN"/>
        </w:rPr>
        <w:t>026</w:t>
      </w:r>
      <w:r>
        <w:rPr>
          <w:rFonts w:hint="eastAsia" w:ascii="仿宋_GB2312" w:hAnsi="黑体" w:eastAsia="仿宋_GB2312" w:cs="仿宋_GB2312"/>
          <w:sz w:val="32"/>
          <w:szCs w:val="32"/>
          <w:highlight w:val="none"/>
          <w:u w:val="none"/>
        </w:rPr>
        <w:t>年部门预算编制范围的二级</w:t>
      </w:r>
      <w:r>
        <w:rPr>
          <w:rFonts w:hint="eastAsia" w:ascii="仿宋_GB2312" w:hAnsi="黑体" w:eastAsia="仿宋_GB2312" w:cs="仿宋_GB2312"/>
          <w:sz w:val="32"/>
          <w:szCs w:val="32"/>
          <w:highlight w:val="none"/>
          <w:u w:val="none"/>
          <w:lang w:eastAsia="zh-CN"/>
        </w:rPr>
        <w:t>（三级）</w:t>
      </w:r>
      <w:r>
        <w:rPr>
          <w:rFonts w:hint="eastAsia" w:ascii="仿宋_GB2312" w:hAnsi="黑体" w:eastAsia="仿宋_GB2312" w:cs="仿宋_GB2312"/>
          <w:sz w:val="32"/>
          <w:szCs w:val="32"/>
          <w:highlight w:val="none"/>
          <w:u w:val="none"/>
        </w:rPr>
        <w:t>预算单位包括：</w:t>
      </w:r>
    </w:p>
    <w:p w14:paraId="596FFF37">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1.</w:t>
      </w:r>
      <w:r>
        <w:rPr>
          <w:rFonts w:hint="eastAsia" w:ascii="仿宋_GB2312" w:hAnsi="黑体" w:eastAsia="仿宋_GB2312" w:cs="仿宋_GB2312"/>
          <w:sz w:val="32"/>
          <w:szCs w:val="32"/>
          <w:highlight w:val="none"/>
          <w:u w:val="none"/>
        </w:rPr>
        <w:t>××××</w:t>
      </w:r>
    </w:p>
    <w:p w14:paraId="7157A16A">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2.</w:t>
      </w:r>
      <w:r>
        <w:rPr>
          <w:rFonts w:hint="eastAsia" w:ascii="仿宋_GB2312" w:hAnsi="黑体" w:eastAsia="仿宋_GB2312" w:cs="仿宋_GB2312"/>
          <w:sz w:val="32"/>
          <w:szCs w:val="32"/>
          <w:highlight w:val="none"/>
          <w:u w:val="none"/>
        </w:rPr>
        <w:t>××××</w:t>
      </w:r>
    </w:p>
    <w:p w14:paraId="53CF15E3">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ascii="仿宋_GB2312" w:hAnsi="黑体" w:eastAsia="仿宋_GB2312" w:cs="仿宋_GB2312"/>
          <w:sz w:val="32"/>
          <w:szCs w:val="32"/>
          <w:highlight w:val="yellow"/>
          <w:u w:val="none"/>
        </w:rPr>
      </w:pPr>
    </w:p>
    <w:p w14:paraId="1A3F4EC2">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14:paraId="5A192752">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14:paraId="0C7EC9C8">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14:paraId="59C49087">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14:paraId="342D4BDF">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14:paraId="2CDB7B6E">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14:paraId="40C5B10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2D74583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eastAsia="zh-CN"/>
        </w:rPr>
        <w:t>屯昌县屯昌小学202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lang w:eastAsia="zh-CN"/>
        </w:rPr>
        <w:t>年财政拨款收支总预算</w:t>
      </w:r>
      <w:r>
        <w:rPr>
          <w:rFonts w:hint="eastAsia" w:ascii="仿宋_GB2312" w:hAnsi="黑体" w:eastAsia="仿宋_GB2312"/>
          <w:sz w:val="32"/>
          <w:szCs w:val="32"/>
          <w:u w:val="none"/>
          <w:lang w:val="en-US" w:eastAsia="zh-CN"/>
        </w:rPr>
        <w:t>2913.46</w:t>
      </w:r>
      <w:r>
        <w:rPr>
          <w:rFonts w:hint="eastAsia" w:ascii="仿宋_GB2312" w:hAnsi="黑体" w:eastAsia="仿宋_GB2312"/>
          <w:sz w:val="32"/>
          <w:szCs w:val="32"/>
          <w:u w:val="none"/>
          <w:lang w:eastAsia="zh-CN"/>
        </w:rPr>
        <w:t>万元。其中，收入总计</w:t>
      </w:r>
      <w:r>
        <w:rPr>
          <w:rFonts w:hint="eastAsia" w:ascii="仿宋_GB2312" w:hAnsi="黑体" w:eastAsia="仿宋_GB2312"/>
          <w:sz w:val="32"/>
          <w:szCs w:val="32"/>
          <w:u w:val="none"/>
          <w:lang w:val="en-US" w:eastAsia="zh-CN"/>
        </w:rPr>
        <w:t>2913.46</w:t>
      </w:r>
      <w:r>
        <w:rPr>
          <w:rFonts w:hint="eastAsia" w:ascii="仿宋_GB2312" w:hAnsi="黑体" w:eastAsia="仿宋_GB2312"/>
          <w:sz w:val="32"/>
          <w:szCs w:val="32"/>
          <w:u w:val="none"/>
          <w:lang w:eastAsia="zh-CN"/>
        </w:rPr>
        <w:t>万元，包括一般公共预算本年收入</w:t>
      </w:r>
      <w:r>
        <w:rPr>
          <w:rFonts w:hint="eastAsia" w:ascii="仿宋_GB2312" w:hAnsi="黑体" w:eastAsia="仿宋_GB2312"/>
          <w:sz w:val="32"/>
          <w:szCs w:val="32"/>
          <w:u w:val="none"/>
          <w:lang w:val="en-US" w:eastAsia="zh-CN"/>
        </w:rPr>
        <w:t>2895.31</w:t>
      </w:r>
      <w:r>
        <w:rPr>
          <w:rFonts w:hint="eastAsia" w:ascii="仿宋_GB2312" w:hAnsi="黑体" w:eastAsia="仿宋_GB2312"/>
          <w:sz w:val="32"/>
          <w:szCs w:val="32"/>
          <w:u w:val="none"/>
          <w:lang w:eastAsia="zh-CN"/>
        </w:rPr>
        <w:t>万元、上年结转</w:t>
      </w:r>
      <w:r>
        <w:rPr>
          <w:rFonts w:hint="eastAsia" w:ascii="仿宋_GB2312" w:hAnsi="黑体" w:eastAsia="仿宋_GB2312"/>
          <w:sz w:val="32"/>
          <w:szCs w:val="32"/>
          <w:u w:val="none"/>
          <w:lang w:val="en-US" w:eastAsia="zh-CN"/>
        </w:rPr>
        <w:t>18.14</w:t>
      </w:r>
      <w:r>
        <w:rPr>
          <w:rFonts w:hint="eastAsia" w:ascii="仿宋_GB2312" w:hAnsi="黑体" w:eastAsia="仿宋_GB2312"/>
          <w:sz w:val="32"/>
          <w:szCs w:val="32"/>
          <w:u w:val="none"/>
          <w:lang w:eastAsia="zh-CN"/>
        </w:rPr>
        <w:t>万元，政府性基金预算本年收入0万元、上年结转0万元；支出总计</w:t>
      </w:r>
      <w:r>
        <w:rPr>
          <w:rFonts w:hint="eastAsia" w:ascii="仿宋_GB2312" w:hAnsi="黑体" w:eastAsia="仿宋_GB2312"/>
          <w:sz w:val="32"/>
          <w:szCs w:val="32"/>
          <w:u w:val="none"/>
          <w:lang w:val="en-US" w:eastAsia="zh-CN"/>
        </w:rPr>
        <w:t>2913.46</w:t>
      </w:r>
      <w:r>
        <w:rPr>
          <w:rFonts w:hint="eastAsia" w:ascii="仿宋_GB2312" w:hAnsi="黑体" w:eastAsia="仿宋_GB2312"/>
          <w:sz w:val="32"/>
          <w:szCs w:val="32"/>
          <w:u w:val="none"/>
          <w:lang w:eastAsia="zh-CN"/>
        </w:rPr>
        <w:t>万元，包括教育支出</w:t>
      </w:r>
      <w:r>
        <w:rPr>
          <w:rFonts w:hint="eastAsia" w:ascii="仿宋_GB2312" w:hAnsi="黑体" w:eastAsia="仿宋_GB2312"/>
          <w:sz w:val="32"/>
          <w:szCs w:val="32"/>
          <w:u w:val="none"/>
          <w:lang w:val="en-US" w:eastAsia="zh-CN"/>
        </w:rPr>
        <w:t>1920.02</w:t>
      </w:r>
      <w:r>
        <w:rPr>
          <w:rFonts w:hint="eastAsia" w:ascii="仿宋_GB2312" w:hAnsi="黑体" w:eastAsia="仿宋_GB2312"/>
          <w:sz w:val="32"/>
          <w:szCs w:val="32"/>
          <w:u w:val="none"/>
          <w:lang w:eastAsia="zh-CN"/>
        </w:rPr>
        <w:t>万元、社会保障和就业支出</w:t>
      </w:r>
      <w:r>
        <w:rPr>
          <w:rFonts w:hint="eastAsia" w:ascii="仿宋_GB2312" w:hAnsi="黑体" w:eastAsia="仿宋_GB2312"/>
          <w:sz w:val="32"/>
          <w:szCs w:val="32"/>
          <w:u w:val="none"/>
          <w:lang w:val="en-US" w:eastAsia="zh-CN"/>
        </w:rPr>
        <w:t>441.9</w:t>
      </w:r>
      <w:r>
        <w:rPr>
          <w:rFonts w:hint="eastAsia" w:ascii="仿宋_GB2312" w:hAnsi="黑体" w:eastAsia="仿宋_GB2312"/>
          <w:sz w:val="32"/>
          <w:szCs w:val="32"/>
          <w:u w:val="none"/>
          <w:lang w:eastAsia="zh-CN"/>
        </w:rPr>
        <w:t>万元、卫生健康支出</w:t>
      </w:r>
      <w:r>
        <w:rPr>
          <w:rFonts w:hint="eastAsia" w:ascii="仿宋_GB2312" w:hAnsi="黑体" w:eastAsia="仿宋_GB2312"/>
          <w:sz w:val="32"/>
          <w:szCs w:val="32"/>
          <w:u w:val="none"/>
          <w:lang w:val="en-US" w:eastAsia="zh-CN"/>
        </w:rPr>
        <w:t>349.92</w:t>
      </w:r>
      <w:r>
        <w:rPr>
          <w:rFonts w:hint="eastAsia" w:ascii="仿宋_GB2312" w:hAnsi="黑体" w:eastAsia="仿宋_GB2312"/>
          <w:sz w:val="32"/>
          <w:szCs w:val="32"/>
          <w:u w:val="none"/>
          <w:lang w:eastAsia="zh-CN"/>
        </w:rPr>
        <w:t>万元、住房保障支出</w:t>
      </w:r>
      <w:r>
        <w:rPr>
          <w:rFonts w:hint="eastAsia" w:ascii="仿宋_GB2312" w:hAnsi="黑体" w:eastAsia="仿宋_GB2312"/>
          <w:sz w:val="32"/>
          <w:szCs w:val="32"/>
          <w:u w:val="none"/>
          <w:lang w:val="en-US" w:eastAsia="zh-CN"/>
        </w:rPr>
        <w:t>201.63</w:t>
      </w:r>
      <w:r>
        <w:rPr>
          <w:rFonts w:hint="eastAsia" w:ascii="仿宋_GB2312" w:hAnsi="黑体" w:eastAsia="仿宋_GB2312"/>
          <w:sz w:val="32"/>
          <w:szCs w:val="32"/>
          <w:u w:val="none"/>
          <w:lang w:eastAsia="zh-CN"/>
        </w:rPr>
        <w:t>万元，结转下年0万元。</w:t>
      </w:r>
    </w:p>
    <w:p w14:paraId="5BFBCA47">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040709E8">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262EF3F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eastAsia="zh-CN"/>
        </w:rPr>
        <w:t>屯昌县屯昌小学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2913.46</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483.4</w:t>
      </w:r>
      <w:r>
        <w:rPr>
          <w:rFonts w:hint="eastAsia" w:ascii="仿宋_GB2312" w:hAnsi="黑体" w:eastAsia="仿宋_GB2312"/>
          <w:sz w:val="32"/>
          <w:szCs w:val="32"/>
          <w:u w:val="none"/>
        </w:rPr>
        <w:t>万元，主要是2026年的课后服务费目前还</w:t>
      </w:r>
      <w:r>
        <w:rPr>
          <w:rFonts w:hint="eastAsia" w:ascii="仿宋_GB2312" w:hAnsi="黑体" w:eastAsia="仿宋_GB2312"/>
          <w:sz w:val="32"/>
          <w:szCs w:val="32"/>
          <w:u w:val="none"/>
          <w:lang w:eastAsia="zh-CN"/>
        </w:rPr>
        <w:t>未</w:t>
      </w:r>
      <w:r>
        <w:rPr>
          <w:rFonts w:hint="eastAsia" w:ascii="仿宋_GB2312" w:hAnsi="黑体" w:eastAsia="仿宋_GB2312"/>
          <w:sz w:val="32"/>
          <w:szCs w:val="32"/>
          <w:u w:val="none"/>
        </w:rPr>
        <w:t>做预算</w:t>
      </w:r>
      <w:r>
        <w:rPr>
          <w:rFonts w:hint="eastAsia" w:ascii="仿宋_GB2312" w:hAnsi="黑体" w:eastAsia="仿宋_GB2312"/>
          <w:sz w:val="32"/>
          <w:szCs w:val="32"/>
          <w:u w:val="none"/>
          <w:lang w:eastAsia="zh-CN"/>
        </w:rPr>
        <w:t>以及有人员退休和离职。</w:t>
      </w:r>
    </w:p>
    <w:p w14:paraId="008DB348">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306EBC86">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rPr>
        <w:t>教育（类）支出</w:t>
      </w:r>
      <w:r>
        <w:rPr>
          <w:rFonts w:hint="eastAsia" w:ascii="仿宋_GB2312" w:hAnsi="黑体" w:eastAsia="仿宋_GB2312" w:cs="仿宋_GB2312"/>
          <w:sz w:val="32"/>
          <w:szCs w:val="32"/>
          <w:u w:val="none"/>
          <w:lang w:val="en-US" w:eastAsia="zh-CN"/>
        </w:rPr>
        <w:t>1920.02</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65.9</w:t>
      </w:r>
      <w:r>
        <w:rPr>
          <w:rFonts w:hint="eastAsia" w:ascii="仿宋_GB2312" w:hAnsi="黑体" w:eastAsia="仿宋_GB2312" w:cs="仿宋_GB2312"/>
          <w:sz w:val="32"/>
          <w:szCs w:val="32"/>
          <w:u w:val="none"/>
        </w:rPr>
        <w:t>%；社会保障和就业（类）支出</w:t>
      </w:r>
      <w:r>
        <w:rPr>
          <w:rFonts w:hint="eastAsia" w:ascii="仿宋_GB2312" w:hAnsi="黑体" w:eastAsia="仿宋_GB2312" w:cs="仿宋_GB2312"/>
          <w:sz w:val="32"/>
          <w:szCs w:val="32"/>
          <w:u w:val="none"/>
          <w:lang w:val="en-US" w:eastAsia="zh-CN"/>
        </w:rPr>
        <w:t>441.9</w:t>
      </w:r>
      <w:r>
        <w:rPr>
          <w:rFonts w:hint="eastAsia" w:ascii="仿宋_GB2312" w:hAnsi="黑体" w:eastAsia="仿宋_GB2312" w:cs="仿宋_GB2312"/>
          <w:sz w:val="32"/>
          <w:szCs w:val="32"/>
          <w:u w:val="none"/>
        </w:rPr>
        <w:t>万元，</w:t>
      </w:r>
      <w:r>
        <w:rPr>
          <w:rFonts w:hint="eastAsia" w:ascii="仿宋_GB2312" w:hAnsi="黑体" w:eastAsia="仿宋_GB2312" w:cs="仿宋_GB2312"/>
          <w:sz w:val="32"/>
          <w:szCs w:val="32"/>
          <w:u w:val="none"/>
          <w:lang w:val="en-US" w:eastAsia="zh-CN"/>
        </w:rPr>
        <w:t>15.17</w:t>
      </w:r>
      <w:r>
        <w:rPr>
          <w:rFonts w:hint="eastAsia" w:ascii="仿宋_GB2312" w:hAnsi="黑体" w:eastAsia="仿宋_GB2312" w:cs="仿宋_GB2312"/>
          <w:sz w:val="32"/>
          <w:szCs w:val="32"/>
          <w:u w:val="none"/>
        </w:rPr>
        <w:t>%；卫生健康（类）支出</w:t>
      </w:r>
      <w:r>
        <w:rPr>
          <w:rFonts w:hint="eastAsia" w:ascii="仿宋_GB2312" w:hAnsi="黑体" w:eastAsia="仿宋_GB2312" w:cs="仿宋_GB2312"/>
          <w:sz w:val="32"/>
          <w:szCs w:val="32"/>
          <w:u w:val="none"/>
          <w:lang w:val="en-US" w:eastAsia="zh-CN"/>
        </w:rPr>
        <w:t>349.92</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12.01</w:t>
      </w:r>
      <w:r>
        <w:rPr>
          <w:rFonts w:hint="eastAsia" w:ascii="仿宋_GB2312" w:hAnsi="黑体" w:eastAsia="仿宋_GB2312" w:cs="仿宋_GB2312"/>
          <w:sz w:val="32"/>
          <w:szCs w:val="32"/>
          <w:u w:val="none"/>
        </w:rPr>
        <w:t>%；住房保障（类）支出</w:t>
      </w:r>
      <w:r>
        <w:rPr>
          <w:rFonts w:hint="eastAsia" w:ascii="仿宋_GB2312" w:hAnsi="黑体" w:eastAsia="仿宋_GB2312" w:cs="仿宋_GB2312"/>
          <w:sz w:val="32"/>
          <w:szCs w:val="32"/>
          <w:u w:val="none"/>
          <w:lang w:val="en-US" w:eastAsia="zh-CN"/>
        </w:rPr>
        <w:t>201.63</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6.92</w:t>
      </w:r>
      <w:r>
        <w:rPr>
          <w:rFonts w:hint="eastAsia" w:ascii="仿宋_GB2312" w:hAnsi="黑体" w:eastAsia="仿宋_GB2312" w:cs="仿宋_GB2312"/>
          <w:sz w:val="32"/>
          <w:szCs w:val="32"/>
          <w:u w:val="none"/>
        </w:rPr>
        <w:t>%。</w:t>
      </w:r>
    </w:p>
    <w:p w14:paraId="57BABEAD">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6DAFCB6C">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1.教育（类）普通教育（款）小学教育（项）202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1919.85</w:t>
      </w:r>
      <w:r>
        <w:rPr>
          <w:rFonts w:hint="eastAsia" w:ascii="仿宋_GB2312" w:hAnsi="黑体" w:eastAsia="仿宋_GB2312"/>
          <w:sz w:val="32"/>
          <w:szCs w:val="32"/>
          <w:u w:val="none"/>
        </w:rPr>
        <w:t>万元，减少</w:t>
      </w:r>
      <w:r>
        <w:rPr>
          <w:rFonts w:hint="eastAsia" w:ascii="仿宋_GB2312" w:hAnsi="黑体" w:eastAsia="仿宋_GB2312"/>
          <w:sz w:val="32"/>
          <w:szCs w:val="32"/>
          <w:u w:val="none"/>
          <w:lang w:val="en-US" w:eastAsia="zh-CN"/>
        </w:rPr>
        <w:t>350.2</w:t>
      </w:r>
      <w:r>
        <w:rPr>
          <w:rFonts w:hint="eastAsia" w:ascii="仿宋_GB2312" w:hAnsi="黑体" w:eastAsia="仿宋_GB2312"/>
          <w:sz w:val="32"/>
          <w:szCs w:val="32"/>
          <w:u w:val="none"/>
        </w:rPr>
        <w:t>万元，主要是2026年的课后服务费目前还未做预算。</w:t>
      </w:r>
    </w:p>
    <w:p w14:paraId="49FC35F9">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2.</w:t>
      </w:r>
      <w:r>
        <w:rPr>
          <w:rFonts w:hint="eastAsia" w:ascii="仿宋_GB2312" w:hAnsi="黑体" w:eastAsia="仿宋_GB2312"/>
          <w:sz w:val="32"/>
          <w:szCs w:val="32"/>
          <w:u w:val="none"/>
        </w:rPr>
        <w:t>教育（类）</w:t>
      </w:r>
      <w:r>
        <w:rPr>
          <w:rFonts w:hint="eastAsia" w:ascii="仿宋_GB2312" w:hAnsi="黑体" w:eastAsia="仿宋_GB2312"/>
          <w:sz w:val="32"/>
          <w:szCs w:val="32"/>
          <w:u w:val="none"/>
          <w:lang w:eastAsia="zh-CN"/>
        </w:rPr>
        <w:t>特殊</w:t>
      </w:r>
      <w:r>
        <w:rPr>
          <w:rFonts w:hint="eastAsia" w:ascii="仿宋_GB2312" w:hAnsi="黑体" w:eastAsia="仿宋_GB2312"/>
          <w:sz w:val="32"/>
          <w:szCs w:val="32"/>
          <w:u w:val="none"/>
        </w:rPr>
        <w:t>教育（款）</w:t>
      </w:r>
      <w:r>
        <w:rPr>
          <w:rFonts w:hint="eastAsia" w:ascii="仿宋_GB2312" w:hAnsi="黑体" w:eastAsia="仿宋_GB2312"/>
          <w:sz w:val="32"/>
          <w:szCs w:val="32"/>
          <w:u w:val="none"/>
          <w:lang w:eastAsia="zh-CN"/>
        </w:rPr>
        <w:t>其他特殊</w:t>
      </w:r>
      <w:r>
        <w:rPr>
          <w:rFonts w:hint="eastAsia" w:ascii="仿宋_GB2312" w:hAnsi="黑体" w:eastAsia="仿宋_GB2312"/>
          <w:sz w:val="32"/>
          <w:szCs w:val="32"/>
          <w:u w:val="none"/>
        </w:rPr>
        <w:t>教育</w:t>
      </w:r>
      <w:r>
        <w:rPr>
          <w:rFonts w:hint="eastAsia" w:ascii="仿宋_GB2312" w:hAnsi="黑体" w:eastAsia="仿宋_GB2312"/>
          <w:sz w:val="32"/>
          <w:szCs w:val="32"/>
          <w:u w:val="none"/>
          <w:lang w:eastAsia="zh-CN"/>
        </w:rPr>
        <w:t>支出</w:t>
      </w:r>
      <w:r>
        <w:rPr>
          <w:rFonts w:hint="eastAsia" w:ascii="仿宋_GB2312" w:hAnsi="黑体" w:eastAsia="仿宋_GB2312"/>
          <w:sz w:val="32"/>
          <w:szCs w:val="32"/>
          <w:u w:val="none"/>
        </w:rPr>
        <w:t>（项）202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0.17</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增加</w:t>
      </w:r>
      <w:r>
        <w:rPr>
          <w:rFonts w:hint="eastAsia" w:ascii="仿宋_GB2312" w:hAnsi="黑体" w:eastAsia="仿宋_GB2312"/>
          <w:sz w:val="32"/>
          <w:szCs w:val="32"/>
          <w:u w:val="none"/>
          <w:lang w:val="en-US" w:eastAsia="zh-CN"/>
        </w:rPr>
        <w:t>0.17</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2026年新增此项预算项目</w:t>
      </w:r>
      <w:r>
        <w:rPr>
          <w:rFonts w:hint="eastAsia" w:ascii="仿宋_GB2312" w:hAnsi="黑体" w:eastAsia="仿宋_GB2312"/>
          <w:sz w:val="32"/>
          <w:szCs w:val="32"/>
          <w:u w:val="none"/>
        </w:rPr>
        <w:t>。</w:t>
      </w:r>
    </w:p>
    <w:p w14:paraId="1C6F99F1">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3</w:t>
      </w:r>
      <w:r>
        <w:rPr>
          <w:rFonts w:hint="eastAsia" w:ascii="仿宋_GB2312" w:hAnsi="黑体" w:eastAsia="仿宋_GB2312"/>
          <w:sz w:val="32"/>
          <w:szCs w:val="32"/>
          <w:u w:val="none"/>
        </w:rPr>
        <w:t>.社会保障和就业支出（类）行政事业单位养老支出（款）机关事业单位基本养老保险缴费支出（项）202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297.43</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减少</w:t>
      </w:r>
      <w:r>
        <w:rPr>
          <w:rFonts w:hint="eastAsia" w:ascii="仿宋_GB2312" w:hAnsi="黑体" w:eastAsia="仿宋_GB2312"/>
          <w:sz w:val="32"/>
          <w:szCs w:val="32"/>
          <w:u w:val="none"/>
          <w:lang w:val="en-US" w:eastAsia="zh-CN"/>
        </w:rPr>
        <w:t>14.19</w:t>
      </w:r>
      <w:r>
        <w:rPr>
          <w:rFonts w:hint="eastAsia" w:ascii="仿宋_GB2312" w:hAnsi="黑体" w:eastAsia="仿宋_GB2312"/>
          <w:sz w:val="32"/>
          <w:szCs w:val="32"/>
          <w:u w:val="none"/>
        </w:rPr>
        <w:t>万元，主要是人员</w:t>
      </w:r>
      <w:r>
        <w:rPr>
          <w:rFonts w:hint="eastAsia" w:ascii="仿宋_GB2312" w:hAnsi="黑体" w:eastAsia="仿宋_GB2312"/>
          <w:sz w:val="32"/>
          <w:szCs w:val="32"/>
          <w:u w:val="none"/>
          <w:lang w:eastAsia="zh-CN"/>
        </w:rPr>
        <w:t>退休和离职</w:t>
      </w:r>
      <w:r>
        <w:rPr>
          <w:rFonts w:hint="eastAsia" w:ascii="仿宋_GB2312" w:hAnsi="黑体" w:eastAsia="仿宋_GB2312"/>
          <w:sz w:val="32"/>
          <w:szCs w:val="32"/>
          <w:u w:val="none"/>
        </w:rPr>
        <w:t>。</w:t>
      </w:r>
    </w:p>
    <w:p w14:paraId="7BD83BFE">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4</w:t>
      </w:r>
      <w:r>
        <w:rPr>
          <w:rFonts w:hint="eastAsia" w:ascii="仿宋_GB2312" w:hAnsi="黑体" w:eastAsia="仿宋_GB2312"/>
          <w:sz w:val="32"/>
          <w:szCs w:val="32"/>
          <w:u w:val="none"/>
        </w:rPr>
        <w:t>. 社会保障和就业支出（类）行政事业单位养老支出（款）机关事业单位职业年金缴费支出（项）202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144.47</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减少</w:t>
      </w:r>
      <w:r>
        <w:rPr>
          <w:rFonts w:hint="eastAsia" w:ascii="仿宋_GB2312" w:hAnsi="黑体" w:eastAsia="仿宋_GB2312"/>
          <w:sz w:val="32"/>
          <w:szCs w:val="32"/>
          <w:u w:val="none"/>
          <w:lang w:val="en-US" w:eastAsia="zh-CN"/>
        </w:rPr>
        <w:t>11.34</w:t>
      </w:r>
      <w:r>
        <w:rPr>
          <w:rFonts w:hint="eastAsia" w:ascii="仿宋_GB2312" w:hAnsi="黑体" w:eastAsia="仿宋_GB2312"/>
          <w:sz w:val="32"/>
          <w:szCs w:val="32"/>
          <w:u w:val="none"/>
        </w:rPr>
        <w:t>万元，主要是人员</w:t>
      </w:r>
      <w:r>
        <w:rPr>
          <w:rFonts w:hint="eastAsia" w:ascii="仿宋_GB2312" w:hAnsi="黑体" w:eastAsia="仿宋_GB2312"/>
          <w:sz w:val="32"/>
          <w:szCs w:val="32"/>
          <w:u w:val="none"/>
          <w:lang w:eastAsia="zh-CN"/>
        </w:rPr>
        <w:t>退休和离职</w:t>
      </w:r>
      <w:r>
        <w:rPr>
          <w:rFonts w:hint="eastAsia" w:ascii="仿宋_GB2312" w:hAnsi="黑体" w:eastAsia="仿宋_GB2312"/>
          <w:sz w:val="32"/>
          <w:szCs w:val="32"/>
          <w:u w:val="none"/>
        </w:rPr>
        <w:t>。</w:t>
      </w:r>
    </w:p>
    <w:p w14:paraId="774484B5">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5</w:t>
      </w:r>
      <w:r>
        <w:rPr>
          <w:rFonts w:hint="eastAsia" w:ascii="仿宋_GB2312" w:hAnsi="黑体" w:eastAsia="仿宋_GB2312"/>
          <w:sz w:val="32"/>
          <w:szCs w:val="32"/>
          <w:u w:val="none"/>
        </w:rPr>
        <w:t>. 卫生健康支出（类）行政事业单位医疗（款）事业单位医疗（项）202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100.26</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减少</w:t>
      </w:r>
      <w:r>
        <w:rPr>
          <w:rFonts w:hint="eastAsia" w:ascii="仿宋_GB2312" w:hAnsi="黑体" w:eastAsia="仿宋_GB2312"/>
          <w:sz w:val="32"/>
          <w:szCs w:val="32"/>
          <w:u w:val="none"/>
          <w:lang w:val="en-US" w:eastAsia="zh-CN"/>
        </w:rPr>
        <w:t>9.41</w:t>
      </w:r>
      <w:r>
        <w:rPr>
          <w:rFonts w:hint="eastAsia" w:ascii="仿宋_GB2312" w:hAnsi="黑体" w:eastAsia="仿宋_GB2312"/>
          <w:sz w:val="32"/>
          <w:szCs w:val="32"/>
          <w:u w:val="none"/>
        </w:rPr>
        <w:t>万元，主要是人员</w:t>
      </w:r>
      <w:r>
        <w:rPr>
          <w:rFonts w:hint="eastAsia" w:ascii="仿宋_GB2312" w:hAnsi="黑体" w:eastAsia="仿宋_GB2312"/>
          <w:sz w:val="32"/>
          <w:szCs w:val="32"/>
          <w:u w:val="none"/>
          <w:lang w:eastAsia="zh-CN"/>
        </w:rPr>
        <w:t>退休和离职</w:t>
      </w:r>
      <w:r>
        <w:rPr>
          <w:rFonts w:hint="eastAsia" w:ascii="仿宋_GB2312" w:hAnsi="黑体" w:eastAsia="仿宋_GB2312"/>
          <w:sz w:val="32"/>
          <w:szCs w:val="32"/>
          <w:u w:val="none"/>
        </w:rPr>
        <w:t>。</w:t>
      </w:r>
    </w:p>
    <w:p w14:paraId="428C0920">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rPr>
        <w:t>.卫生健康支出（类）行政事业单位医疗（款）公务员医疗补助（项）202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238.98</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减少</w:t>
      </w:r>
      <w:r>
        <w:rPr>
          <w:rFonts w:hint="eastAsia" w:ascii="仿宋_GB2312" w:hAnsi="黑体" w:eastAsia="仿宋_GB2312"/>
          <w:sz w:val="32"/>
          <w:szCs w:val="32"/>
          <w:u w:val="none"/>
          <w:lang w:val="en-US" w:eastAsia="zh-CN"/>
        </w:rPr>
        <w:t>38.12</w:t>
      </w:r>
      <w:r>
        <w:rPr>
          <w:rFonts w:hint="eastAsia" w:ascii="仿宋_GB2312" w:hAnsi="黑体" w:eastAsia="仿宋_GB2312"/>
          <w:sz w:val="32"/>
          <w:szCs w:val="32"/>
          <w:u w:val="none"/>
        </w:rPr>
        <w:t>万元，主要是人员</w:t>
      </w:r>
      <w:r>
        <w:rPr>
          <w:rFonts w:hint="eastAsia" w:ascii="仿宋_GB2312" w:hAnsi="黑体" w:eastAsia="仿宋_GB2312"/>
          <w:sz w:val="32"/>
          <w:szCs w:val="32"/>
          <w:u w:val="none"/>
          <w:lang w:eastAsia="zh-CN"/>
        </w:rPr>
        <w:t>离职</w:t>
      </w:r>
      <w:r>
        <w:rPr>
          <w:rFonts w:hint="eastAsia" w:ascii="仿宋_GB2312" w:hAnsi="黑体" w:eastAsia="仿宋_GB2312"/>
          <w:sz w:val="32"/>
          <w:szCs w:val="32"/>
          <w:u w:val="none"/>
        </w:rPr>
        <w:t>。</w:t>
      </w:r>
    </w:p>
    <w:p w14:paraId="1EAE1D33">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7</w:t>
      </w:r>
      <w:r>
        <w:rPr>
          <w:rFonts w:hint="eastAsia" w:ascii="仿宋_GB2312" w:hAnsi="黑体" w:eastAsia="仿宋_GB2312"/>
          <w:sz w:val="32"/>
          <w:szCs w:val="32"/>
          <w:u w:val="none"/>
        </w:rPr>
        <w:t>.卫生健康支出（类）行政事业单位医疗（款）其他行政事业单位医疗支出（项）202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10.68</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增加</w:t>
      </w:r>
      <w:r>
        <w:rPr>
          <w:rFonts w:hint="eastAsia" w:ascii="仿宋_GB2312" w:hAnsi="黑体" w:eastAsia="仿宋_GB2312"/>
          <w:sz w:val="32"/>
          <w:szCs w:val="32"/>
          <w:u w:val="none"/>
          <w:lang w:val="en-US" w:eastAsia="zh-CN"/>
        </w:rPr>
        <w:t>1.16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退休人员增多了</w:t>
      </w:r>
      <w:r>
        <w:rPr>
          <w:rFonts w:hint="eastAsia" w:ascii="仿宋_GB2312" w:hAnsi="黑体" w:eastAsia="仿宋_GB2312"/>
          <w:sz w:val="32"/>
          <w:szCs w:val="32"/>
          <w:u w:val="none"/>
        </w:rPr>
        <w:t>。</w:t>
      </w:r>
    </w:p>
    <w:p w14:paraId="0943F6CB">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8</w:t>
      </w:r>
      <w:r>
        <w:rPr>
          <w:rFonts w:hint="eastAsia" w:ascii="仿宋_GB2312" w:hAnsi="黑体" w:eastAsia="仿宋_GB2312"/>
          <w:sz w:val="32"/>
          <w:szCs w:val="32"/>
          <w:u w:val="none"/>
        </w:rPr>
        <w:t>.住房保障（类）住房改革支出（款）住房公积金（项）2026年预算数为</w:t>
      </w:r>
      <w:r>
        <w:rPr>
          <w:rFonts w:hint="eastAsia" w:ascii="仿宋_GB2312" w:hAnsi="黑体" w:eastAsia="仿宋_GB2312"/>
          <w:sz w:val="32"/>
          <w:szCs w:val="32"/>
          <w:u w:val="none"/>
          <w:lang w:val="en-US" w:eastAsia="zh-CN"/>
        </w:rPr>
        <w:t>201.63</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减少</w:t>
      </w:r>
      <w:r>
        <w:rPr>
          <w:rFonts w:hint="eastAsia" w:ascii="仿宋_GB2312" w:hAnsi="黑体" w:eastAsia="仿宋_GB2312"/>
          <w:sz w:val="32"/>
          <w:szCs w:val="32"/>
          <w:u w:val="none"/>
          <w:lang w:val="en-US" w:eastAsia="zh-CN"/>
        </w:rPr>
        <w:t>61.29</w:t>
      </w:r>
      <w:r>
        <w:rPr>
          <w:rFonts w:hint="eastAsia" w:ascii="仿宋_GB2312" w:hAnsi="黑体" w:eastAsia="仿宋_GB2312"/>
          <w:sz w:val="32"/>
          <w:szCs w:val="32"/>
          <w:u w:val="none"/>
        </w:rPr>
        <w:t>万元，主要是人员</w:t>
      </w:r>
      <w:r>
        <w:rPr>
          <w:rFonts w:hint="eastAsia" w:ascii="仿宋_GB2312" w:hAnsi="黑体" w:eastAsia="仿宋_GB2312"/>
          <w:sz w:val="32"/>
          <w:szCs w:val="32"/>
          <w:u w:val="none"/>
          <w:lang w:eastAsia="zh-CN"/>
        </w:rPr>
        <w:t>退休和离职</w:t>
      </w:r>
      <w:r>
        <w:rPr>
          <w:rFonts w:hint="eastAsia" w:ascii="仿宋_GB2312" w:hAnsi="黑体" w:eastAsia="仿宋_GB2312"/>
          <w:sz w:val="32"/>
          <w:szCs w:val="32"/>
          <w:u w:val="none"/>
        </w:rPr>
        <w:t>。</w:t>
      </w:r>
    </w:p>
    <w:p w14:paraId="0ADA95E6">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7C1459E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屯昌县屯昌小学202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rPr>
        <w:t>年一般公共预算基本支出为</w:t>
      </w:r>
      <w:r>
        <w:rPr>
          <w:rFonts w:hint="eastAsia" w:ascii="仿宋_GB2312" w:hAnsi="黑体" w:eastAsia="仿宋_GB2312"/>
          <w:sz w:val="32"/>
          <w:szCs w:val="32"/>
          <w:u w:val="none"/>
          <w:lang w:val="en-US" w:eastAsia="zh-CN"/>
        </w:rPr>
        <w:t>2893.01</w:t>
      </w:r>
      <w:r>
        <w:rPr>
          <w:rFonts w:hint="eastAsia" w:ascii="仿宋_GB2312" w:hAnsi="黑体" w:eastAsia="仿宋_GB2312"/>
          <w:sz w:val="32"/>
          <w:szCs w:val="32"/>
          <w:u w:val="none"/>
        </w:rPr>
        <w:t>万元，其中：</w:t>
      </w:r>
    </w:p>
    <w:p w14:paraId="5EDCC27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2873.7</w:t>
      </w:r>
      <w:r>
        <w:rPr>
          <w:rFonts w:hint="eastAsia" w:ascii="仿宋_GB2312" w:hAnsi="黑体" w:eastAsia="仿宋_GB2312"/>
          <w:sz w:val="32"/>
          <w:szCs w:val="32"/>
          <w:u w:val="none"/>
        </w:rPr>
        <w:t>万元，主要包括：基本工资、津贴补贴、绩效工资、机关事业单位基本养老保险缴费、职业年金缴费，职工基本医疗保险缴费、公务员医疗补助缴费、其他社会保障缴费、住房公积金、医疗费、邮电费。</w:t>
      </w:r>
    </w:p>
    <w:p w14:paraId="18AADFF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19.31</w:t>
      </w:r>
      <w:r>
        <w:rPr>
          <w:rFonts w:hint="eastAsia" w:ascii="仿宋_GB2312" w:hAnsi="黑体" w:eastAsia="仿宋_GB2312"/>
          <w:sz w:val="32"/>
          <w:szCs w:val="32"/>
          <w:u w:val="none"/>
        </w:rPr>
        <w:t>万元，主要是工会经费。</w:t>
      </w:r>
    </w:p>
    <w:p w14:paraId="685706A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14:paraId="2178DE5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（一）屯昌县屯昌小学202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rPr>
        <w:t xml:space="preserve">年一般公共预算“三公”经费预算数为0万元。 </w:t>
      </w:r>
    </w:p>
    <w:p w14:paraId="2432A00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（二）屯昌县屯昌小学202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rPr>
        <w:t>年政府性基金预算“三公”经费预算数为0万元</w:t>
      </w:r>
      <w:r>
        <w:rPr>
          <w:rFonts w:hint="eastAsia" w:ascii="仿宋_GB2312" w:hAnsi="黑体" w:eastAsia="仿宋_GB2312"/>
          <w:sz w:val="32"/>
          <w:szCs w:val="32"/>
          <w:u w:val="none"/>
          <w:lang w:eastAsia="zh-CN"/>
        </w:rPr>
        <w:t>。</w:t>
      </w:r>
    </w:p>
    <w:p w14:paraId="5D6AAE8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14:paraId="0A85D3B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（一）政府性基金预算当年规模变化情况</w:t>
      </w:r>
    </w:p>
    <w:p w14:paraId="14D937E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屯昌县屯昌小学202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lang w:eastAsia="zh-CN"/>
        </w:rPr>
        <w:t>年度政府性基金预算规模无变化。</w:t>
      </w:r>
    </w:p>
    <w:p w14:paraId="66590905">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（二）政府性基金预算当年拨款结构情况</w:t>
      </w:r>
    </w:p>
    <w:p w14:paraId="05DBA6D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屯昌县屯昌小学202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lang w:eastAsia="zh-CN"/>
        </w:rPr>
        <w:t>年度无政府性基金预算拨款。</w:t>
      </w:r>
    </w:p>
    <w:p w14:paraId="3855971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（三）政府性基金预算当年拨款具体使用情况</w:t>
      </w:r>
    </w:p>
    <w:p w14:paraId="25BA3EB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屯昌县屯昌小学202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lang w:eastAsia="zh-CN"/>
        </w:rPr>
        <w:t>年度无政府性基金预算拨款。</w:t>
      </w:r>
    </w:p>
    <w:p w14:paraId="53B2333D">
      <w:pPr>
        <w:keepNext w:val="0"/>
        <w:keepLines w:val="0"/>
        <w:pageBreakBefore w:val="0"/>
        <w:numPr>
          <w:ilvl w:val="0"/>
          <w:numId w:val="4"/>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14:paraId="51D7244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屯昌县屯昌小学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无国有资本经营</w:t>
      </w:r>
      <w:r>
        <w:rPr>
          <w:rFonts w:hint="eastAsia" w:ascii="仿宋_GB2312" w:hAnsi="黑体" w:eastAsia="仿宋_GB2312"/>
          <w:sz w:val="32"/>
          <w:szCs w:val="32"/>
          <w:u w:val="none"/>
        </w:rPr>
        <w:t>预算</w:t>
      </w:r>
      <w:r>
        <w:rPr>
          <w:rFonts w:hint="eastAsia" w:ascii="仿宋_GB2312" w:hAnsi="黑体" w:eastAsia="仿宋_GB2312"/>
          <w:sz w:val="32"/>
          <w:szCs w:val="32"/>
          <w:u w:val="none"/>
          <w:lang w:eastAsia="zh-CN"/>
        </w:rPr>
        <w:t>。</w:t>
      </w:r>
    </w:p>
    <w:p w14:paraId="7A04661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14:paraId="726C19B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按照综合预算原则，屯昌县屯昌小学所有收入和支出均纳入部门预算管理。收入包括：一般公共预算</w:t>
      </w:r>
      <w:r>
        <w:rPr>
          <w:rFonts w:hint="eastAsia" w:ascii="仿宋_GB2312" w:hAnsi="黑体" w:eastAsia="仿宋_GB2312" w:cs="仿宋_GB2312"/>
          <w:sz w:val="32"/>
          <w:szCs w:val="32"/>
          <w:u w:val="none"/>
          <w:lang w:eastAsia="zh-CN"/>
        </w:rPr>
        <w:t>拨款</w:t>
      </w:r>
      <w:r>
        <w:rPr>
          <w:rFonts w:hint="eastAsia" w:ascii="仿宋_GB2312" w:hAnsi="黑体" w:eastAsia="仿宋_GB2312" w:cs="仿宋_GB2312"/>
          <w:sz w:val="32"/>
          <w:szCs w:val="32"/>
          <w:u w:val="none"/>
        </w:rPr>
        <w:t>收入</w:t>
      </w:r>
      <w:r>
        <w:rPr>
          <w:rFonts w:hint="eastAsia" w:ascii="仿宋_GB2312" w:hAnsi="黑体" w:eastAsia="仿宋_GB2312" w:cs="仿宋_GB2312"/>
          <w:sz w:val="32"/>
          <w:szCs w:val="32"/>
          <w:u w:val="none"/>
          <w:lang w:eastAsia="zh-CN"/>
        </w:rPr>
        <w:t>，</w:t>
      </w:r>
      <w:r>
        <w:rPr>
          <w:rFonts w:hint="eastAsia" w:ascii="仿宋_GB2312" w:hAnsi="黑体" w:eastAsia="仿宋_GB2312"/>
          <w:sz w:val="32"/>
          <w:szCs w:val="32"/>
          <w:u w:val="none"/>
        </w:rPr>
        <w:t>上年结转</w:t>
      </w:r>
      <w:r>
        <w:rPr>
          <w:rFonts w:hint="eastAsia" w:ascii="仿宋_GB2312" w:hAnsi="黑体" w:eastAsia="仿宋_GB2312" w:cs="仿宋_GB2312"/>
          <w:sz w:val="32"/>
          <w:szCs w:val="32"/>
          <w:u w:val="none"/>
        </w:rPr>
        <w:t>；支出包括：教育支出、社会保障和就业支出、卫生健康支出、住房保障支出。屯昌县屯昌小学202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年收支总预算</w:t>
      </w:r>
      <w:r>
        <w:rPr>
          <w:rFonts w:hint="eastAsia" w:ascii="仿宋_GB2312" w:hAnsi="黑体" w:eastAsia="仿宋_GB2312" w:cs="仿宋_GB2312"/>
          <w:sz w:val="32"/>
          <w:szCs w:val="32"/>
          <w:u w:val="none"/>
          <w:lang w:val="en-US" w:eastAsia="zh-CN"/>
        </w:rPr>
        <w:t>2913.46</w:t>
      </w:r>
      <w:r>
        <w:rPr>
          <w:rFonts w:hint="eastAsia" w:ascii="仿宋_GB2312" w:hAnsi="黑体" w:eastAsia="仿宋_GB2312" w:cs="仿宋_GB2312"/>
          <w:sz w:val="32"/>
          <w:szCs w:val="32"/>
          <w:u w:val="none"/>
        </w:rPr>
        <w:t>万元</w:t>
      </w:r>
      <w:r>
        <w:rPr>
          <w:rFonts w:hint="eastAsia" w:ascii="仿宋_GB2312" w:hAnsi="黑体" w:eastAsia="仿宋_GB2312"/>
          <w:sz w:val="32"/>
          <w:szCs w:val="32"/>
          <w:u w:val="none"/>
        </w:rPr>
        <w:t>。</w:t>
      </w:r>
    </w:p>
    <w:p w14:paraId="189B087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14:paraId="232E872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屯昌县屯昌小学2026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2913.46</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18.14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0.62</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lang w:val="en-US" w:eastAsia="zh-CN"/>
        </w:rPr>
        <w:t>2895.31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99.38</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u w:val="none"/>
        </w:rPr>
        <w:t>比上年预算数减少483.4万元，主要是2026年的课后服务费目前还未做预算以及有人员退休和离职</w:t>
      </w:r>
      <w:r>
        <w:rPr>
          <w:rFonts w:hint="eastAsia" w:ascii="仿宋_GB2312" w:hAnsi="黑体" w:eastAsia="仿宋_GB2312"/>
          <w:sz w:val="32"/>
          <w:szCs w:val="32"/>
          <w:u w:val="none"/>
        </w:rPr>
        <w:t>。</w:t>
      </w:r>
    </w:p>
    <w:p w14:paraId="14578DE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14:paraId="50D437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0" w:lineRule="exact"/>
        <w:ind w:left="0" w:right="0"/>
        <w:jc w:val="both"/>
        <w:textAlignment w:val="auto"/>
        <w:rPr>
          <w:sz w:val="32"/>
          <w:szCs w:val="32"/>
        </w:rPr>
      </w:pPr>
      <w:r>
        <w:rPr>
          <w:rFonts w:hint="eastAsia" w:ascii="仿宋_GB2312" w:hAnsi="黑体" w:eastAsia="仿宋_GB2312" w:cs="仿宋_GB2312"/>
          <w:sz w:val="32"/>
          <w:szCs w:val="32"/>
          <w:u w:val="none"/>
          <w:lang w:val="en-US" w:eastAsia="zh-CN"/>
        </w:rPr>
        <w:t>屯昌县屯昌小学2026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2913.46</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2893.01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99.3</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20.45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0.7</w:t>
      </w:r>
      <w:r>
        <w:rPr>
          <w:rFonts w:hint="eastAsia" w:ascii="仿宋_GB2312" w:hAnsi="黑体" w:eastAsia="仿宋_GB2312"/>
          <w:sz w:val="32"/>
          <w:szCs w:val="32"/>
          <w:u w:val="none"/>
        </w:rPr>
        <w:t>%。比上年预算数减少483.4万元，主要是2026年的课后服务费目前还未做预算以及有人员退休和离职。</w:t>
      </w:r>
    </w:p>
    <w:p w14:paraId="702D65E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14:paraId="60A06B2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0824CE3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rPr>
        <w:t>××的机关运行经费预算××</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cs="仿宋_GB2312"/>
          <w:sz w:val="32"/>
          <w:szCs w:val="32"/>
          <w:u w:val="none"/>
        </w:rPr>
        <w:t>增加××</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ascii="仿宋_GB2312" w:hAnsi="黑体" w:eastAsia="仿宋_GB2312"/>
          <w:sz w:val="32"/>
          <w:szCs w:val="32"/>
          <w:u w:val="none"/>
        </w:rPr>
        <w:t>……</w:t>
      </w:r>
      <w:r>
        <w:rPr>
          <w:rFonts w:hint="eastAsia" w:ascii="仿宋_GB2312" w:hAnsi="黑体" w:eastAsia="仿宋_GB2312"/>
          <w:sz w:val="32"/>
          <w:szCs w:val="32"/>
          <w:u w:val="none"/>
        </w:rPr>
        <w:t>。</w:t>
      </w:r>
    </w:p>
    <w:p w14:paraId="259D991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14:paraId="5EEBA87B">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2026年屯昌县屯昌小学无政府采购预算</w:t>
      </w:r>
      <w:r>
        <w:rPr>
          <w:rFonts w:hint="eastAsia" w:ascii="仿宋_GB2312" w:hAnsi="黑体" w:eastAsia="仿宋_GB2312"/>
          <w:sz w:val="32"/>
          <w:szCs w:val="32"/>
          <w:u w:val="none"/>
        </w:rPr>
        <w:t>。</w:t>
      </w:r>
    </w:p>
    <w:p w14:paraId="1901213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（三）国有资产占有使用情况</w:t>
      </w:r>
    </w:p>
    <w:p w14:paraId="219801C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bookmarkStart w:id="0" w:name="_GoBack"/>
      <w:bookmarkEnd w:id="0"/>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u w:val="none"/>
        </w:rPr>
        <w:t>屯昌县屯昌小学共有车辆0辆，单位价值100万元以上设备0台（套）。</w:t>
      </w:r>
    </w:p>
    <w:p w14:paraId="54396B8E">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30785CA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仿宋_GBK" w:hAnsi="方正仿宋_GBK" w:eastAsia="方正仿宋_GBK" w:cs="方正仿宋_GBK"/>
          <w:b w:val="0"/>
          <w:bCs/>
          <w:sz w:val="32"/>
          <w:szCs w:val="32"/>
          <w:u w:val="none"/>
          <w:lang w:eastAsia="zh-CN"/>
        </w:rPr>
      </w:pPr>
      <w:r>
        <w:rPr>
          <w:rFonts w:hint="eastAsia" w:ascii="仿宋_GB2312" w:hAnsi="黑体" w:eastAsia="仿宋_GB2312" w:cs="仿宋_GB2312"/>
          <w:sz w:val="32"/>
          <w:szCs w:val="32"/>
          <w:u w:val="none"/>
          <w:lang w:val="en-US" w:eastAsia="zh-CN"/>
        </w:rPr>
        <w:t>2026年屯昌县屯昌小学12个项目实行绩效目标管理，涉及一般公共预算2913.46万元、政府性基金0万元。</w:t>
      </w:r>
    </w:p>
    <w:p w14:paraId="4AE025EC">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lang w:eastAsia="zh-CN"/>
        </w:rPr>
      </w:pPr>
    </w:p>
    <w:p w14:paraId="7C6341C8">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47CE7BB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14:paraId="0E83469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14:paraId="2EB31F6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14:paraId="3751C7A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14:paraId="2AA18FA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14:paraId="7270248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14:paraId="01ABB55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14:paraId="1322066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14:paraId="76ACA20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14:paraId="6352BB1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14:paraId="3816EEC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14:paraId="11347BD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26D4E6D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14:paraId="3D4B12F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14:paraId="1605945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26C83E7C">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14:paraId="219B1382"/>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52F5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569729">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9264;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7M5a7tMAAAAEAQAADwAAAAAAAAABACAAAAAiAAAAZHJzL2Rvd25yZXYueG1s&#10;UEsBAhQAFAAAAAgAh07iQIWn1LU2AgAAYQQAAA4AAAAAAAAAAQAgAAAAIgEAAGRycy9lMm9Eb2Mu&#10;eG1sUEsFBgAAAAAGAAYAWQEAAMoFAAAAAA==&#10;">
              <v:fill on="f" focussize="0,0"/>
              <v:stroke on="f" weight="0.5pt"/>
              <v:imagedata o:title=""/>
              <o:lock v:ext="edit" aspectratio="f"/>
              <v:textbox inset="0mm,0mm,0mm,0mm">
                <w:txbxContent>
                  <w:p w14:paraId="21569729">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mY2JmNDJmNzBmMTc5M2I3MTU0YmY5NjNlYzhkMzQifQ=="/>
  </w:docVars>
  <w:rsids>
    <w:rsidRoot w:val="0D7F66E0"/>
    <w:rsid w:val="066D2E24"/>
    <w:rsid w:val="0D017E57"/>
    <w:rsid w:val="0D7F66E0"/>
    <w:rsid w:val="0E5D6D93"/>
    <w:rsid w:val="19DF151F"/>
    <w:rsid w:val="1FEC1A12"/>
    <w:rsid w:val="22BD15D6"/>
    <w:rsid w:val="2D85777C"/>
    <w:rsid w:val="415D6A9A"/>
    <w:rsid w:val="70C86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10</Pages>
  <Words>3331</Words>
  <Characters>3700</Characters>
  <Lines>0</Lines>
  <Paragraphs>0</Paragraphs>
  <TotalTime>0</TotalTime>
  <ScaleCrop>false</ScaleCrop>
  <LinksUpToDate>false</LinksUpToDate>
  <CharactersWithSpaces>3721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Administrator</cp:lastModifiedBy>
  <dcterms:modified xsi:type="dcterms:W3CDTF">2026-03-07T09:43:43Z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8C73EEE2A0534DE781332384A5D6B46C_12</vt:lpwstr>
  </property>
</Properties>
</file>