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jc w:val="center"/>
        <w:rPr>
          <w:rFonts w:hint="eastAsia" w:ascii="方正小标宋简体" w:hAnsi="方正小标宋简体" w:eastAsia="方正小标宋简体" w:cs="方正小标宋简体"/>
          <w:sz w:val="52"/>
          <w:szCs w:val="52"/>
          <w:lang w:val="en-US"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val="en-US" w:eastAsia="zh-CN"/>
        </w:rPr>
        <w:t>屯昌县屯城镇中心幼儿园</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8"/>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黑体" w:hAnsi="黑体" w:eastAsia="黑体" w:cs="黑体"/>
          <w:sz w:val="32"/>
          <w:szCs w:val="32"/>
          <w:lang w:eastAsia="zh-CN"/>
        </w:rPr>
        <w:t>屯昌县屯城镇中心幼儿园</w:t>
      </w:r>
      <w:r>
        <w:rPr>
          <w:rFonts w:hint="eastAsia" w:ascii="方正黑体_GBK" w:hAnsi="方正黑体_GBK" w:eastAsia="方正黑体_GBK" w:cs="方正黑体_GBK"/>
          <w:sz w:val="32"/>
          <w:szCs w:val="32"/>
          <w:u w:val="none"/>
        </w:rPr>
        <w:t>概况</w:t>
      </w:r>
    </w:p>
    <w:p>
      <w:pPr>
        <w:pStyle w:val="8"/>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8"/>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8"/>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pPr>
        <w:pStyle w:val="8"/>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8"/>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8"/>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8"/>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8"/>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8"/>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8"/>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8"/>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8"/>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8"/>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8"/>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8"/>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8"/>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pStyle w:val="8"/>
        <w:spacing w:line="560" w:lineRule="exact"/>
        <w:ind w:left="1320" w:firstLine="0" w:firstLineChars="0"/>
        <w:jc w:val="left"/>
        <w:rPr>
          <w:rFonts w:ascii="黑体" w:hAnsi="黑体" w:eastAsia="黑体"/>
          <w:sz w:val="32"/>
          <w:szCs w:val="32"/>
          <w:u w:val="none"/>
        </w:rPr>
      </w:pPr>
    </w:p>
    <w:p>
      <w:pPr>
        <w:jc w:val="center"/>
        <w:rPr>
          <w:rFonts w:hint="eastAsia" w:ascii="方正黑体_GBK" w:hAnsi="方正黑体_GBK" w:eastAsia="方正黑体_GBK" w:cs="方正黑体_GBK"/>
          <w:sz w:val="32"/>
          <w:szCs w:val="32"/>
          <w:u w:val="none"/>
        </w:rPr>
      </w:pPr>
      <w:r>
        <w:rPr>
          <w:rFonts w:ascii="黑体" w:hAnsi="黑体" w:eastAsia="黑体"/>
          <w:sz w:val="32"/>
          <w:szCs w:val="32"/>
          <w:u w:val="none"/>
        </w:rPr>
        <w:br w:type="page"/>
      </w: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黑体" w:hAnsi="黑体" w:eastAsia="黑体" w:cs="黑体"/>
          <w:sz w:val="32"/>
          <w:szCs w:val="32"/>
          <w:lang w:eastAsia="zh-CN"/>
        </w:rPr>
        <w:t>屯昌县屯城镇中心幼儿园</w:t>
      </w:r>
      <w:r>
        <w:rPr>
          <w:rFonts w:hint="eastAsia" w:ascii="方正黑体_GBK" w:hAnsi="方正黑体_GBK" w:eastAsia="方正黑体_GBK" w:cs="方正黑体_GBK"/>
          <w:sz w:val="32"/>
          <w:szCs w:val="32"/>
          <w:u w:val="none"/>
        </w:rPr>
        <w:t>概况</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pPr>
        <w:pStyle w:val="8"/>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pPr>
        <w:pStyle w:val="9"/>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（一）实行保育和教育相结合的原则，为家长解除后顾之忧，</w:t>
      </w:r>
    </w:p>
    <w:p>
      <w:pPr>
        <w:pStyle w:val="9"/>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热忧为家长服务。</w:t>
      </w:r>
    </w:p>
    <w:p>
      <w:pPr>
        <w:pStyle w:val="9"/>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（二）为儿童提供健康、丰富的生活和活动环境，促进幼儿体智德美等和谐发展，全面实施素质教育。</w:t>
      </w:r>
    </w:p>
    <w:p>
      <w:pPr>
        <w:pStyle w:val="9"/>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（三）严格执行幼儿园安全、卫生保健制度，保证幼儿身心健康和生命安全。</w:t>
      </w:r>
    </w:p>
    <w:p>
      <w:pPr>
        <w:pStyle w:val="9"/>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（四）充分利用幼儿和社区的资源优势，面向家长开展多种形式的早期教育宣传、指导等服务，促进家庭教育质量的不断提高。</w:t>
      </w:r>
    </w:p>
    <w:p>
      <w:pPr>
        <w:pStyle w:val="9"/>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（五）贯彻幼儿教育法规、传播科学教育理念、开展教育科学研究、培训师资，发挥示范性幼儿园的示范、辐射作用。</w:t>
      </w:r>
    </w:p>
    <w:p>
      <w:pPr>
        <w:pStyle w:val="9"/>
        <w:ind w:firstLine="0" w:firstLineChars="0"/>
        <w:jc w:val="left"/>
        <w:rPr>
          <w:rFonts w:ascii="仿宋_GB2312" w:hAnsi="黑体" w:eastAsia="仿宋_GB2312" w:cs="仿宋_GB2312"/>
          <w:sz w:val="32"/>
          <w:szCs w:val="32"/>
        </w:rPr>
      </w:pPr>
      <w:r>
        <w:rPr>
          <w:rFonts w:hint="eastAsia" w:ascii="仿宋_GB2312" w:hAnsi="黑体" w:eastAsia="仿宋_GB2312" w:cs="仿宋_GB2312"/>
          <w:sz w:val="32"/>
          <w:szCs w:val="32"/>
        </w:rPr>
        <w:t>（六）承办上级主管部门交办的其他工作。</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黑体" w:hAnsi="黑体" w:eastAsia="黑体" w:cs="仿宋_GB2312"/>
          <w:sz w:val="32"/>
          <w:szCs w:val="32"/>
          <w:highlight w:val="none"/>
          <w:u w:val="none"/>
          <w:lang w:eastAsia="zh-CN"/>
        </w:rPr>
        <w:t>二、机构设置</w:t>
      </w:r>
    </w:p>
    <w:p>
      <w:pPr>
        <w:keepNext w:val="0"/>
        <w:keepLines w:val="0"/>
        <w:pageBreakBefore w:val="0"/>
        <w:widowControl/>
        <w:suppressLineNumbers w:val="0"/>
        <w:kinsoku/>
        <w:wordWrap/>
        <w:overflowPunct/>
        <w:topLinePunct w:val="0"/>
        <w:autoSpaceDE/>
        <w:autoSpaceDN/>
        <w:bidi w:val="0"/>
        <w:adjustRightInd/>
        <w:spacing w:line="590" w:lineRule="exact"/>
        <w:ind w:left="0" w:leftChars="0" w:right="0" w:rightChars="0" w:firstLine="640" w:firstLineChars="200"/>
        <w:textAlignment w:val="auto"/>
        <w:outlineLvl w:val="9"/>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r>
        <w:rPr>
          <w:rFonts w:hint="eastAsia" w:ascii="仿宋" w:hAnsi="仿宋" w:eastAsia="仿宋" w:cs="仿宋"/>
          <w:b w:val="0"/>
          <w:kern w:val="0"/>
          <w:sz w:val="32"/>
          <w:szCs w:val="32"/>
        </w:rPr>
        <w:t>屯昌县屯城镇中心幼儿园内设行政组织机构、食品安全组织机构、保健组、保教组、</w:t>
      </w:r>
      <w:r>
        <w:rPr>
          <w:rFonts w:hint="eastAsia" w:ascii="仿宋" w:hAnsi="仿宋" w:eastAsia="仿宋" w:cs="仿宋"/>
          <w:b w:val="0"/>
          <w:kern w:val="0"/>
          <w:sz w:val="32"/>
          <w:szCs w:val="32"/>
          <w:lang w:val="en-US" w:eastAsia="zh-CN"/>
        </w:rPr>
        <w:t>后勤</w:t>
      </w:r>
      <w:r>
        <w:rPr>
          <w:rFonts w:hint="eastAsia" w:ascii="仿宋" w:hAnsi="仿宋" w:eastAsia="仿宋" w:cs="仿宋"/>
          <w:b w:val="0"/>
          <w:kern w:val="0"/>
          <w:sz w:val="32"/>
          <w:szCs w:val="32"/>
        </w:rPr>
        <w:t>组、党支部、工会、教代会。</w:t>
      </w:r>
      <w:r>
        <w:rPr>
          <w:rFonts w:hint="eastAsia" w:ascii="仿宋" w:hAnsi="仿宋" w:eastAsia="仿宋" w:cs="仿宋"/>
          <w:b w:val="0"/>
          <w:kern w:val="0"/>
          <w:sz w:val="32"/>
          <w:szCs w:val="32"/>
          <w:lang w:val="en-US" w:eastAsia="zh-CN"/>
        </w:rPr>
        <w:t>创建于2019年，建筑面积为5357.88平方米。</w:t>
      </w:r>
      <w:r>
        <w:rPr>
          <w:rFonts w:hint="eastAsia" w:ascii="黑体" w:hAnsi="宋体" w:eastAsia="黑体" w:cs="黑体"/>
          <w:kern w:val="0"/>
          <w:sz w:val="32"/>
          <w:szCs w:val="32"/>
          <w:shd w:val="clear" w:color="auto" w:fill="FFFFFF"/>
        </w:rPr>
        <w:t xml:space="preserve"> </w:t>
      </w:r>
    </w:p>
    <w:p>
      <w:pPr>
        <w:pStyle w:val="8"/>
        <w:ind w:left="0" w:leftChars="0" w:firstLine="640" w:firstLineChars="200"/>
        <w:rPr>
          <w:rFonts w:hint="eastAsia" w:ascii="仿宋_GB2312" w:hAnsi="黑体" w:eastAsia="仿宋_GB2312" w:cs="仿宋_GB2312"/>
          <w:sz w:val="32"/>
          <w:szCs w:val="32"/>
          <w:lang w:eastAsia="zh-CN"/>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rPr>
        <w:t>纳入屯昌县屯城镇中心幼儿园</w:t>
      </w:r>
      <w:r>
        <w:rPr>
          <w:rFonts w:hint="eastAsia" w:ascii="仿宋_GB2312" w:hAnsi="黑体" w:eastAsia="仿宋_GB2312" w:cs="仿宋_GB2312"/>
          <w:sz w:val="32"/>
          <w:szCs w:val="32"/>
          <w:lang w:val="en-US" w:eastAsia="zh-CN"/>
        </w:rPr>
        <w:t>2026</w:t>
      </w:r>
      <w:r>
        <w:rPr>
          <w:rFonts w:hint="eastAsia" w:ascii="仿宋_GB2312" w:hAnsi="黑体" w:eastAsia="仿宋_GB2312" w:cs="仿宋_GB2312"/>
          <w:sz w:val="32"/>
          <w:szCs w:val="32"/>
        </w:rPr>
        <w:t>年部门预算编制范围的二级预算单位包括：屯昌县屯城镇中心幼儿园</w:t>
      </w:r>
      <w:r>
        <w:rPr>
          <w:rFonts w:hint="eastAsia" w:ascii="仿宋_GB2312" w:hAnsi="黑体" w:eastAsia="仿宋_GB2312" w:cs="仿宋_GB2312"/>
          <w:sz w:val="32"/>
          <w:szCs w:val="32"/>
          <w:lang w:eastAsia="zh-CN"/>
        </w:rPr>
        <w:t>。</w:t>
      </w:r>
    </w:p>
    <w:p>
      <w:pPr>
        <w:pStyle w:val="8"/>
        <w:keepNext w:val="0"/>
        <w:keepLines w:val="0"/>
        <w:pageBreakBefore w:val="0"/>
        <w:numPr>
          <w:ilvl w:val="-1"/>
          <w:numId w:val="0"/>
        </w:numPr>
        <w:kinsoku/>
        <w:wordWrap/>
        <w:overflowPunct/>
        <w:topLinePunct w:val="0"/>
        <w:autoSpaceDE/>
        <w:autoSpaceDN/>
        <w:bidi w:val="0"/>
        <w:adjustRightInd/>
        <w:snapToGrid/>
        <w:spacing w:line="590" w:lineRule="exact"/>
        <w:jc w:val="both"/>
        <w:textAlignment w:val="auto"/>
        <w:rPr>
          <w:rFonts w:ascii="仿宋_GB2312" w:hAnsi="黑体" w:eastAsia="仿宋_GB2312" w:cs="仿宋_GB2312"/>
          <w:sz w:val="32"/>
          <w:szCs w:val="32"/>
          <w:highlight w:val="yellow"/>
          <w:u w:val="none"/>
        </w:rPr>
      </w:pPr>
    </w:p>
    <w:p>
      <w:pPr>
        <w:pStyle w:val="8"/>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 w:hAnsi="仿宋" w:eastAsia="仿宋" w:cs="仿宋"/>
          <w:sz w:val="32"/>
          <w:szCs w:val="32"/>
          <w:lang w:eastAsia="zh-CN"/>
        </w:rPr>
        <w:t>屯昌县屯城镇中心幼儿园</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rPr>
        <w:t>353.86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eastAsia="zh-CN"/>
        </w:rPr>
        <w:t>减少</w:t>
      </w:r>
      <w:r>
        <w:rPr>
          <w:rFonts w:hint="eastAsia" w:ascii="仿宋_GB2312" w:hAnsi="黑体" w:eastAsia="仿宋_GB2312" w:cs="仿宋_GB2312"/>
          <w:sz w:val="32"/>
          <w:szCs w:val="32"/>
          <w:u w:val="none"/>
          <w:lang w:val="en-US" w:eastAsia="zh-CN"/>
        </w:rPr>
        <w:t>73.27</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主要是</w:t>
      </w:r>
      <w:r>
        <w:rPr>
          <w:rFonts w:hint="eastAsia" w:ascii="仿宋_GB2312" w:hAnsi="黑体" w:eastAsia="仿宋_GB2312"/>
          <w:sz w:val="32"/>
          <w:szCs w:val="32"/>
          <w:lang w:val="en-US" w:eastAsia="zh-CN"/>
        </w:rPr>
        <w:t>社会保险、住房保障</w:t>
      </w:r>
      <w:r>
        <w:rPr>
          <w:rFonts w:hint="eastAsia" w:ascii="仿宋_GB2312" w:hAnsi="黑体" w:eastAsia="仿宋_GB2312"/>
          <w:sz w:val="32"/>
          <w:szCs w:val="32"/>
          <w:lang w:eastAsia="zh-CN"/>
        </w:rPr>
        <w:t>减少</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sz w:val="32"/>
          <w:szCs w:val="32"/>
          <w:u w:val="none"/>
        </w:rPr>
        <w:t>353.86</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336.8</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rPr>
        <w:t>17.06</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sz w:val="32"/>
          <w:szCs w:val="32"/>
          <w:u w:val="none"/>
        </w:rPr>
        <w:t>353.86</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万元、教育支出251.93万元</w:t>
      </w:r>
      <w:r>
        <w:rPr>
          <w:rFonts w:hint="eastAsia" w:ascii="仿宋_GB2312" w:hAnsi="黑体" w:eastAsia="仿宋_GB2312"/>
          <w:sz w:val="32"/>
          <w:szCs w:val="32"/>
          <w:u w:val="none"/>
          <w:lang w:eastAsia="zh-CN"/>
        </w:rPr>
        <w:t>、社会保障和就业支出49.43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、卫生健康支出30.33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、住房保障支出22.17</w:t>
      </w:r>
      <w:r>
        <w:rPr>
          <w:rFonts w:hint="eastAsia" w:ascii="仿宋_GB2312" w:hAnsi="黑体" w:eastAsia="仿宋_GB2312"/>
          <w:sz w:val="32"/>
          <w:szCs w:val="32"/>
          <w:u w:val="none"/>
        </w:rPr>
        <w:t>万元，结转下年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二、一般公共预算当年拨款情况说明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 w:hAnsi="仿宋" w:eastAsia="仿宋" w:cs="仿宋"/>
          <w:sz w:val="32"/>
          <w:szCs w:val="32"/>
          <w:lang w:eastAsia="zh-CN"/>
        </w:rPr>
        <w:t>屯昌县屯城镇中心幼儿园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sz w:val="32"/>
          <w:szCs w:val="32"/>
          <w:u w:val="none"/>
        </w:rPr>
        <w:t>336.8</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55.29</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2026年</w:t>
      </w:r>
      <w:r>
        <w:rPr>
          <w:rFonts w:hint="eastAsia" w:ascii="仿宋_GB2312" w:hAnsi="黑体" w:eastAsia="仿宋_GB2312"/>
          <w:sz w:val="32"/>
          <w:szCs w:val="32"/>
          <w:u w:val="none"/>
          <w:lang w:eastAsia="zh-CN"/>
        </w:rPr>
        <w:t>没有工程项目。</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（二）一般公共预算当年拨款结构情况</w:t>
      </w:r>
    </w:p>
    <w:p>
      <w:pPr>
        <w:spacing w:line="578"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支出251.93</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71.19</w:t>
      </w:r>
      <w:r>
        <w:rPr>
          <w:rFonts w:hint="eastAsia" w:ascii="仿宋_GB2312" w:hAnsi="黑体" w:eastAsia="仿宋_GB2312"/>
          <w:sz w:val="32"/>
          <w:szCs w:val="32"/>
          <w:u w:val="none"/>
        </w:rPr>
        <w:t>%；</w:t>
      </w:r>
      <w:r>
        <w:rPr>
          <w:rFonts w:hint="eastAsia" w:ascii="仿宋_GB2312" w:hAnsi="黑体" w:eastAsia="仿宋_GB2312"/>
          <w:sz w:val="32"/>
          <w:szCs w:val="32"/>
        </w:rPr>
        <w:t>科学技术（类）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 社会保障和就业支出</w:t>
      </w:r>
      <w:r>
        <w:rPr>
          <w:rFonts w:hint="eastAsia" w:ascii="仿宋_GB2312" w:hAnsi="黑体" w:eastAsia="仿宋_GB2312"/>
          <w:sz w:val="32"/>
          <w:szCs w:val="32"/>
          <w:u w:val="none"/>
          <w:lang w:eastAsia="zh-CN"/>
        </w:rPr>
        <w:t>49.43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13.97</w:t>
      </w:r>
      <w:r>
        <w:rPr>
          <w:rFonts w:hint="eastAsia" w:ascii="仿宋_GB2312" w:hAnsi="黑体" w:eastAsia="仿宋_GB2312"/>
          <w:sz w:val="32"/>
          <w:szCs w:val="32"/>
        </w:rPr>
        <w:t>%</w:t>
      </w:r>
      <w:r>
        <w:rPr>
          <w:rFonts w:hint="eastAsia" w:ascii="仿宋_GB2312" w:hAnsi="黑体" w:eastAsia="仿宋_GB2312"/>
          <w:sz w:val="32"/>
          <w:szCs w:val="32"/>
          <w:lang w:eastAsia="zh-CN"/>
        </w:rPr>
        <w:t>；</w:t>
      </w:r>
      <w:r>
        <w:rPr>
          <w:rFonts w:hint="eastAsia" w:ascii="仿宋_GB2312" w:hAnsi="黑体" w:eastAsia="仿宋_GB2312"/>
          <w:sz w:val="32"/>
          <w:szCs w:val="32"/>
        </w:rPr>
        <w:t> 卫生健康支出</w:t>
      </w:r>
      <w:r>
        <w:rPr>
          <w:rFonts w:hint="eastAsia" w:ascii="仿宋_GB2312" w:hAnsi="黑体" w:eastAsia="仿宋_GB2312"/>
          <w:sz w:val="32"/>
          <w:szCs w:val="32"/>
          <w:u w:val="none"/>
          <w:lang w:eastAsia="zh-CN"/>
        </w:rPr>
        <w:t>30.33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8.57</w:t>
      </w:r>
      <w:r>
        <w:rPr>
          <w:rFonts w:hint="eastAsia" w:ascii="仿宋_GB2312" w:hAnsi="黑体" w:eastAsia="仿宋_GB2312"/>
          <w:sz w:val="32"/>
          <w:szCs w:val="32"/>
        </w:rPr>
        <w:t>%；住房保障支出</w:t>
      </w:r>
      <w:r>
        <w:rPr>
          <w:rFonts w:hint="eastAsia" w:ascii="仿宋_GB2312" w:hAnsi="黑体" w:eastAsia="仿宋_GB2312"/>
          <w:sz w:val="32"/>
          <w:szCs w:val="32"/>
          <w:u w:val="none"/>
          <w:lang w:eastAsia="zh-CN"/>
        </w:rPr>
        <w:t>22.17</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6.27</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1.一般公共服务（类）人大事务（款）行政运行（项）</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与上年持平。</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方正仿宋_GBK" w:hAnsi="方正仿宋_GBK" w:eastAsia="方正仿宋_GBK" w:cs="方正仿宋_GBK"/>
          <w:sz w:val="32"/>
          <w:szCs w:val="32"/>
          <w:u w:val="none"/>
        </w:rPr>
      </w:pPr>
      <w:r>
        <w:rPr>
          <w:rFonts w:hint="eastAsia" w:ascii="仿宋_GB2312" w:hAnsi="黑体" w:eastAsia="仿宋_GB2312"/>
          <w:sz w:val="32"/>
          <w:szCs w:val="32"/>
          <w:u w:val="none"/>
        </w:rPr>
        <w:t>2. 一般公共服务（类）人大事务（款）一般行政管理事务（项）</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与上年持平。</w:t>
      </w:r>
    </w:p>
    <w:p>
      <w:pPr>
        <w:ind w:firstLine="640" w:firstLineChars="200"/>
        <w:jc w:val="both"/>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_GB2312" w:hAnsi="黑体" w:eastAsia="仿宋_GB2312" w:cs="仿宋_GB2312"/>
          <w:sz w:val="32"/>
          <w:szCs w:val="32"/>
        </w:rPr>
        <w:t>教育支出（类）普通教育（款）学期教育（项）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w:t>
      </w:r>
      <w:r>
        <w:rPr>
          <w:rFonts w:hint="eastAsia" w:ascii="仿宋_GB2312" w:hAnsi="黑体" w:eastAsia="仿宋_GB2312"/>
          <w:sz w:val="32"/>
          <w:szCs w:val="32"/>
        </w:rPr>
        <w:t>预算数为</w:t>
      </w:r>
      <w:r>
        <w:rPr>
          <w:rFonts w:hint="eastAsia" w:ascii="仿宋_GB2312" w:hAnsi="黑体" w:eastAsia="仿宋_GB2312" w:cs="仿宋_GB2312"/>
          <w:sz w:val="32"/>
          <w:szCs w:val="32"/>
          <w:u w:val="none"/>
        </w:rPr>
        <w:t>353.86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lang w:eastAsia="zh-CN"/>
        </w:rPr>
        <w:t>减少</w:t>
      </w:r>
      <w:r>
        <w:rPr>
          <w:rFonts w:hint="eastAsia" w:ascii="仿宋_GB2312" w:hAnsi="黑体" w:eastAsia="仿宋_GB2312" w:cs="仿宋_GB2312"/>
          <w:sz w:val="32"/>
          <w:szCs w:val="32"/>
          <w:u w:val="none"/>
          <w:lang w:val="en-US" w:eastAsia="zh-CN"/>
        </w:rPr>
        <w:t>73.27</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，主要是</w:t>
      </w:r>
      <w:r>
        <w:rPr>
          <w:rFonts w:hint="eastAsia" w:ascii="仿宋_GB2312" w:hAnsi="黑体" w:eastAsia="仿宋_GB2312"/>
          <w:sz w:val="32"/>
          <w:szCs w:val="32"/>
          <w:lang w:val="en-US" w:eastAsia="zh-CN"/>
        </w:rPr>
        <w:t>社会保险、住房保障</w:t>
      </w:r>
      <w:r>
        <w:rPr>
          <w:rFonts w:hint="eastAsia" w:ascii="仿宋_GB2312" w:hAnsi="黑体" w:eastAsia="仿宋_GB2312"/>
          <w:sz w:val="32"/>
          <w:szCs w:val="32"/>
          <w:lang w:eastAsia="zh-CN"/>
        </w:rPr>
        <w:t>减少</w:t>
      </w:r>
      <w:r>
        <w:rPr>
          <w:rFonts w:hint="eastAsia" w:ascii="仿宋_GB2312" w:hAnsi="黑体" w:eastAsia="仿宋_GB2312"/>
          <w:color w:val="auto"/>
          <w:sz w:val="32"/>
          <w:szCs w:val="32"/>
          <w:highlight w:val="none"/>
          <w:u w:val="none"/>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三、一般公共预算基本支出情况说明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 w:hAnsi="仿宋" w:eastAsia="仿宋" w:cs="仿宋"/>
          <w:sz w:val="32"/>
          <w:szCs w:val="32"/>
          <w:lang w:eastAsia="zh-CN"/>
        </w:rPr>
        <w:t>屯昌县屯城镇中心幼儿园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rPr>
        <w:t>336.70</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rPr>
        <w:t>334.34</w:t>
      </w:r>
      <w:r>
        <w:rPr>
          <w:rFonts w:hint="eastAsia" w:ascii="仿宋_GB2312" w:hAnsi="黑体" w:eastAsia="仿宋_GB2312"/>
          <w:sz w:val="32"/>
          <w:szCs w:val="32"/>
          <w:u w:val="none"/>
        </w:rPr>
        <w:t>万元，主要包括：基本工资、津贴补贴、奖金、社会保障缴费、</w:t>
      </w:r>
      <w:r>
        <w:rPr>
          <w:rFonts w:hint="eastAsia" w:ascii="仿宋" w:hAnsi="仿宋" w:eastAsia="仿宋" w:cs="仿宋"/>
          <w:sz w:val="32"/>
          <w:szCs w:val="32"/>
        </w:rPr>
        <w:t>、住房公积金</w:t>
      </w:r>
      <w:r>
        <w:rPr>
          <w:rFonts w:hint="eastAsia" w:ascii="仿宋" w:hAnsi="仿宋" w:eastAsia="仿宋" w:cs="仿宋"/>
          <w:sz w:val="32"/>
          <w:szCs w:val="32"/>
          <w:lang w:eastAsia="zh-CN"/>
        </w:rPr>
        <w:t>、</w:t>
      </w:r>
      <w:r>
        <w:rPr>
          <w:rFonts w:hint="eastAsia" w:ascii="仿宋" w:hAnsi="仿宋" w:eastAsia="仿宋" w:cs="仿宋"/>
          <w:sz w:val="32"/>
          <w:szCs w:val="32"/>
        </w:rPr>
        <w:t>医疗费</w:t>
      </w:r>
      <w:r>
        <w:rPr>
          <w:rFonts w:hint="eastAsia" w:ascii="仿宋_GB2312" w:hAnsi="黑体" w:eastAsia="仿宋_GB2312"/>
          <w:sz w:val="32"/>
          <w:szCs w:val="32"/>
          <w:lang w:eastAsia="zh-CN"/>
        </w:rPr>
        <w:t>等</w:t>
      </w:r>
      <w:r>
        <w:rPr>
          <w:rFonts w:hint="eastAsia" w:ascii="仿宋_GB2312" w:hAnsi="黑体" w:eastAsia="仿宋_GB2312"/>
          <w:sz w:val="32"/>
          <w:szCs w:val="32"/>
          <w:u w:val="none"/>
          <w:lang w:eastAsia="zh-CN"/>
        </w:rPr>
        <w:t>；</w:t>
      </w:r>
    </w:p>
    <w:p>
      <w:pPr>
        <w:spacing w:line="578" w:lineRule="exact"/>
        <w:ind w:firstLine="640" w:firstLineChars="200"/>
        <w:rPr>
          <w:rFonts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rPr>
        <w:t>2.37</w:t>
      </w:r>
      <w:r>
        <w:rPr>
          <w:rFonts w:hint="eastAsia" w:ascii="仿宋_GB2312" w:hAnsi="黑体" w:eastAsia="仿宋_GB2312"/>
          <w:sz w:val="32"/>
          <w:szCs w:val="32"/>
          <w:u w:val="none"/>
        </w:rPr>
        <w:t>万元，主要包括：办公费、咨询费、手续费、水费、电费、</w:t>
      </w:r>
      <w:r>
        <w:rPr>
          <w:rFonts w:hint="eastAsia" w:ascii="仿宋" w:hAnsi="仿宋" w:eastAsia="仿宋" w:cs="仿宋"/>
          <w:sz w:val="32"/>
          <w:szCs w:val="32"/>
        </w:rPr>
        <w:t>工会经费</w:t>
      </w:r>
      <w:r>
        <w:rPr>
          <w:rFonts w:hint="eastAsia" w:ascii="仿宋" w:hAnsi="仿宋" w:eastAsia="仿宋" w:cs="仿宋"/>
          <w:sz w:val="32"/>
          <w:szCs w:val="32"/>
          <w:lang w:eastAsia="zh-CN"/>
        </w:rPr>
        <w:t>等</w:t>
      </w:r>
      <w:r>
        <w:rPr>
          <w:rFonts w:hint="eastAsia" w:ascii="仿宋" w:hAnsi="仿宋" w:eastAsia="仿宋" w:cs="仿宋"/>
          <w:sz w:val="32"/>
          <w:szCs w:val="32"/>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（一）</w:t>
      </w:r>
      <w:r>
        <w:rPr>
          <w:rFonts w:hint="eastAsia" w:ascii="仿宋" w:hAnsi="仿宋" w:eastAsia="仿宋" w:cs="仿宋"/>
          <w:sz w:val="32"/>
          <w:szCs w:val="32"/>
          <w:lang w:eastAsia="zh-CN"/>
        </w:rPr>
        <w:t>屯昌县屯城镇中心幼儿园</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。根据</w:t>
      </w:r>
      <w:r>
        <w:rPr>
          <w:rFonts w:hint="eastAsia" w:ascii="仿宋_GB2312" w:hAnsi="黑体" w:eastAsia="仿宋_GB2312"/>
          <w:sz w:val="32"/>
          <w:szCs w:val="32"/>
          <w:u w:val="none"/>
          <w:lang w:eastAsia="zh-CN"/>
        </w:rPr>
        <w:t>屯昌县教育局</w:t>
      </w:r>
      <w:r>
        <w:rPr>
          <w:rFonts w:hint="eastAsia" w:ascii="仿宋_GB2312" w:hAnsi="黑体" w:eastAsia="仿宋_GB2312"/>
          <w:sz w:val="32"/>
          <w:szCs w:val="32"/>
          <w:u w:val="none"/>
        </w:rPr>
        <w:t>（如外事部门等）安排的出国计划，</w:t>
      </w:r>
      <w:r>
        <w:rPr>
          <w:rFonts w:hint="eastAsia" w:ascii="仿宋_GB2312" w:hAnsi="黑体" w:eastAsia="仿宋_GB2312"/>
          <w:sz w:val="32"/>
          <w:szCs w:val="32"/>
          <w:u w:val="none"/>
          <w:lang w:val="en-US" w:eastAsia="zh-CN"/>
        </w:rPr>
        <w:t>2026年</w:t>
      </w:r>
      <w:r>
        <w:rPr>
          <w:rFonts w:hint="eastAsia" w:ascii="仿宋_GB2312" w:hAnsi="黑体" w:eastAsia="仿宋_GB2312"/>
          <w:sz w:val="32"/>
          <w:szCs w:val="32"/>
          <w:u w:val="none"/>
        </w:rPr>
        <w:t>拟安排出国（境）团（组）</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次，出国（境）</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万元（其中，公务用车购置费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万元，公务用车运行费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公务车保有量</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辆，计划购置</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辆</w:t>
      </w:r>
      <w:r>
        <w:rPr>
          <w:rFonts w:hint="eastAsia" w:ascii="仿宋_GB2312" w:hAnsi="黑体" w:eastAsia="仿宋_GB2312"/>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（二）</w:t>
      </w:r>
      <w:r>
        <w:rPr>
          <w:rFonts w:hint="eastAsia" w:ascii="仿宋" w:hAnsi="仿宋" w:eastAsia="仿宋" w:cs="仿宋"/>
          <w:sz w:val="32"/>
          <w:szCs w:val="32"/>
          <w:lang w:eastAsia="zh-CN"/>
        </w:rPr>
        <w:t>屯昌县屯城镇中心幼儿园</w:t>
      </w:r>
      <w:r>
        <w:rPr>
          <w:rFonts w:hint="eastAsia" w:ascii="仿宋_GB2312" w:hAnsi="黑体" w:eastAsia="仿宋_GB2312"/>
          <w:sz w:val="32"/>
          <w:szCs w:val="32"/>
          <w:u w:val="none"/>
          <w:lang w:eastAsia="zh-CN"/>
        </w:rPr>
        <w:t>2</w:t>
      </w:r>
      <w:r>
        <w:rPr>
          <w:rFonts w:hint="eastAsia" w:ascii="仿宋_GB2312" w:hAnsi="黑体" w:eastAsia="仿宋_GB2312"/>
          <w:sz w:val="32"/>
          <w:szCs w:val="32"/>
          <w:u w:val="none"/>
          <w:lang w:val="en-US" w:eastAsia="zh-CN"/>
        </w:rPr>
        <w:t>026</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rPr>
        <w:t>因公出国（境）经费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公务用车购置及运行费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万元（其中，公务用车购置费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万元，公务用车运行费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公务接待费</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万元，与上年预算持平</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五、政府性基金预算当年拨款情况说明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 w:hAnsi="仿宋" w:eastAsia="仿宋" w:cs="仿宋"/>
          <w:sz w:val="32"/>
          <w:szCs w:val="32"/>
          <w:lang w:eastAsia="zh-CN"/>
        </w:rPr>
        <w:t>屯昌县屯城镇中心幼儿园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与上年持平。</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（二）政府性基金预算当年拨款结构情况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p>
    <w:p>
      <w:pPr>
        <w:keepNext w:val="0"/>
        <w:keepLines w:val="0"/>
        <w:pageBreakBefore w:val="0"/>
        <w:numPr>
          <w:ilvl w:val="0"/>
          <w:numId w:val="3"/>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eastAsia="zh-CN"/>
        </w:rPr>
        <w:t>国有资本经营预算当年拨款情况说明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 w:hAnsi="仿宋" w:eastAsia="仿宋" w:cs="仿宋"/>
          <w:sz w:val="32"/>
          <w:szCs w:val="32"/>
          <w:lang w:eastAsia="zh-CN"/>
        </w:rPr>
        <w:t>屯昌县屯城镇中心幼儿园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万元，比上年预算数</w:t>
      </w:r>
      <w:r>
        <w:rPr>
          <w:rFonts w:hint="eastAsia" w:ascii="仿宋_GB2312" w:hAnsi="黑体" w:eastAsia="仿宋_GB2312"/>
          <w:sz w:val="32"/>
          <w:szCs w:val="32"/>
          <w:u w:val="none"/>
          <w:lang w:eastAsia="zh-CN"/>
        </w:rPr>
        <w:t>与上年持平。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rPr>
        <w:t>收支预算总体情况说明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rPr>
        <w:t>屯昌县屯城镇中心幼儿园</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rPr>
        <w:t>353.86</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hint="eastAsia" w:ascii="仿宋_GB2312" w:hAnsi="黑体" w:eastAsia="仿宋_GB2312"/>
          <w:sz w:val="32"/>
          <w:szCs w:val="32"/>
          <w:highlight w:val="none"/>
          <w:u w:val="none"/>
        </w:rPr>
        <w:t>；支出包括：一般公共服务支出、外交支出、国防支出、公共安全支出、教育支出、</w:t>
      </w:r>
      <w:r>
        <w:rPr>
          <w:rFonts w:hint="eastAsia" w:ascii="仿宋_GB2312" w:hAnsi="黑体" w:eastAsia="仿宋_GB2312"/>
          <w:sz w:val="32"/>
          <w:szCs w:val="32"/>
          <w:u w:val="none"/>
        </w:rPr>
        <w:t>教育支出</w:t>
      </w:r>
      <w:r>
        <w:rPr>
          <w:rFonts w:hint="eastAsia" w:ascii="仿宋_GB2312" w:hAnsi="黑体" w:eastAsia="仿宋_GB2312"/>
          <w:sz w:val="32"/>
          <w:szCs w:val="32"/>
          <w:u w:val="none"/>
          <w:lang w:eastAsia="zh-CN"/>
        </w:rPr>
        <w:t>、社会保障和就业支出、卫生健康支出、住房保障支出</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、收入预算情况说明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rPr>
        <w:t>屯昌县屯城镇中心幼儿园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cs="仿宋_GB2312"/>
          <w:sz w:val="32"/>
          <w:szCs w:val="32"/>
          <w:u w:val="none"/>
        </w:rPr>
        <w:t>353.86</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rPr>
        <w:t>17.06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4.82</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rPr>
        <w:t>336.8</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95.18</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38.23</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，主要是</w:t>
      </w:r>
      <w:r>
        <w:rPr>
          <w:rFonts w:hint="eastAsia" w:ascii="仿宋_GB2312" w:hAnsi="黑体" w:eastAsia="仿宋_GB2312"/>
          <w:sz w:val="32"/>
          <w:szCs w:val="32"/>
          <w:lang w:val="en-US" w:eastAsia="zh-CN"/>
        </w:rPr>
        <w:t>社会保险、住房保障</w:t>
      </w:r>
      <w:r>
        <w:rPr>
          <w:rFonts w:hint="eastAsia" w:ascii="仿宋_GB2312" w:hAnsi="黑体" w:eastAsia="仿宋_GB2312"/>
          <w:sz w:val="32"/>
          <w:szCs w:val="32"/>
          <w:lang w:eastAsia="zh-CN"/>
        </w:rPr>
        <w:t>减少</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、支出预算情况说明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left="0" w:right="0" w:firstLine="640" w:firstLineChars="200"/>
        <w:jc w:val="both"/>
        <w:textAlignment w:val="auto"/>
        <w:rPr>
          <w:sz w:val="32"/>
          <w:szCs w:val="32"/>
        </w:rPr>
      </w:pPr>
      <w:r>
        <w:rPr>
          <w:rFonts w:hint="eastAsia" w:ascii="仿宋_GB2312" w:hAnsi="黑体" w:eastAsia="仿宋_GB2312" w:cs="仿宋_GB2312"/>
          <w:sz w:val="32"/>
          <w:szCs w:val="32"/>
        </w:rPr>
        <w:t>屯昌县屯城镇中心幼儿园</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rPr>
        <w:t>353.86</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rPr>
        <w:t>336.70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95.15</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17.16</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4.85</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55.36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主要是</w:t>
      </w:r>
      <w:r>
        <w:rPr>
          <w:rFonts w:hint="eastAsia" w:ascii="仿宋_GB2312" w:hAnsi="黑体" w:eastAsia="仿宋_GB2312"/>
          <w:sz w:val="32"/>
          <w:szCs w:val="32"/>
          <w:lang w:val="en-US" w:eastAsia="zh-CN"/>
        </w:rPr>
        <w:t>社会保险、住房保障</w:t>
      </w:r>
      <w:r>
        <w:rPr>
          <w:rFonts w:hint="eastAsia" w:ascii="仿宋_GB2312" w:hAnsi="黑体" w:eastAsia="仿宋_GB2312"/>
          <w:sz w:val="32"/>
          <w:szCs w:val="32"/>
          <w:lang w:eastAsia="zh-CN"/>
        </w:rPr>
        <w:t>减少</w:t>
      </w:r>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其中委托业务费预算总额0万元，比上年预算数与上年持平。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rPr>
        <w:t>屯昌县屯城镇中心幼儿园</w:t>
      </w:r>
      <w:r>
        <w:rPr>
          <w:rFonts w:hint="eastAsia" w:ascii="仿宋_GB2312" w:hAnsi="黑体" w:eastAsia="仿宋_GB2312" w:cs="仿宋_GB2312"/>
          <w:sz w:val="32"/>
          <w:szCs w:val="32"/>
          <w:u w:val="none"/>
        </w:rPr>
        <w:t>的机关运行经费预算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，比</w:t>
      </w:r>
      <w:r>
        <w:rPr>
          <w:rFonts w:hint="eastAsia" w:ascii="仿宋_GB2312" w:hAnsi="黑体" w:eastAsia="仿宋_GB2312"/>
          <w:sz w:val="32"/>
          <w:szCs w:val="32"/>
          <w:u w:val="none"/>
        </w:rPr>
        <w:t>上年预算数</w:t>
      </w:r>
      <w:r>
        <w:rPr>
          <w:rFonts w:hint="eastAsia" w:ascii="仿宋_GB2312" w:hAnsi="黑体" w:eastAsia="仿宋_GB2312"/>
          <w:sz w:val="32"/>
          <w:szCs w:val="32"/>
          <w:u w:val="none"/>
          <w:lang w:eastAsia="zh-CN"/>
        </w:rPr>
        <w:t>与上年持平</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rPr>
        <w:t>屯昌县屯城镇中心幼儿园</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_GB2312" w:hAnsi="黑体" w:eastAsia="仿宋_GB2312" w:cs="仿宋_GB2312"/>
          <w:sz w:val="32"/>
          <w:szCs w:val="32"/>
        </w:rPr>
        <w:t>屯昌县屯城镇中心幼儿园</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cs="仿宋_GB2312"/>
          <w:sz w:val="32"/>
          <w:szCs w:val="32"/>
        </w:rPr>
        <w:t>屯昌县屯城镇中心幼儿园</w:t>
      </w: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353.86</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sz w:val="32"/>
          <w:szCs w:val="32"/>
          <w:u w:val="none"/>
          <w:lang w:eastAsia="zh-CN"/>
        </w:rPr>
        <w:t>其中，重点项目预算绩效情况：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sz w:val="32"/>
          <w:szCs w:val="32"/>
          <w:u w:val="none"/>
          <w:lang w:val="en-US" w:eastAsia="zh-CN"/>
        </w:rPr>
        <w:t>1.</w:t>
      </w:r>
      <w:r>
        <w:rPr>
          <w:rFonts w:hint="eastAsia" w:ascii="仿宋_GB2312" w:hAnsi="黑体" w:eastAsia="仿宋_GB2312" w:cs="仿宋_GB2312"/>
          <w:sz w:val="32"/>
          <w:szCs w:val="32"/>
          <w:u w:val="none"/>
        </w:rPr>
        <w:t>教育支出</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251.93</w:t>
      </w:r>
      <w:r>
        <w:rPr>
          <w:rFonts w:hint="eastAsia" w:ascii="仿宋_GB2312" w:hAnsi="黑体" w:eastAsia="仿宋_GB2312" w:cs="仿宋_GB2312"/>
          <w:sz w:val="32"/>
          <w:szCs w:val="32"/>
          <w:u w:val="none"/>
          <w:lang w:eastAsia="zh-CN"/>
        </w:rPr>
        <w:t>万元，主要用于保障教育正常运转、提升办学质量的费用，绩效目标是保障办学条件、提升教育质量、规范资金使用、提高满意度。</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2.</w:t>
      </w:r>
      <w:r>
        <w:rPr>
          <w:rFonts w:hint="eastAsia" w:ascii="仿宋_GB2312" w:hAnsi="黑体" w:eastAsia="仿宋_GB2312" w:cs="仿宋_GB2312"/>
          <w:sz w:val="32"/>
          <w:szCs w:val="32"/>
          <w:u w:val="none"/>
        </w:rPr>
        <w:t>社会保障和就业支出</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49.43</w:t>
      </w:r>
      <w:r>
        <w:rPr>
          <w:rFonts w:hint="eastAsia" w:ascii="仿宋_GB2312" w:hAnsi="黑体" w:eastAsia="仿宋_GB2312" w:cs="仿宋_GB2312"/>
          <w:sz w:val="32"/>
          <w:szCs w:val="32"/>
          <w:u w:val="none"/>
          <w:lang w:eastAsia="zh-CN"/>
        </w:rPr>
        <w:t>万元，主要用于社会保险、救助、就业促进、社会福利与管理，绩效目标是保基本、促公平、稳就业、服务提质。</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u w:val="none"/>
          <w:lang w:eastAsia="zh-CN"/>
        </w:rPr>
      </w:pPr>
      <w:r>
        <w:rPr>
          <w:rFonts w:hint="eastAsia" w:ascii="仿宋_GB2312" w:hAnsi="黑体" w:eastAsia="仿宋_GB2312" w:cs="仿宋_GB2312"/>
          <w:sz w:val="32"/>
          <w:szCs w:val="32"/>
          <w:u w:val="none"/>
          <w:lang w:val="en-US" w:eastAsia="zh-CN"/>
        </w:rPr>
        <w:t>3.</w:t>
      </w:r>
      <w:r>
        <w:rPr>
          <w:rFonts w:hint="eastAsia" w:ascii="仿宋_GB2312" w:hAnsi="黑体" w:eastAsia="仿宋_GB2312" w:cs="仿宋_GB2312"/>
          <w:sz w:val="32"/>
          <w:szCs w:val="32"/>
          <w:u w:val="none"/>
        </w:rPr>
        <w:t>卫生健康支出</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30.33</w:t>
      </w:r>
      <w:r>
        <w:rPr>
          <w:rFonts w:hint="eastAsia" w:ascii="仿宋_GB2312" w:hAnsi="黑体" w:eastAsia="仿宋_GB2312" w:cs="仿宋_GB2312"/>
          <w:sz w:val="32"/>
          <w:szCs w:val="32"/>
          <w:u w:val="none"/>
          <w:lang w:eastAsia="zh-CN"/>
        </w:rPr>
        <w:t>万元，主要用于城乡居民医保补助，绩效目标是健康水平、服务可及与质量。</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b w:val="0"/>
          <w:bCs/>
          <w:sz w:val="32"/>
          <w:szCs w:val="32"/>
          <w:u w:val="none"/>
          <w:lang w:eastAsia="zh-CN"/>
        </w:rPr>
      </w:pPr>
      <w:r>
        <w:rPr>
          <w:rFonts w:hint="eastAsia" w:ascii="仿宋_GB2312" w:hAnsi="黑体" w:eastAsia="仿宋_GB2312" w:cs="仿宋_GB2312"/>
          <w:sz w:val="32"/>
          <w:szCs w:val="32"/>
          <w:u w:val="none"/>
          <w:lang w:val="en-US" w:eastAsia="zh-CN"/>
        </w:rPr>
        <w:t>4.</w:t>
      </w:r>
      <w:r>
        <w:rPr>
          <w:rFonts w:hint="eastAsia" w:ascii="仿宋_GB2312" w:hAnsi="黑体" w:eastAsia="仿宋_GB2312" w:cs="仿宋_GB2312"/>
          <w:sz w:val="32"/>
          <w:szCs w:val="32"/>
          <w:u w:val="none"/>
        </w:rPr>
        <w:t>住房保障支出</w:t>
      </w:r>
      <w:r>
        <w:rPr>
          <w:rFonts w:hint="eastAsia" w:ascii="仿宋_GB2312" w:hAnsi="黑体" w:eastAsia="仿宋_GB2312" w:cs="仿宋_GB2312"/>
          <w:sz w:val="32"/>
          <w:szCs w:val="32"/>
          <w:u w:val="none"/>
          <w:lang w:eastAsia="zh-CN"/>
        </w:rPr>
        <w:t>项目，预算安排</w:t>
      </w:r>
      <w:r>
        <w:rPr>
          <w:rFonts w:hint="eastAsia" w:ascii="仿宋_GB2312" w:hAnsi="黑体" w:eastAsia="仿宋_GB2312" w:cs="仿宋_GB2312"/>
          <w:sz w:val="32"/>
          <w:szCs w:val="32"/>
          <w:u w:val="none"/>
        </w:rPr>
        <w:t>22.17</w:t>
      </w:r>
      <w:r>
        <w:rPr>
          <w:rFonts w:hint="eastAsia" w:ascii="仿宋_GB2312" w:hAnsi="黑体" w:eastAsia="仿宋_GB2312" w:cs="仿宋_GB2312"/>
          <w:sz w:val="32"/>
          <w:szCs w:val="32"/>
          <w:u w:val="none"/>
          <w:lang w:eastAsia="zh-CN"/>
        </w:rPr>
        <w:t>万元，主要用于解决中低收入、新市民、青年人等群体住房困难，绩效目标是应保尽保、住有所居、群众满意、资金高效。</w:t>
      </w:r>
    </w:p>
    <w:p>
      <w:pPr>
        <w:keepNext w:val="0"/>
        <w:keepLines w:val="0"/>
        <w:pageBreakBefore w:val="0"/>
        <w:kinsoku/>
        <w:wordWrap/>
        <w:overflowPunct/>
        <w:topLinePunct w:val="0"/>
        <w:autoSpaceDE/>
        <w:autoSpaceDN/>
        <w:bidi w:val="0"/>
        <w:adjustRightInd/>
        <w:snapToGrid/>
        <w:spacing w:line="590" w:lineRule="exact"/>
        <w:jc w:val="center"/>
        <w:textAlignment w:val="auto"/>
        <w:rPr>
          <w:rFonts w:ascii="仿宋_GB2312" w:eastAsia="仿宋_GB2312" w:cs="宋体"/>
          <w:bCs/>
          <w:color w:val="000000"/>
          <w:kern w:val="0"/>
          <w:sz w:val="32"/>
          <w:szCs w:val="32"/>
          <w:u w:val="none"/>
          <w:lang w:val="zh-CN"/>
        </w:rPr>
      </w:pPr>
      <w:r>
        <w:rPr>
          <w:rFonts w:hint="eastAsia" w:ascii="黑体" w:hAnsi="黑体" w:eastAsia="黑体"/>
          <w:b w:val="0"/>
          <w:bCs/>
          <w:sz w:val="32"/>
          <w:szCs w:val="32"/>
          <w:u w:val="none"/>
        </w:rPr>
        <w:t>第四部分  名词解释</w:t>
      </w:r>
      <w:bookmarkStart w:id="0" w:name="_GoBack"/>
      <w:bookmarkEnd w:id="0"/>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方正黑体_GBK">
    <w:altName w:val="微软雅黑"/>
    <w:panose1 w:val="02000000000000000000"/>
    <w:charset w:val="86"/>
    <w:family w:val="auto"/>
    <w:pitch w:val="default"/>
    <w:sig w:usb0="00000000" w:usb1="00000000" w:usb2="00082016" w:usb3="00000000" w:csb0="00040001"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方正楷体_GBK">
    <w:altName w:val="微软雅黑"/>
    <w:panose1 w:val="03000509000000000000"/>
    <w:charset w:val="86"/>
    <w:family w:val="auto"/>
    <w:pitch w:val="default"/>
    <w:sig w:usb0="00000000" w:usb1="00000000" w:usb2="00000000" w:usb3="00000000" w:csb0="00040000" w:csb1="00000000"/>
  </w:font>
  <w:font w:name="DejaVu Sans">
    <w:altName w:val="Segoe Print"/>
    <w:panose1 w:val="020B0603030804020204"/>
    <w:charset w:val="00"/>
    <w:family w:val="auto"/>
    <w:pitch w:val="default"/>
    <w:sig w:usb0="00000000" w:usb1="00000000" w:usb2="0A246029" w:usb3="0400200C" w:csb0="600001FF" w:csb1="DFFF0000"/>
  </w:font>
  <w:font w:name="Segoe Print">
    <w:panose1 w:val="02000600000000000000"/>
    <w:charset w:val="00"/>
    <w:family w:val="auto"/>
    <w:pitch w:val="default"/>
    <w:sig w:usb0="0000028F" w:usb1="00000000" w:usb2="00000000" w:usb3="00000000" w:csb0="2000009F" w:csb1="47010000"/>
  </w:font>
  <w:font w:name="Arial">
    <w:panose1 w:val="020B0604020202020204"/>
    <w:charset w:val="00"/>
    <w:family w:val="auto"/>
    <w:pitch w:val="default"/>
    <w:sig w:usb0="E0002AFF" w:usb1="C0007843" w:usb2="00000009" w:usb3="00000000" w:csb0="400001FF" w:csb1="FFFF0000"/>
  </w:font>
  <w:font w:name="华文中宋">
    <w:altName w:val="宋体"/>
    <w:panose1 w:val="02010600040101010101"/>
    <w:charset w:val="00"/>
    <w:family w:val="auto"/>
    <w:pitch w:val="default"/>
    <w:sig w:usb0="00000000" w:usb1="0000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8240;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szlru0wAAAAQBAAAPAAAAAAAA&#10;AAEAIAAAACIAAABkcnMvZG93bnJldi54bWxQSwECFAAUAAAACACHTuJApPngsRcCAAATBAAADgAA&#10;AAAAAAABACAAAAAiAQAAZHJzL2Uyb0RvYy54bWxQSwUGAAAAAAYABgBZAQAAqwUAAAAA&#10;">
              <v:fill on="f" focussize="0,0"/>
              <v:stroke on="f" weight="0.5pt"/>
              <v:imagedata o:title=""/>
              <o:lock v:ext="edit" aspectratio="f"/>
              <v:textbox inset="0mm,0mm,0mm,0mm">
                <w:txbxContent>
                  <w:p>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20C358C"/>
    <w:rsid w:val="042F590A"/>
    <w:rsid w:val="08F10784"/>
    <w:rsid w:val="09F93DFD"/>
    <w:rsid w:val="0AE20A7E"/>
    <w:rsid w:val="0C312DBB"/>
    <w:rsid w:val="0D7F66E0"/>
    <w:rsid w:val="124F372C"/>
    <w:rsid w:val="147A1254"/>
    <w:rsid w:val="171B4F89"/>
    <w:rsid w:val="1AFE6393"/>
    <w:rsid w:val="1D756EF7"/>
    <w:rsid w:val="26076E86"/>
    <w:rsid w:val="29052211"/>
    <w:rsid w:val="2A0F396C"/>
    <w:rsid w:val="37824AA7"/>
    <w:rsid w:val="3C585314"/>
    <w:rsid w:val="415D6A9A"/>
    <w:rsid w:val="4A1F0150"/>
    <w:rsid w:val="4BDD40BE"/>
    <w:rsid w:val="560B396B"/>
    <w:rsid w:val="5FDB49AA"/>
    <w:rsid w:val="62D2384E"/>
    <w:rsid w:val="63E533EF"/>
    <w:rsid w:val="65651051"/>
    <w:rsid w:val="6BC56FAF"/>
    <w:rsid w:val="7BDF3770"/>
    <w:rsid w:val="7C885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customStyle="1" w:styleId="2">
    <w:name w:val="正文-公1"/>
    <w:basedOn w:val="3"/>
    <w:next w:val="1"/>
    <w:qFormat/>
    <w:uiPriority w:val="0"/>
    <w:pPr>
      <w:ind w:firstLine="200" w:firstLine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Times New Roman"/>
      <w:kern w:val="2"/>
      <w:sz w:val="21"/>
      <w:szCs w:val="22"/>
      <w:lang w:val="en-US" w:eastAsia="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List Paragraph"/>
    <w:basedOn w:val="1"/>
    <w:qFormat/>
    <w:uiPriority w:val="34"/>
    <w:pPr>
      <w:ind w:firstLine="420" w:firstLineChars="200"/>
    </w:pPr>
  </w:style>
  <w:style w:type="paragraph" w:customStyle="1" w:styleId="9">
    <w:name w:val="列出段落1"/>
    <w:basedOn w:val="1"/>
    <w:qFormat/>
    <w:uiPriority w:val="34"/>
    <w:pPr>
      <w:ind w:firstLine="420" w:firstLineChars="200"/>
    </w:pPr>
    <w:rPr>
      <w:rFonts w:ascii="Calibri" w:hAnsi="Calibri" w:eastAsia="宋体" w:cs="黑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msx</cp:lastModifiedBy>
  <dcterms:modified xsi:type="dcterms:W3CDTF">2026-03-02T09:22:12Z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