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屯昌县实验幼儿园</w:t>
      </w:r>
      <w:r>
        <w:rPr>
          <w:rFonts w:hint="eastAsia" w:ascii="方正小标宋_GBK" w:hAnsi="方正小标宋_GBK" w:eastAsia="方正小标宋_GBK" w:cs="方正小标宋_GBK"/>
          <w:sz w:val="44"/>
          <w:szCs w:val="44"/>
          <w:u w:val="none"/>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b w:val="0"/>
          <w:bCs w:val="0"/>
          <w:color w:val="auto"/>
          <w:sz w:val="32"/>
          <w:szCs w:val="32"/>
          <w:lang w:val="en-US" w:eastAsia="zh-CN"/>
        </w:rPr>
        <w:t>屯昌县实验幼儿园</w:t>
      </w:r>
      <w:r>
        <w:rPr>
          <w:rFonts w:hint="eastAsia" w:ascii="黑体" w:hAnsi="黑体" w:eastAsia="黑体"/>
          <w:sz w:val="32"/>
          <w:szCs w:val="32"/>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ind w:firstLine="0" w:firstLineChars="0"/>
        <w:jc w:val="left"/>
        <w:rPr>
          <w:rFonts w:ascii="黑体" w:hAnsi="黑体" w:eastAsia="黑体"/>
          <w:sz w:val="32"/>
          <w:szCs w:val="32"/>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widowControl/>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u w:val="none"/>
        </w:rPr>
        <w:t>项目支出绩效信息表</w:t>
      </w:r>
    </w:p>
    <w:p>
      <w:pPr>
        <w:pStyle w:val="6"/>
        <w:widowControl w:val="0"/>
        <w:numPr>
          <w:ilvl w:val="0"/>
          <w:numId w:val="0"/>
        </w:numPr>
        <w:jc w:val="left"/>
        <w:rPr>
          <w:rFonts w:ascii="黑体" w:hAnsi="黑体" w:eastAsia="黑体"/>
          <w:sz w:val="32"/>
          <w:szCs w:val="32"/>
        </w:rPr>
      </w:pPr>
    </w:p>
    <w:p>
      <w:pPr>
        <w:pStyle w:val="6"/>
        <w:widowControl w:val="0"/>
        <w:numPr>
          <w:ilvl w:val="0"/>
          <w:numId w:val="0"/>
        </w:numPr>
        <w:jc w:val="left"/>
        <w:rPr>
          <w:rFonts w:ascii="黑体" w:hAnsi="黑体" w:eastAsia="黑体"/>
          <w:sz w:val="32"/>
          <w:szCs w:val="32"/>
        </w:rPr>
      </w:pP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jc w:val="left"/>
        <w:rPr>
          <w:rFonts w:ascii="黑体" w:hAnsi="黑体" w:eastAsia="黑体"/>
          <w:sz w:val="32"/>
          <w:szCs w:val="32"/>
        </w:rPr>
      </w:pPr>
    </w:p>
    <w:p>
      <w:pPr>
        <w:pStyle w:val="6"/>
        <w:numPr>
          <w:ilvl w:val="0"/>
          <w:numId w:val="3"/>
        </w:numPr>
        <w:ind w:firstLineChars="0"/>
        <w:jc w:val="both"/>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b w:val="0"/>
          <w:bCs w:val="0"/>
          <w:color w:val="auto"/>
          <w:sz w:val="32"/>
          <w:szCs w:val="32"/>
          <w:lang w:val="en-US" w:eastAsia="zh-CN"/>
        </w:rPr>
        <w:t>屯昌县实验幼儿园</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4"/>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10"/>
        <w:numPr>
          <w:ilvl w:val="0"/>
          <w:numId w:val="5"/>
        </w:numPr>
        <w:ind w:leftChars="200" w:firstLine="0" w:firstLineChars="0"/>
        <w:jc w:val="left"/>
        <w:rPr>
          <w:rFonts w:hint="eastAsia" w:ascii="仿宋_GB2312" w:hAnsi="黑体" w:eastAsia="仿宋_GB2312" w:cs="仿宋_GB2312"/>
          <w:b w:val="0"/>
          <w:i w:val="0"/>
          <w:caps w:val="0"/>
          <w:spacing w:val="0"/>
          <w:sz w:val="32"/>
          <w:szCs w:val="32"/>
          <w:shd w:val="clear"/>
        </w:rPr>
      </w:pPr>
      <w:r>
        <w:rPr>
          <w:rFonts w:hint="eastAsia" w:ascii="仿宋_GB2312" w:hAnsi="黑体" w:eastAsia="仿宋_GB2312" w:cs="仿宋_GB2312"/>
          <w:b w:val="0"/>
          <w:i w:val="0"/>
          <w:caps w:val="0"/>
          <w:spacing w:val="0"/>
          <w:sz w:val="32"/>
          <w:szCs w:val="32"/>
          <w:shd w:val="clear"/>
        </w:rPr>
        <w:t>认真贯彻执行</w:t>
      </w:r>
      <w:r>
        <w:rPr>
          <w:rFonts w:hint="eastAsia" w:ascii="仿宋_GB2312" w:hAnsi="黑体" w:eastAsia="仿宋_GB2312" w:cs="仿宋_GB2312"/>
          <w:b w:val="0"/>
          <w:i w:val="0"/>
          <w:caps w:val="0"/>
          <w:spacing w:val="0"/>
          <w:sz w:val="32"/>
          <w:szCs w:val="32"/>
          <w:u w:val="none"/>
          <w:shd w:val="clear"/>
        </w:rPr>
        <w:fldChar w:fldCharType="begin"/>
      </w:r>
      <w:r>
        <w:rPr>
          <w:rFonts w:hint="eastAsia" w:ascii="仿宋_GB2312" w:hAnsi="黑体" w:eastAsia="仿宋_GB2312" w:cs="仿宋_GB2312"/>
          <w:b w:val="0"/>
          <w:i w:val="0"/>
          <w:caps w:val="0"/>
          <w:spacing w:val="0"/>
          <w:sz w:val="32"/>
          <w:szCs w:val="32"/>
          <w:u w:val="none"/>
          <w:shd w:val="clear"/>
        </w:rPr>
        <w:instrText xml:space="preserve"> HYPERLINK "https://www.baidu.com/s?wd=%E3%80%8A%E5%B9%BC%E5%84%BF%E5%9B%AD%E5%B7%A5%E4%BD%9C%E8%A7%84%E7%A8%8B%E3%80%8B&amp;from=1012015a&amp;fenlei=mv6quAkxTZn0IZRqIHckPjm4nH00T1dBnHD3m17bmW-WPjT1mHTk0ZwV5Hcvrjm3rH6sPfKWUMw85HfYnjn4nH6sgvPsT6KdThsqpZwYTjCEQLGCpyw9Uz4Bmy-bIi4WUvYETgN-TLwGUv3EPHRYP1b4rHRvPj04nH64njbz" \t "https://zhidao.baidu.com/question/_blank" </w:instrText>
      </w:r>
      <w:r>
        <w:rPr>
          <w:rFonts w:hint="eastAsia" w:ascii="仿宋_GB2312" w:hAnsi="黑体" w:eastAsia="仿宋_GB2312" w:cs="仿宋_GB2312"/>
          <w:b w:val="0"/>
          <w:i w:val="0"/>
          <w:caps w:val="0"/>
          <w:spacing w:val="0"/>
          <w:sz w:val="32"/>
          <w:szCs w:val="32"/>
          <w:u w:val="none"/>
          <w:shd w:val="clear"/>
        </w:rPr>
        <w:fldChar w:fldCharType="separate"/>
      </w:r>
      <w:r>
        <w:rPr>
          <w:rFonts w:hint="eastAsia" w:ascii="仿宋_GB2312" w:hAnsi="黑体" w:eastAsia="仿宋_GB2312" w:cs="仿宋_GB2312"/>
          <w:sz w:val="32"/>
          <w:szCs w:val="32"/>
          <w:shd w:val="clear"/>
        </w:rPr>
        <w:t>《幼儿园工作规程》</w:t>
      </w:r>
      <w:r>
        <w:rPr>
          <w:rFonts w:hint="eastAsia" w:ascii="仿宋_GB2312" w:hAnsi="黑体" w:eastAsia="仿宋_GB2312" w:cs="仿宋_GB2312"/>
          <w:b w:val="0"/>
          <w:i w:val="0"/>
          <w:caps w:val="0"/>
          <w:spacing w:val="0"/>
          <w:sz w:val="32"/>
          <w:szCs w:val="32"/>
          <w:u w:val="none"/>
          <w:shd w:val="clear"/>
        </w:rPr>
        <w:fldChar w:fldCharType="end"/>
      </w:r>
      <w:r>
        <w:rPr>
          <w:rFonts w:hint="eastAsia" w:ascii="仿宋_GB2312" w:hAnsi="黑体" w:eastAsia="仿宋_GB2312" w:cs="仿宋_GB2312"/>
          <w:b w:val="0"/>
          <w:i w:val="0"/>
          <w:caps w:val="0"/>
          <w:spacing w:val="0"/>
          <w:sz w:val="32"/>
          <w:szCs w:val="32"/>
          <w:shd w:val="clear"/>
        </w:rPr>
        <w:t>，结合本班幼儿的特点和</w:t>
      </w:r>
      <w:r>
        <w:rPr>
          <w:rFonts w:hint="eastAsia" w:ascii="仿宋_GB2312" w:hAnsi="黑体" w:eastAsia="仿宋_GB2312" w:cs="仿宋_GB2312"/>
          <w:b w:val="0"/>
          <w:i w:val="0"/>
          <w:caps w:val="0"/>
          <w:spacing w:val="0"/>
          <w:sz w:val="32"/>
          <w:szCs w:val="32"/>
          <w:u w:val="none"/>
          <w:shd w:val="clear"/>
        </w:rPr>
        <w:fldChar w:fldCharType="begin"/>
      </w:r>
      <w:r>
        <w:rPr>
          <w:rFonts w:hint="eastAsia" w:ascii="仿宋_GB2312" w:hAnsi="黑体" w:eastAsia="仿宋_GB2312" w:cs="仿宋_GB2312"/>
          <w:b w:val="0"/>
          <w:i w:val="0"/>
          <w:caps w:val="0"/>
          <w:spacing w:val="0"/>
          <w:sz w:val="32"/>
          <w:szCs w:val="32"/>
          <w:u w:val="none"/>
          <w:shd w:val="clear"/>
        </w:rPr>
        <w:instrText xml:space="preserve"> HYPERLINK "https://www.baidu.com/s?wd=%E4%B8%AA%E4%BD%93%E5%B7%AE%E5%BC%82&amp;from=1012015a&amp;fenlei=mv6quAkxTZn0IZRqIHckPjm4nH00T1dBnHD3m17bmW-WPjT1mHTk0ZwV5Hcvrjm3rH6sPfKWUMw85HfYnjn4nH6sgvPsT6KdThsqpZwYTjCEQLGCpyw9Uz4Bmy-bIi4WUvYETgN-TLwGUv3EPHRYP1b4rHRvPj04nH64njbz" \t "https://zhidao.baidu.com/question/_blank" </w:instrText>
      </w:r>
      <w:r>
        <w:rPr>
          <w:rFonts w:hint="eastAsia" w:ascii="仿宋_GB2312" w:hAnsi="黑体" w:eastAsia="仿宋_GB2312" w:cs="仿宋_GB2312"/>
          <w:b w:val="0"/>
          <w:i w:val="0"/>
          <w:caps w:val="0"/>
          <w:spacing w:val="0"/>
          <w:sz w:val="32"/>
          <w:szCs w:val="32"/>
          <w:u w:val="none"/>
          <w:shd w:val="clear"/>
        </w:rPr>
        <w:fldChar w:fldCharType="separate"/>
      </w:r>
      <w:r>
        <w:rPr>
          <w:rFonts w:hint="eastAsia" w:ascii="仿宋_GB2312" w:hAnsi="黑体" w:eastAsia="仿宋_GB2312" w:cs="仿宋_GB2312"/>
          <w:sz w:val="32"/>
          <w:szCs w:val="32"/>
          <w:shd w:val="clear"/>
        </w:rPr>
        <w:t>个体差异</w:t>
      </w:r>
      <w:r>
        <w:rPr>
          <w:rFonts w:hint="eastAsia" w:ascii="仿宋_GB2312" w:hAnsi="黑体" w:eastAsia="仿宋_GB2312" w:cs="仿宋_GB2312"/>
          <w:b w:val="0"/>
          <w:i w:val="0"/>
          <w:caps w:val="0"/>
          <w:spacing w:val="0"/>
          <w:sz w:val="32"/>
          <w:szCs w:val="32"/>
          <w:u w:val="none"/>
          <w:shd w:val="clear"/>
        </w:rPr>
        <w:fldChar w:fldCharType="end"/>
      </w:r>
      <w:r>
        <w:rPr>
          <w:rFonts w:hint="eastAsia" w:ascii="仿宋_GB2312" w:hAnsi="黑体" w:eastAsia="仿宋_GB2312" w:cs="仿宋_GB2312"/>
          <w:b w:val="0"/>
          <w:i w:val="0"/>
          <w:caps w:val="0"/>
          <w:spacing w:val="0"/>
          <w:sz w:val="32"/>
          <w:szCs w:val="32"/>
          <w:shd w:val="clear"/>
        </w:rPr>
        <w:t>及时制定好各类教育工作计划，并认真实施，有计划有步骤地开展班级保教工作。</w:t>
      </w:r>
    </w:p>
    <w:p>
      <w:pPr>
        <w:pStyle w:val="10"/>
        <w:numPr>
          <w:ilvl w:val="0"/>
          <w:numId w:val="5"/>
        </w:numPr>
        <w:ind w:leftChars="200" w:firstLine="0" w:firstLineChars="0"/>
        <w:jc w:val="left"/>
        <w:rPr>
          <w:rFonts w:hint="eastAsia" w:ascii="仿宋_GB2312" w:hAnsi="黑体" w:eastAsia="仿宋_GB2312" w:cs="仿宋_GB2312"/>
          <w:sz w:val="32"/>
          <w:szCs w:val="32"/>
        </w:rPr>
      </w:pPr>
      <w:r>
        <w:rPr>
          <w:rFonts w:hint="eastAsia" w:ascii="仿宋_GB2312" w:hAnsi="黑体" w:eastAsia="仿宋_GB2312" w:cs="仿宋_GB2312"/>
          <w:b w:val="0"/>
          <w:i w:val="0"/>
          <w:caps w:val="0"/>
          <w:spacing w:val="0"/>
          <w:sz w:val="32"/>
          <w:szCs w:val="32"/>
          <w:shd w:val="clear"/>
        </w:rPr>
        <w:t>树立正确的儿童观、教育观，热爱幼儿、尊重幼儿，对幼儿做到关心、细心、耐心，不偏爱，坚持正面教育，严禁体罚和变相体罚。</w:t>
      </w:r>
    </w:p>
    <w:p>
      <w:pPr>
        <w:pStyle w:val="10"/>
        <w:numPr>
          <w:ilvl w:val="0"/>
          <w:numId w:val="5"/>
        </w:numPr>
        <w:ind w:leftChars="200" w:firstLine="0" w:firstLineChars="0"/>
        <w:jc w:val="left"/>
        <w:rPr>
          <w:rFonts w:hint="eastAsia" w:ascii="仿宋_GB2312" w:hAnsi="黑体" w:eastAsia="仿宋_GB2312" w:cs="仿宋_GB2312"/>
          <w:sz w:val="32"/>
          <w:szCs w:val="32"/>
        </w:rPr>
      </w:pPr>
      <w:r>
        <w:rPr>
          <w:rFonts w:hint="eastAsia" w:ascii="仿宋_GB2312" w:hAnsi="黑体" w:eastAsia="仿宋_GB2312" w:cs="仿宋_GB2312"/>
          <w:b w:val="0"/>
          <w:i w:val="0"/>
          <w:caps w:val="0"/>
          <w:spacing w:val="0"/>
          <w:sz w:val="32"/>
          <w:szCs w:val="32"/>
          <w:shd w:val="clear"/>
        </w:rPr>
        <w:t>认真及时制订教育活动计划，钻研教材，研究教法，引导幼儿主动学习。观察、分析并记录幼儿发展情况，因材施教。</w:t>
      </w:r>
    </w:p>
    <w:p>
      <w:pPr>
        <w:pStyle w:val="10"/>
        <w:numPr>
          <w:ilvl w:val="0"/>
          <w:numId w:val="5"/>
        </w:numPr>
        <w:ind w:leftChars="200" w:firstLine="0" w:firstLineChars="0"/>
        <w:jc w:val="left"/>
        <w:rPr>
          <w:rFonts w:hint="eastAsia" w:ascii="仿宋_GB2312" w:hAnsi="黑体" w:eastAsia="仿宋_GB2312" w:cs="仿宋_GB2312"/>
          <w:sz w:val="32"/>
          <w:szCs w:val="32"/>
        </w:rPr>
      </w:pPr>
      <w:r>
        <w:rPr>
          <w:rFonts w:hint="eastAsia" w:ascii="仿宋_GB2312" w:hAnsi="黑体" w:eastAsia="仿宋_GB2312" w:cs="仿宋_GB2312"/>
          <w:b w:val="0"/>
          <w:i w:val="0"/>
          <w:caps w:val="0"/>
          <w:spacing w:val="0"/>
          <w:sz w:val="32"/>
          <w:szCs w:val="32"/>
          <w:shd w:val="clear"/>
        </w:rPr>
        <w:t>科学、合理地安排幼儿一日活动，认真执行幼儿园各项教育常规及幼儿园安全、卫生保健制度。定期进行总结，不断提高工作质量。</w:t>
      </w:r>
    </w:p>
    <w:p>
      <w:pPr>
        <w:pStyle w:val="10"/>
        <w:numPr>
          <w:ilvl w:val="0"/>
          <w:numId w:val="5"/>
        </w:numPr>
        <w:ind w:leftChars="200" w:firstLine="0" w:firstLineChars="0"/>
        <w:jc w:val="left"/>
        <w:rPr>
          <w:rFonts w:hint="eastAsia" w:ascii="仿宋_GB2312" w:hAnsi="黑体" w:eastAsia="仿宋_GB2312" w:cs="仿宋_GB2312"/>
          <w:sz w:val="32"/>
          <w:szCs w:val="32"/>
        </w:rPr>
      </w:pPr>
      <w:r>
        <w:rPr>
          <w:rFonts w:hint="eastAsia" w:ascii="仿宋_GB2312" w:hAnsi="黑体" w:eastAsia="仿宋_GB2312" w:cs="仿宋_GB2312"/>
          <w:b w:val="0"/>
          <w:i w:val="0"/>
          <w:caps w:val="0"/>
          <w:spacing w:val="0"/>
          <w:sz w:val="32"/>
          <w:szCs w:val="32"/>
          <w:shd w:val="clear"/>
        </w:rPr>
        <w:t>进班前，必须做好一切准备工作，带班时精力集中，尽心尽责，不随便离开班级，密切关注幼儿的活动及需求，及时提供适当的指导。注意幼儿安全，预防事故发生。</w:t>
      </w:r>
    </w:p>
    <w:p>
      <w:pPr>
        <w:pStyle w:val="10"/>
        <w:numPr>
          <w:ilvl w:val="0"/>
          <w:numId w:val="5"/>
        </w:numPr>
        <w:ind w:leftChars="200" w:firstLine="0" w:firstLineChars="0"/>
        <w:jc w:val="left"/>
        <w:rPr>
          <w:rFonts w:hint="eastAsia" w:ascii="仿宋_GB2312" w:hAnsi="黑体" w:eastAsia="仿宋_GB2312" w:cs="仿宋_GB2312"/>
          <w:sz w:val="32"/>
          <w:szCs w:val="32"/>
        </w:rPr>
      </w:pPr>
      <w:r>
        <w:rPr>
          <w:rFonts w:hint="eastAsia" w:ascii="仿宋_GB2312" w:hAnsi="黑体" w:eastAsia="仿宋_GB2312" w:cs="仿宋_GB2312"/>
          <w:b w:val="0"/>
          <w:i w:val="0"/>
          <w:caps w:val="0"/>
          <w:spacing w:val="0"/>
          <w:sz w:val="32"/>
          <w:szCs w:val="32"/>
          <w:shd w:val="clear"/>
        </w:rPr>
        <w:t>努力学习</w:t>
      </w:r>
      <w:r>
        <w:rPr>
          <w:rFonts w:hint="eastAsia" w:ascii="仿宋_GB2312" w:hAnsi="黑体" w:eastAsia="仿宋_GB2312" w:cs="仿宋_GB2312"/>
          <w:b w:val="0"/>
          <w:i w:val="0"/>
          <w:caps w:val="0"/>
          <w:spacing w:val="0"/>
          <w:sz w:val="32"/>
          <w:szCs w:val="32"/>
          <w:u w:val="none"/>
          <w:shd w:val="clear"/>
        </w:rPr>
        <w:fldChar w:fldCharType="begin"/>
      </w:r>
      <w:r>
        <w:rPr>
          <w:rFonts w:hint="eastAsia" w:ascii="仿宋_GB2312" w:hAnsi="黑体" w:eastAsia="仿宋_GB2312" w:cs="仿宋_GB2312"/>
          <w:b w:val="0"/>
          <w:i w:val="0"/>
          <w:caps w:val="0"/>
          <w:spacing w:val="0"/>
          <w:sz w:val="32"/>
          <w:szCs w:val="32"/>
          <w:u w:val="none"/>
          <w:shd w:val="clear"/>
        </w:rPr>
        <w:instrText xml:space="preserve"> HYPERLINK "https://www.baidu.com/s?wd=%E5%B9%BC%E6%95%99%E4%B8%93%E4%B8%9A&amp;from=1012015a&amp;fenlei=mv6quAkxTZn0IZRqIHckPjm4nH00T1dBnHD3m17bmW-WPjT1mHTk0ZwV5Hcvrjm3rH6sPfKWUMw85HfYnjn4nH6sgvPsT6KdThsqpZwYTjCEQLGCpyw9Uz4Bmy-bIi4WUvYETgN-TLwGUv3EPHRYP1b4rHRvPj04nH64njbz" \t "https://zhidao.baidu.com/question/_blank" </w:instrText>
      </w:r>
      <w:r>
        <w:rPr>
          <w:rFonts w:hint="eastAsia" w:ascii="仿宋_GB2312" w:hAnsi="黑体" w:eastAsia="仿宋_GB2312" w:cs="仿宋_GB2312"/>
          <w:b w:val="0"/>
          <w:i w:val="0"/>
          <w:caps w:val="0"/>
          <w:spacing w:val="0"/>
          <w:sz w:val="32"/>
          <w:szCs w:val="32"/>
          <w:u w:val="none"/>
          <w:shd w:val="clear"/>
        </w:rPr>
        <w:fldChar w:fldCharType="separate"/>
      </w:r>
      <w:r>
        <w:rPr>
          <w:rFonts w:hint="eastAsia" w:ascii="仿宋_GB2312" w:hAnsi="黑体" w:eastAsia="仿宋_GB2312" w:cs="仿宋_GB2312"/>
          <w:sz w:val="32"/>
          <w:szCs w:val="32"/>
          <w:shd w:val="clear"/>
        </w:rPr>
        <w:t>幼教专业</w:t>
      </w:r>
      <w:r>
        <w:rPr>
          <w:rFonts w:hint="eastAsia" w:ascii="仿宋_GB2312" w:hAnsi="黑体" w:eastAsia="仿宋_GB2312" w:cs="仿宋_GB2312"/>
          <w:b w:val="0"/>
          <w:i w:val="0"/>
          <w:caps w:val="0"/>
          <w:spacing w:val="0"/>
          <w:sz w:val="32"/>
          <w:szCs w:val="32"/>
          <w:u w:val="none"/>
          <w:shd w:val="clear"/>
        </w:rPr>
        <w:fldChar w:fldCharType="end"/>
      </w:r>
      <w:r>
        <w:rPr>
          <w:rFonts w:hint="eastAsia" w:ascii="仿宋_GB2312" w:hAnsi="黑体" w:eastAsia="仿宋_GB2312" w:cs="仿宋_GB2312"/>
          <w:b w:val="0"/>
          <w:i w:val="0"/>
          <w:caps w:val="0"/>
          <w:spacing w:val="0"/>
          <w:sz w:val="32"/>
          <w:szCs w:val="32"/>
          <w:shd w:val="clear"/>
        </w:rPr>
        <w:t>理论，积极参加教育研究和各种业务进修学习，勇于改革、创新，不断提高自身的</w:t>
      </w:r>
      <w:r>
        <w:rPr>
          <w:rFonts w:hint="eastAsia" w:ascii="仿宋_GB2312" w:hAnsi="黑体" w:eastAsia="仿宋_GB2312" w:cs="仿宋_GB2312"/>
          <w:b w:val="0"/>
          <w:i w:val="0"/>
          <w:caps w:val="0"/>
          <w:spacing w:val="0"/>
          <w:sz w:val="32"/>
          <w:szCs w:val="32"/>
          <w:u w:val="none"/>
          <w:shd w:val="clear"/>
        </w:rPr>
        <w:fldChar w:fldCharType="begin"/>
      </w:r>
      <w:r>
        <w:rPr>
          <w:rFonts w:hint="eastAsia" w:ascii="仿宋_GB2312" w:hAnsi="黑体" w:eastAsia="仿宋_GB2312" w:cs="仿宋_GB2312"/>
          <w:b w:val="0"/>
          <w:i w:val="0"/>
          <w:caps w:val="0"/>
          <w:spacing w:val="0"/>
          <w:sz w:val="32"/>
          <w:szCs w:val="32"/>
          <w:u w:val="none"/>
          <w:shd w:val="clear"/>
        </w:rPr>
        <w:instrText xml:space="preserve"> HYPERLINK "https://www.baidu.com/s?wd=%E4%B8%9A%E5%8A%A1%E7%B4%A0%E8%B4%A8&amp;from=1012015a&amp;fenlei=mv6quAkxTZn0IZRqIHckPjm4nH00T1dBnHD3m17bmW-WPjT1mHTk0ZwV5Hcvrjm3rH6sPfKWUMw85HfYnjn4nH6sgvPsT6KdThsqpZwYTjCEQLGCpyw9Uz4Bmy-bIi4WUvYETgN-TLwGUv3EPHRYP1b4rHRvPj04nH64njbz" \t "https://zhidao.baidu.com/question/_blank" </w:instrText>
      </w:r>
      <w:r>
        <w:rPr>
          <w:rFonts w:hint="eastAsia" w:ascii="仿宋_GB2312" w:hAnsi="黑体" w:eastAsia="仿宋_GB2312" w:cs="仿宋_GB2312"/>
          <w:b w:val="0"/>
          <w:i w:val="0"/>
          <w:caps w:val="0"/>
          <w:spacing w:val="0"/>
          <w:sz w:val="32"/>
          <w:szCs w:val="32"/>
          <w:u w:val="none"/>
          <w:shd w:val="clear"/>
        </w:rPr>
        <w:fldChar w:fldCharType="separate"/>
      </w:r>
      <w:r>
        <w:rPr>
          <w:rFonts w:hint="eastAsia" w:ascii="仿宋_GB2312" w:hAnsi="黑体" w:eastAsia="仿宋_GB2312" w:cs="仿宋_GB2312"/>
          <w:sz w:val="32"/>
          <w:szCs w:val="32"/>
          <w:shd w:val="clear"/>
        </w:rPr>
        <w:t>业务素质</w:t>
      </w:r>
      <w:r>
        <w:rPr>
          <w:rFonts w:hint="eastAsia" w:ascii="仿宋_GB2312" w:hAnsi="黑体" w:eastAsia="仿宋_GB2312" w:cs="仿宋_GB2312"/>
          <w:b w:val="0"/>
          <w:i w:val="0"/>
          <w:caps w:val="0"/>
          <w:spacing w:val="0"/>
          <w:sz w:val="32"/>
          <w:szCs w:val="32"/>
          <w:u w:val="none"/>
          <w:shd w:val="clear"/>
        </w:rPr>
        <w:fldChar w:fldCharType="end"/>
      </w:r>
      <w:r>
        <w:rPr>
          <w:rFonts w:hint="eastAsia" w:ascii="仿宋_GB2312" w:hAnsi="黑体" w:eastAsia="仿宋_GB2312" w:cs="仿宋_GB2312"/>
          <w:b w:val="0"/>
          <w:i w:val="0"/>
          <w:caps w:val="0"/>
          <w:spacing w:val="0"/>
          <w:sz w:val="32"/>
          <w:szCs w:val="32"/>
          <w:shd w:val="clear"/>
        </w:rPr>
        <w:t>。</w:t>
      </w:r>
    </w:p>
    <w:p>
      <w:pPr>
        <w:pStyle w:val="10"/>
        <w:numPr>
          <w:ilvl w:val="0"/>
          <w:numId w:val="5"/>
        </w:numPr>
        <w:ind w:leftChars="200" w:firstLine="0" w:firstLineChars="0"/>
        <w:jc w:val="left"/>
        <w:rPr>
          <w:rFonts w:hint="eastAsia" w:ascii="仿宋_GB2312" w:hAnsi="黑体" w:eastAsia="仿宋_GB2312" w:cs="仿宋_GB2312"/>
          <w:sz w:val="32"/>
          <w:szCs w:val="32"/>
        </w:rPr>
      </w:pPr>
      <w:r>
        <w:rPr>
          <w:rFonts w:hint="eastAsia" w:ascii="仿宋_GB2312" w:hAnsi="黑体" w:eastAsia="仿宋_GB2312" w:cs="仿宋_GB2312"/>
          <w:b w:val="0"/>
          <w:i w:val="0"/>
          <w:caps w:val="0"/>
          <w:spacing w:val="0"/>
          <w:sz w:val="32"/>
          <w:szCs w:val="32"/>
          <w:shd w:val="clear"/>
        </w:rPr>
        <w:t>根据教育内容，定期更换、精心布置体现幼儿主体地位的活动室环境，为</w:t>
      </w:r>
      <w:r>
        <w:rPr>
          <w:rFonts w:hint="eastAsia" w:ascii="仿宋_GB2312" w:hAnsi="黑体" w:eastAsia="仿宋_GB2312" w:cs="仿宋_GB2312"/>
          <w:b w:val="0"/>
          <w:i w:val="0"/>
          <w:caps w:val="0"/>
          <w:spacing w:val="0"/>
          <w:sz w:val="32"/>
          <w:szCs w:val="32"/>
          <w:u w:val="none"/>
          <w:shd w:val="clear"/>
        </w:rPr>
        <w:fldChar w:fldCharType="begin"/>
      </w:r>
      <w:r>
        <w:rPr>
          <w:rFonts w:hint="eastAsia" w:ascii="仿宋_GB2312" w:hAnsi="黑体" w:eastAsia="仿宋_GB2312" w:cs="仿宋_GB2312"/>
          <w:b w:val="0"/>
          <w:i w:val="0"/>
          <w:caps w:val="0"/>
          <w:spacing w:val="0"/>
          <w:sz w:val="32"/>
          <w:szCs w:val="32"/>
          <w:u w:val="none"/>
          <w:shd w:val="clear"/>
        </w:rPr>
        <w:instrText xml:space="preserve"> HYPERLINK "https://www.baidu.com/s?wd=%E5%8C%BA%E5%9F%9F%E6%B4%BB%E5%8A%A8&amp;from=1012015a&amp;fenlei=mv6quAkxTZn0IZRqIHckPjm4nH00T1dBnHD3m17bmW-WPjT1mHTk0ZwV5Hcvrjm3rH6sPfKWUMw85HfYnjn4nH6sgvPsT6KdThsqpZwYTjCEQLGCpyw9Uz4Bmy-bIi4WUvYETgN-TLwGUv3EPHRYP1b4rHRvPj04nH64njbz" \t "https://zhidao.baidu.com/question/_blank" </w:instrText>
      </w:r>
      <w:r>
        <w:rPr>
          <w:rFonts w:hint="eastAsia" w:ascii="仿宋_GB2312" w:hAnsi="黑体" w:eastAsia="仿宋_GB2312" w:cs="仿宋_GB2312"/>
          <w:b w:val="0"/>
          <w:i w:val="0"/>
          <w:caps w:val="0"/>
          <w:spacing w:val="0"/>
          <w:sz w:val="32"/>
          <w:szCs w:val="32"/>
          <w:u w:val="none"/>
          <w:shd w:val="clear"/>
        </w:rPr>
        <w:fldChar w:fldCharType="separate"/>
      </w:r>
      <w:r>
        <w:rPr>
          <w:rFonts w:hint="eastAsia" w:ascii="仿宋_GB2312" w:hAnsi="黑体" w:eastAsia="仿宋_GB2312" w:cs="仿宋_GB2312"/>
          <w:sz w:val="32"/>
          <w:szCs w:val="32"/>
          <w:shd w:val="clear"/>
        </w:rPr>
        <w:t>区域活动</w:t>
      </w:r>
      <w:r>
        <w:rPr>
          <w:rFonts w:hint="eastAsia" w:ascii="仿宋_GB2312" w:hAnsi="黑体" w:eastAsia="仿宋_GB2312" w:cs="仿宋_GB2312"/>
          <w:b w:val="0"/>
          <w:i w:val="0"/>
          <w:caps w:val="0"/>
          <w:spacing w:val="0"/>
          <w:sz w:val="32"/>
          <w:szCs w:val="32"/>
          <w:u w:val="none"/>
          <w:shd w:val="clear"/>
        </w:rPr>
        <w:fldChar w:fldCharType="end"/>
      </w:r>
      <w:r>
        <w:rPr>
          <w:rFonts w:hint="eastAsia" w:ascii="仿宋_GB2312" w:hAnsi="黑体" w:eastAsia="仿宋_GB2312" w:cs="仿宋_GB2312"/>
          <w:b w:val="0"/>
          <w:i w:val="0"/>
          <w:caps w:val="0"/>
          <w:spacing w:val="0"/>
          <w:sz w:val="32"/>
          <w:szCs w:val="32"/>
          <w:shd w:val="clear"/>
        </w:rPr>
        <w:t>提供符合本班幼儿发展水平、操作心强、卫生、丰富的玩具和材料。管理好班内一切物品不受损失，保持班内环境、物品的整洁，做好保管区内的清洁工作。</w:t>
      </w:r>
    </w:p>
    <w:p>
      <w:pPr>
        <w:pStyle w:val="10"/>
        <w:numPr>
          <w:ilvl w:val="0"/>
          <w:numId w:val="5"/>
        </w:numPr>
        <w:ind w:leftChars="200" w:firstLine="0" w:firstLineChars="0"/>
        <w:jc w:val="left"/>
        <w:rPr>
          <w:rFonts w:hint="eastAsia" w:ascii="仿宋_GB2312" w:hAnsi="黑体" w:eastAsia="仿宋_GB2312" w:cs="仿宋_GB2312"/>
          <w:sz w:val="32"/>
          <w:szCs w:val="32"/>
        </w:rPr>
      </w:pPr>
      <w:r>
        <w:rPr>
          <w:rFonts w:hint="eastAsia" w:ascii="仿宋_GB2312" w:hAnsi="黑体" w:eastAsia="仿宋_GB2312" w:cs="仿宋_GB2312"/>
          <w:b w:val="0"/>
          <w:i w:val="0"/>
          <w:caps w:val="0"/>
          <w:spacing w:val="0"/>
          <w:sz w:val="32"/>
          <w:szCs w:val="32"/>
          <w:shd w:val="clear"/>
        </w:rPr>
        <w:t>认真做好家长工作，定时和每个幼儿家长保持联系，了解</w:t>
      </w:r>
      <w:r>
        <w:rPr>
          <w:rFonts w:hint="eastAsia" w:ascii="仿宋_GB2312" w:hAnsi="黑体" w:eastAsia="仿宋_GB2312" w:cs="仿宋_GB2312"/>
          <w:b w:val="0"/>
          <w:i w:val="0"/>
          <w:caps w:val="0"/>
          <w:spacing w:val="0"/>
          <w:sz w:val="32"/>
          <w:szCs w:val="32"/>
          <w:u w:val="none"/>
          <w:shd w:val="clear"/>
        </w:rPr>
        <w:fldChar w:fldCharType="begin"/>
      </w:r>
      <w:r>
        <w:rPr>
          <w:rFonts w:hint="eastAsia" w:ascii="仿宋_GB2312" w:hAnsi="黑体" w:eastAsia="仿宋_GB2312" w:cs="仿宋_GB2312"/>
          <w:b w:val="0"/>
          <w:i w:val="0"/>
          <w:caps w:val="0"/>
          <w:spacing w:val="0"/>
          <w:sz w:val="32"/>
          <w:szCs w:val="32"/>
          <w:u w:val="none"/>
          <w:shd w:val="clear"/>
        </w:rPr>
        <w:instrText xml:space="preserve"> HYPERLINK "https://www.baidu.com/s?wd=%E5%B9%BC%E5%84%BF%E5%AE%B6%E5%BA%AD%E6%95%99%E8%82%B2&amp;from=1012015a&amp;fenlei=mv6quAkxTZn0IZRqIHckPjm4nH00T1dBnHD3m17bmW-WPjT1mHTk0ZwV5Hcvrjm3rH6sPfKWUMw85HfYnjn4nH6sgvPsT6KdThsqpZwYTjCEQLGCpyw9Uz4Bmy-bIi4WUvYETgN-TLwGUv3EPHRYP1b4rHRvPj04nH64njbz" \t "https://zhidao.baidu.com/question/_blank" </w:instrText>
      </w:r>
      <w:r>
        <w:rPr>
          <w:rFonts w:hint="eastAsia" w:ascii="仿宋_GB2312" w:hAnsi="黑体" w:eastAsia="仿宋_GB2312" w:cs="仿宋_GB2312"/>
          <w:b w:val="0"/>
          <w:i w:val="0"/>
          <w:caps w:val="0"/>
          <w:spacing w:val="0"/>
          <w:sz w:val="32"/>
          <w:szCs w:val="32"/>
          <w:u w:val="none"/>
          <w:shd w:val="clear"/>
        </w:rPr>
        <w:fldChar w:fldCharType="separate"/>
      </w:r>
      <w:r>
        <w:rPr>
          <w:rFonts w:hint="eastAsia" w:ascii="仿宋_GB2312" w:hAnsi="黑体" w:eastAsia="仿宋_GB2312" w:cs="仿宋_GB2312"/>
          <w:sz w:val="32"/>
          <w:szCs w:val="32"/>
          <w:shd w:val="clear"/>
        </w:rPr>
        <w:t>幼儿家庭教育</w:t>
      </w:r>
      <w:r>
        <w:rPr>
          <w:rFonts w:hint="eastAsia" w:ascii="仿宋_GB2312" w:hAnsi="黑体" w:eastAsia="仿宋_GB2312" w:cs="仿宋_GB2312"/>
          <w:b w:val="0"/>
          <w:i w:val="0"/>
          <w:caps w:val="0"/>
          <w:spacing w:val="0"/>
          <w:sz w:val="32"/>
          <w:szCs w:val="32"/>
          <w:u w:val="none"/>
          <w:shd w:val="clear"/>
        </w:rPr>
        <w:fldChar w:fldCharType="end"/>
      </w:r>
      <w:r>
        <w:rPr>
          <w:rFonts w:hint="eastAsia" w:ascii="仿宋_GB2312" w:hAnsi="黑体" w:eastAsia="仿宋_GB2312" w:cs="仿宋_GB2312"/>
          <w:b w:val="0"/>
          <w:i w:val="0"/>
          <w:caps w:val="0"/>
          <w:spacing w:val="0"/>
          <w:sz w:val="32"/>
          <w:szCs w:val="32"/>
          <w:shd w:val="clear"/>
        </w:rPr>
        <w:t>情况，和家长商议符合幼儿特点的教育措施，共同配合完成教育工作。</w:t>
      </w:r>
    </w:p>
    <w:p>
      <w:pPr>
        <w:pStyle w:val="6"/>
        <w:numPr>
          <w:ilvl w:val="0"/>
          <w:numId w:val="4"/>
        </w:numPr>
        <w:ind w:firstLineChars="0"/>
        <w:jc w:val="left"/>
        <w:rPr>
          <w:rFonts w:ascii="黑体" w:hAnsi="黑体" w:eastAsia="黑体" w:cs="仿宋_GB2312"/>
          <w:sz w:val="32"/>
          <w:szCs w:val="32"/>
        </w:rPr>
      </w:pPr>
      <w:r>
        <w:rPr>
          <w:rFonts w:hint="eastAsia" w:ascii="黑体" w:hAnsi="黑体" w:eastAsia="黑体" w:cs="仿宋_GB2312"/>
          <w:sz w:val="32"/>
          <w:szCs w:val="32"/>
          <w:lang w:eastAsia="zh-CN"/>
        </w:rPr>
        <w:t>机构设置</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黑体"/>
          <w:b w:val="0"/>
          <w:bCs w:val="0"/>
          <w:color w:val="auto"/>
          <w:sz w:val="32"/>
          <w:szCs w:val="32"/>
          <w:lang w:val="en-US" w:eastAsia="zh-CN"/>
        </w:rPr>
        <w:t>屯昌县实验幼儿园2026</w:t>
      </w:r>
      <w:r>
        <w:rPr>
          <w:rFonts w:hint="eastAsia" w:ascii="仿宋_GB2312" w:hAnsi="黑体" w:eastAsia="仿宋_GB2312" w:cs="仿宋_GB2312"/>
          <w:sz w:val="32"/>
          <w:szCs w:val="32"/>
        </w:rPr>
        <w:t>年部门预算编制范围的二级预算单位包括：</w:t>
      </w:r>
    </w:p>
    <w:p>
      <w:pPr>
        <w:ind w:left="800"/>
        <w:jc w:val="left"/>
        <w:rPr>
          <w:rFonts w:ascii="仿宋_GB2312" w:hAnsi="黑体" w:eastAsia="仿宋_GB2312" w:cs="仿宋_GB2312"/>
          <w:sz w:val="32"/>
          <w:szCs w:val="32"/>
        </w:rPr>
      </w:pPr>
      <w:r>
        <w:rPr>
          <w:rFonts w:hint="eastAsia" w:ascii="仿宋_GB2312" w:hAnsi="黑体" w:eastAsia="仿宋_GB2312" w:cs="黑体"/>
          <w:b w:val="0"/>
          <w:bCs w:val="0"/>
          <w:color w:val="auto"/>
          <w:sz w:val="32"/>
          <w:szCs w:val="32"/>
          <w:lang w:val="en-US" w:eastAsia="zh-CN"/>
        </w:rPr>
        <w:t>1.屯昌县实验幼儿园</w:t>
      </w:r>
    </w:p>
    <w:p>
      <w:pPr>
        <w:ind w:left="800"/>
        <w:jc w:val="left"/>
        <w:rPr>
          <w:rFonts w:ascii="仿宋_GB2312" w:hAnsi="黑体" w:eastAsia="仿宋_GB2312" w:cs="仿宋_GB2312"/>
          <w:sz w:val="32"/>
          <w:szCs w:val="32"/>
        </w:rPr>
      </w:pPr>
    </w:p>
    <w:p>
      <w:pPr>
        <w:ind w:left="800"/>
        <w:jc w:val="left"/>
        <w:rPr>
          <w:rFonts w:ascii="仿宋_GB2312" w:hAnsi="黑体" w:eastAsia="仿宋_GB2312" w:cs="仿宋_GB2312"/>
          <w:sz w:val="32"/>
          <w:szCs w:val="32"/>
        </w:rPr>
      </w:pPr>
    </w:p>
    <w:p>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val="en-US" w:eastAsia="zh-CN"/>
        </w:rPr>
        <w:t>2</w:t>
      </w:r>
      <w:r>
        <w:rPr>
          <w:rFonts w:hint="eastAsia" w:ascii="方正黑体_GBK" w:hAnsi="方正黑体_GBK" w:eastAsia="方正黑体_GBK" w:cs="方正黑体_GBK"/>
          <w:b w:val="0"/>
          <w:bCs/>
          <w:sz w:val="32"/>
          <w:szCs w:val="32"/>
          <w:u w:val="none"/>
          <w:lang w:val="en-US" w:eastAsia="zh-CN"/>
        </w:rPr>
        <w:t>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ind w:firstLine="640" w:firstLineChars="200"/>
        <w:rPr>
          <w:rFonts w:ascii="黑体" w:hAnsi="黑体" w:eastAsia="黑体"/>
          <w:sz w:val="32"/>
          <w:szCs w:val="32"/>
        </w:rPr>
      </w:pPr>
    </w:p>
    <w:p>
      <w:pPr>
        <w:ind w:left="800"/>
        <w:jc w:val="left"/>
        <w:rPr>
          <w:rFonts w:ascii="黑体" w:hAnsi="黑体" w:eastAsia="黑体"/>
          <w:sz w:val="32"/>
          <w:szCs w:val="32"/>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rPr>
          <w:rFonts w:ascii="黑体" w:hAnsi="黑体" w:eastAsia="黑体"/>
          <w:sz w:val="32"/>
          <w:szCs w:val="32"/>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jc w:val="center"/>
        <w:rPr>
          <w:rFonts w:ascii="黑体" w:hAnsi="黑体" w:eastAsia="黑体"/>
          <w:sz w:val="32"/>
          <w:szCs w:val="32"/>
        </w:rPr>
      </w:pPr>
    </w:p>
    <w:p>
      <w:pPr>
        <w:spacing w:line="590" w:lineRule="exact"/>
        <w:ind w:firstLine="640" w:firstLineChars="200"/>
        <w:jc w:val="both"/>
        <w:rPr>
          <w:rFonts w:ascii="黑体" w:hAnsi="黑体" w:eastAsia="黑体"/>
          <w:sz w:val="32"/>
          <w:szCs w:val="32"/>
        </w:rPr>
      </w:pPr>
      <w:r>
        <w:rPr>
          <w:rFonts w:hint="eastAsia" w:ascii="黑体" w:hAnsi="黑体" w:eastAsia="黑体"/>
          <w:sz w:val="32"/>
          <w:szCs w:val="32"/>
        </w:rPr>
        <w:t>一、</w:t>
      </w:r>
      <w:r>
        <w:rPr>
          <w:rFonts w:hint="eastAsia" w:ascii="方正黑体_GBK" w:hAnsi="方正黑体_GBK" w:eastAsia="方正黑体_GBK" w:cs="方正黑体_GBK"/>
          <w:sz w:val="32"/>
          <w:szCs w:val="32"/>
          <w:u w:val="none"/>
        </w:rPr>
        <w:t>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widowControl/>
        <w:pBdr>
          <w:top w:val="none" w:color="auto" w:sz="0" w:space="0"/>
          <w:left w:val="none" w:color="auto" w:sz="0" w:space="0"/>
          <w:bottom w:val="none" w:color="auto" w:sz="0" w:space="0"/>
          <w:right w:val="none" w:color="auto" w:sz="0" w:space="0"/>
        </w:pBdr>
        <w:spacing w:line="288" w:lineRule="atLeast"/>
        <w:ind w:firstLine="0" w:firstLineChars="0"/>
        <w:jc w:val="left"/>
        <w:rPr>
          <w:rFonts w:ascii="仿宋_GB2312" w:hAnsi="黑体" w:eastAsia="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仿宋_GB2312" w:hAnsi="黑体" w:eastAsia="仿宋_GB2312" w:cs="黑体"/>
          <w:color w:val="auto"/>
          <w:kern w:val="2"/>
          <w:sz w:val="32"/>
          <w:szCs w:val="32"/>
          <w:lang w:val="en-US" w:eastAsia="zh-CN" w:bidi="ar"/>
        </w:rPr>
        <w:t>屯昌实验幼儿园 2026 年财政拨款收支总预算 629.74 万元。其中，收入总计 629.74 万元，包括一般公共预算本年收入 624.99 万元、上年结转 4.75 万元，政府性基金预算本年收入 0.00 万元、上年结转 0.00 万元；支出总计 629.74 万元，包括教育支出 418.37 万元、社会保障和就业支出 89.01 万元、卫生健康支出 78.07 万元、住房保障支出 44.30 万元，结转下年 0 万元。</w:t>
      </w:r>
    </w:p>
    <w:p>
      <w:pPr>
        <w:spacing w:line="590" w:lineRule="exact"/>
        <w:ind w:firstLine="640"/>
        <w:jc w:val="both"/>
        <w:rPr>
          <w:rFonts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u w:val="none"/>
        </w:rPr>
        <w:t>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黑体"/>
          <w:b w:val="0"/>
          <w:bCs w:val="0"/>
          <w:color w:val="auto"/>
          <w:sz w:val="32"/>
          <w:szCs w:val="32"/>
          <w:lang w:val="en-US" w:eastAsia="zh-CN"/>
        </w:rPr>
        <w:t>屯昌县实验幼儿</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rPr>
        <w:t>629.74</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245.87</w:t>
      </w:r>
      <w:r>
        <w:rPr>
          <w:rFonts w:hint="eastAsia" w:ascii="仿宋_GB2312" w:hAnsi="黑体" w:eastAsia="仿宋_GB2312"/>
          <w:sz w:val="32"/>
          <w:szCs w:val="32"/>
        </w:rPr>
        <w:t>万元，主要是</w:t>
      </w:r>
      <w:r>
        <w:rPr>
          <w:rFonts w:hint="eastAsia" w:ascii="仿宋_GB2312" w:hAnsi="黑体" w:eastAsia="仿宋_GB2312"/>
          <w:color w:val="auto"/>
          <w:sz w:val="32"/>
          <w:szCs w:val="32"/>
          <w:lang w:eastAsia="zh-CN"/>
        </w:rPr>
        <w:t>教育</w:t>
      </w:r>
      <w:r>
        <w:rPr>
          <w:rFonts w:hint="eastAsia" w:ascii="仿宋_GB2312" w:hAnsi="黑体" w:eastAsia="仿宋_GB2312"/>
          <w:color w:val="auto"/>
          <w:sz w:val="32"/>
          <w:szCs w:val="32"/>
        </w:rPr>
        <w:t>支出</w:t>
      </w:r>
      <w:r>
        <w:rPr>
          <w:rFonts w:hint="eastAsia" w:ascii="仿宋_GB2312" w:hAnsi="黑体" w:eastAsia="仿宋_GB2312"/>
          <w:color w:val="auto"/>
          <w:sz w:val="32"/>
          <w:szCs w:val="32"/>
          <w:lang w:val="en-US" w:eastAsia="zh-CN"/>
        </w:rPr>
        <w:t>减少153.87</w:t>
      </w:r>
      <w:r>
        <w:rPr>
          <w:rFonts w:hint="eastAsia" w:ascii="仿宋_GB2312" w:hAnsi="黑体" w:eastAsia="仿宋_GB2312"/>
          <w:color w:val="auto"/>
          <w:sz w:val="32"/>
          <w:szCs w:val="32"/>
        </w:rPr>
        <w:t>万元、社会保障和就业支出</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23.88</w:t>
      </w:r>
      <w:r>
        <w:rPr>
          <w:rFonts w:hint="eastAsia" w:ascii="仿宋_GB2312" w:hAnsi="黑体" w:eastAsia="仿宋_GB2312"/>
          <w:color w:val="auto"/>
          <w:sz w:val="32"/>
          <w:szCs w:val="32"/>
        </w:rPr>
        <w:t>万元、卫生健康支出</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41.53</w:t>
      </w:r>
      <w:r>
        <w:rPr>
          <w:rFonts w:hint="eastAsia" w:ascii="仿宋_GB2312" w:hAnsi="黑体" w:eastAsia="仿宋_GB2312"/>
          <w:color w:val="auto"/>
          <w:sz w:val="32"/>
          <w:szCs w:val="32"/>
        </w:rPr>
        <w:t>万元、住房保障支出</w:t>
      </w:r>
      <w:r>
        <w:rPr>
          <w:rFonts w:hint="eastAsia" w:ascii="仿宋_GB2312" w:hAnsi="黑体" w:eastAsia="仿宋_GB2312"/>
          <w:sz w:val="32"/>
          <w:szCs w:val="32"/>
          <w:lang w:val="en-US" w:eastAsia="zh-CN"/>
        </w:rPr>
        <w:t>减少22.08</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val="en-US" w:eastAsia="zh-CN"/>
        </w:rPr>
      </w:pPr>
      <w:r>
        <w:rPr>
          <w:rFonts w:hint="eastAsia" w:ascii="仿宋_GB2312" w:hAnsi="黑体" w:eastAsia="仿宋_GB2312"/>
          <w:color w:val="auto"/>
          <w:sz w:val="32"/>
          <w:szCs w:val="32"/>
          <w:lang w:eastAsia="zh-CN"/>
        </w:rPr>
        <w:t>教育</w:t>
      </w:r>
      <w:r>
        <w:rPr>
          <w:rFonts w:hint="eastAsia" w:ascii="仿宋_GB2312" w:hAnsi="黑体" w:eastAsia="仿宋_GB2312"/>
          <w:color w:val="auto"/>
          <w:sz w:val="32"/>
          <w:szCs w:val="32"/>
        </w:rPr>
        <w:t>支出</w:t>
      </w:r>
      <w:r>
        <w:rPr>
          <w:rFonts w:hint="eastAsia" w:ascii="仿宋_GB2312" w:hAnsi="黑体" w:eastAsia="仿宋_GB2312" w:cs="仿宋_GB2312"/>
          <w:sz w:val="32"/>
          <w:szCs w:val="32"/>
        </w:rPr>
        <w:t>（类）支出418.37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66.44</w:t>
      </w:r>
      <w:r>
        <w:rPr>
          <w:rFonts w:hint="eastAsia" w:ascii="仿宋_GB2312" w:hAnsi="黑体" w:eastAsia="仿宋_GB2312"/>
          <w:sz w:val="32"/>
          <w:szCs w:val="32"/>
        </w:rPr>
        <w:t>%；</w:t>
      </w:r>
      <w:r>
        <w:rPr>
          <w:rFonts w:hint="eastAsia" w:ascii="仿宋_GB2312" w:hAnsi="黑体" w:eastAsia="仿宋_GB2312"/>
          <w:color w:val="auto"/>
          <w:sz w:val="32"/>
          <w:szCs w:val="32"/>
        </w:rPr>
        <w:t>社会保障和就业支出</w:t>
      </w:r>
      <w:r>
        <w:rPr>
          <w:rFonts w:hint="eastAsia" w:ascii="仿宋_GB2312" w:hAnsi="黑体" w:eastAsia="仿宋_GB2312"/>
          <w:sz w:val="32"/>
          <w:szCs w:val="32"/>
        </w:rPr>
        <w:t>（类）</w:t>
      </w:r>
      <w:r>
        <w:rPr>
          <w:rFonts w:hint="eastAsia" w:ascii="仿宋_GB2312" w:hAnsi="黑体" w:eastAsia="仿宋_GB2312" w:cs="仿宋_GB2312"/>
          <w:sz w:val="32"/>
          <w:szCs w:val="32"/>
        </w:rPr>
        <w:t>支出89.01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14.13</w:t>
      </w:r>
      <w:r>
        <w:rPr>
          <w:rFonts w:hint="eastAsia" w:ascii="仿宋_GB2312" w:hAnsi="黑体" w:eastAsia="仿宋_GB2312"/>
          <w:sz w:val="32"/>
          <w:szCs w:val="32"/>
        </w:rPr>
        <w:t>%；</w:t>
      </w:r>
      <w:r>
        <w:rPr>
          <w:rFonts w:hint="eastAsia" w:ascii="仿宋_GB2312" w:hAnsi="黑体" w:eastAsia="仿宋_GB2312"/>
          <w:color w:val="auto"/>
          <w:sz w:val="32"/>
          <w:szCs w:val="32"/>
        </w:rPr>
        <w:t>卫生健康支出</w:t>
      </w:r>
      <w:r>
        <w:rPr>
          <w:rFonts w:hint="eastAsia" w:ascii="仿宋_GB2312" w:hAnsi="黑体" w:eastAsia="仿宋_GB2312"/>
          <w:sz w:val="32"/>
          <w:szCs w:val="32"/>
        </w:rPr>
        <w:t>（类）</w:t>
      </w:r>
      <w:r>
        <w:rPr>
          <w:rFonts w:hint="eastAsia" w:ascii="仿宋_GB2312" w:hAnsi="黑体" w:eastAsia="仿宋_GB2312" w:cs="仿宋_GB2312"/>
          <w:sz w:val="32"/>
          <w:szCs w:val="32"/>
        </w:rPr>
        <w:t>支出78.07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12.4</w:t>
      </w:r>
      <w:r>
        <w:rPr>
          <w:rFonts w:hint="eastAsia" w:ascii="仿宋_GB2312" w:hAnsi="黑体" w:eastAsia="仿宋_GB2312"/>
          <w:sz w:val="32"/>
          <w:szCs w:val="32"/>
        </w:rPr>
        <w:t>%；</w:t>
      </w:r>
      <w:r>
        <w:rPr>
          <w:rFonts w:hint="eastAsia" w:ascii="仿宋_GB2312" w:hAnsi="黑体" w:eastAsia="仿宋_GB2312"/>
          <w:color w:val="auto"/>
          <w:sz w:val="32"/>
          <w:szCs w:val="32"/>
        </w:rPr>
        <w:t>住房保障支出</w:t>
      </w:r>
      <w:r>
        <w:rPr>
          <w:rFonts w:hint="eastAsia" w:ascii="仿宋_GB2312" w:hAnsi="黑体" w:eastAsia="仿宋_GB2312"/>
          <w:sz w:val="32"/>
          <w:szCs w:val="32"/>
        </w:rPr>
        <w:t>（类）</w:t>
      </w:r>
      <w:r>
        <w:rPr>
          <w:rFonts w:hint="eastAsia" w:ascii="仿宋_GB2312" w:hAnsi="黑体" w:eastAsia="仿宋_GB2312" w:cs="仿宋_GB2312"/>
          <w:sz w:val="32"/>
          <w:szCs w:val="32"/>
        </w:rPr>
        <w:t>支出44.30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7.03</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color w:val="auto"/>
          <w:sz w:val="32"/>
          <w:szCs w:val="32"/>
        </w:rPr>
      </w:pPr>
      <w:r>
        <w:rPr>
          <w:rFonts w:hint="eastAsia" w:ascii="仿宋_GB2312" w:hAnsi="黑体" w:eastAsia="仿宋_GB2312" w:cs="仿宋_GB2312"/>
          <w:sz w:val="32"/>
          <w:szCs w:val="32"/>
        </w:rPr>
        <w:t>1.</w:t>
      </w:r>
      <w:r>
        <w:rPr>
          <w:rFonts w:hint="eastAsia" w:ascii="仿宋_GB2312" w:hAnsi="黑体" w:eastAsia="仿宋_GB2312" w:cs="仿宋_GB2312"/>
          <w:color w:val="auto"/>
          <w:sz w:val="32"/>
          <w:szCs w:val="32"/>
        </w:rPr>
        <w:t xml:space="preserve"> 教育支出（类）普通教育（款）学前教育（项）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418.37</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158.37</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主要是合作办学到期，减少4人，工资福利支出支出减少</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2</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社会保障和就业支出（类）行政事业单位养老支出（款）机关事业单位基本养老保险缴费支出（项）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59.91</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15.35</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合作办学到期，减少4人，</w:t>
      </w:r>
      <w:r>
        <w:rPr>
          <w:rFonts w:hint="eastAsia" w:ascii="仿宋_GB2312" w:hAnsi="黑体" w:eastAsia="仿宋_GB2312"/>
          <w:color w:val="auto"/>
          <w:sz w:val="32"/>
          <w:szCs w:val="32"/>
          <w:lang w:eastAsia="zh-CN"/>
        </w:rPr>
        <w:t>支出减少。</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3</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社会保障和就业支出（类）行政事业单位养老支出（款）</w:t>
      </w:r>
      <w:r>
        <w:rPr>
          <w:rFonts w:hint="eastAsia" w:ascii="仿宋_GB2312" w:hAnsi="黑体" w:eastAsia="仿宋_GB2312" w:cs="仿宋_GB2312"/>
          <w:sz w:val="32"/>
          <w:szCs w:val="32"/>
        </w:rPr>
        <w:t>机关事业单位职业年金缴费支出</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29.10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8.53</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合作办学到期，减少4人，</w:t>
      </w:r>
      <w:r>
        <w:rPr>
          <w:rFonts w:hint="eastAsia" w:ascii="仿宋_GB2312" w:hAnsi="黑体" w:eastAsia="仿宋_GB2312"/>
          <w:color w:val="auto"/>
          <w:sz w:val="32"/>
          <w:szCs w:val="32"/>
          <w:lang w:eastAsia="zh-CN"/>
        </w:rPr>
        <w:t>支出减少。</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卫生健康支出（类）行政事业单位医疗（款）事业单位医疗（项）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19.29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7.04</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合作办学到期，减少4人，</w:t>
      </w:r>
      <w:r>
        <w:rPr>
          <w:rFonts w:hint="eastAsia" w:ascii="仿宋_GB2312" w:hAnsi="黑体" w:eastAsia="仿宋_GB2312"/>
          <w:color w:val="auto"/>
          <w:sz w:val="32"/>
          <w:szCs w:val="32"/>
          <w:lang w:eastAsia="zh-CN"/>
        </w:rPr>
        <w:t>支出减少。</w:t>
      </w:r>
      <w:r>
        <w:rPr>
          <w:rFonts w:hint="eastAsia" w:ascii="仿宋_GB2312" w:hAnsi="黑体" w:eastAsia="仿宋_GB2312"/>
          <w:color w:val="auto"/>
          <w:sz w:val="32"/>
          <w:szCs w:val="32"/>
          <w:lang w:val="en-US" w:eastAsia="zh-CN"/>
        </w:rPr>
        <w:t>5</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卫生健康支出（类）行政事业单位医疗（款）公务员医疗补助（项）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rPr>
        <w:t>56.53</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34.48</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合作办学到期，减少4人，</w:t>
      </w:r>
      <w:r>
        <w:rPr>
          <w:rFonts w:hint="eastAsia" w:ascii="仿宋_GB2312" w:hAnsi="黑体" w:eastAsia="仿宋_GB2312"/>
          <w:color w:val="auto"/>
          <w:sz w:val="32"/>
          <w:szCs w:val="32"/>
          <w:lang w:eastAsia="zh-CN"/>
        </w:rPr>
        <w:t>支出减少。</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6</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卫生健康支出（类）行政事业单位医疗（款）其他行政事业单位医疗支出（项）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lang w:val="en-US" w:eastAsia="zh-CN"/>
        </w:rPr>
        <w:t>2.25</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与</w:t>
      </w:r>
      <w:r>
        <w:rPr>
          <w:rFonts w:hint="eastAsia" w:ascii="仿宋_GB2312" w:hAnsi="黑体" w:eastAsia="仿宋_GB2312"/>
          <w:color w:val="auto"/>
          <w:sz w:val="32"/>
          <w:szCs w:val="32"/>
        </w:rPr>
        <w:t>上年预算数</w:t>
      </w:r>
      <w:r>
        <w:rPr>
          <w:rFonts w:hint="eastAsia" w:ascii="仿宋_GB2312" w:hAnsi="黑体" w:eastAsia="仿宋_GB2312"/>
          <w:color w:val="auto"/>
          <w:sz w:val="32"/>
          <w:szCs w:val="32"/>
          <w:lang w:val="en-US" w:eastAsia="zh-CN"/>
        </w:rPr>
        <w:t>持平</w:t>
      </w:r>
      <w:r>
        <w:rPr>
          <w:rFonts w:hint="eastAsia" w:ascii="仿宋_GB2312" w:hAnsi="黑体" w:eastAsia="仿宋_GB2312"/>
          <w:color w:val="auto"/>
          <w:sz w:val="32"/>
          <w:szCs w:val="32"/>
          <w:lang w:eastAsia="zh-CN"/>
        </w:rPr>
        <w:t>。</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7</w:t>
      </w:r>
      <w:r>
        <w:rPr>
          <w:rFonts w:hint="eastAsia" w:ascii="仿宋_GB2312" w:hAnsi="黑体" w:eastAsia="仿宋_GB2312"/>
          <w:color w:val="auto"/>
          <w:sz w:val="32"/>
          <w:szCs w:val="32"/>
        </w:rPr>
        <w:t>.</w:t>
      </w:r>
      <w:r>
        <w:rPr>
          <w:rFonts w:hint="eastAsia" w:ascii="仿宋_GB2312" w:hAnsi="黑体" w:eastAsia="仿宋_GB2312" w:cs="仿宋_GB2312"/>
          <w:color w:val="auto"/>
          <w:sz w:val="32"/>
          <w:szCs w:val="32"/>
        </w:rPr>
        <w:t xml:space="preserve"> 住房保障支出（类）住房改革支出（款）住房公积金（项）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sz w:val="32"/>
          <w:szCs w:val="32"/>
          <w:lang w:val="en-US" w:eastAsia="zh-CN"/>
        </w:rPr>
        <w:t>44.3</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22.08</w:t>
      </w:r>
      <w:r>
        <w:rPr>
          <w:rFonts w:hint="eastAsia" w:ascii="仿宋_GB2312" w:hAnsi="黑体" w:eastAsia="仿宋_GB2312"/>
          <w:color w:val="auto"/>
          <w:sz w:val="32"/>
          <w:szCs w:val="32"/>
          <w:lang w:eastAsia="zh-CN"/>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val="en-US" w:eastAsia="zh-CN"/>
        </w:rPr>
        <w:t>合作办学到期，减少4人，</w:t>
      </w:r>
      <w:r>
        <w:rPr>
          <w:rFonts w:hint="eastAsia" w:ascii="仿宋_GB2312" w:hAnsi="黑体" w:eastAsia="仿宋_GB2312"/>
          <w:color w:val="auto"/>
          <w:sz w:val="32"/>
          <w:szCs w:val="32"/>
          <w:lang w:eastAsia="zh-CN"/>
        </w:rPr>
        <w:t>支出减少。</w:t>
      </w:r>
    </w:p>
    <w:p>
      <w:pPr>
        <w:ind w:firstLine="640"/>
        <w:rPr>
          <w:rFonts w:ascii="黑体" w:hAnsi="黑体" w:eastAsia="黑体"/>
          <w:sz w:val="32"/>
          <w:szCs w:val="32"/>
        </w:rPr>
      </w:pPr>
      <w:r>
        <w:rPr>
          <w:rFonts w:hint="eastAsia" w:ascii="黑体" w:hAnsi="黑体" w:eastAsia="黑体"/>
          <w:sz w:val="32"/>
          <w:szCs w:val="32"/>
        </w:rPr>
        <w:t>三、</w:t>
      </w:r>
      <w:r>
        <w:rPr>
          <w:rFonts w:hint="eastAsia" w:ascii="黑体" w:hAnsi="黑体" w:eastAsia="黑体"/>
          <w:sz w:val="32"/>
          <w:szCs w:val="32"/>
          <w:u w:val="none"/>
        </w:rPr>
        <w:t>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624.89</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620.84</w:t>
      </w:r>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eastAsia="zh-CN"/>
        </w:rPr>
        <w:t>绩效工资</w:t>
      </w:r>
      <w:r>
        <w:rPr>
          <w:rFonts w:hint="eastAsia" w:ascii="仿宋_GB2312" w:hAnsi="黑体" w:eastAsia="仿宋_GB2312"/>
          <w:sz w:val="32"/>
          <w:szCs w:val="32"/>
        </w:rPr>
        <w:t>、社会保障缴费、住房公积金</w:t>
      </w:r>
      <w:r>
        <w:rPr>
          <w:rFonts w:hint="eastAsia" w:ascii="仿宋_GB2312" w:hAnsi="黑体" w:eastAsia="仿宋_GB2312"/>
          <w:sz w:val="32"/>
          <w:szCs w:val="32"/>
          <w:lang w:eastAsia="zh-CN"/>
        </w:rPr>
        <w:t>、医疗费、邮电费</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4.05</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工会经费</w:t>
      </w:r>
      <w:r>
        <w:rPr>
          <w:rFonts w:hint="eastAsia" w:ascii="仿宋_GB2312" w:hAnsi="黑体" w:eastAsia="仿宋_GB2312"/>
          <w:sz w:val="32"/>
          <w:szCs w:val="32"/>
        </w:rPr>
        <w:t>。</w:t>
      </w:r>
    </w:p>
    <w:p>
      <w:pPr>
        <w:spacing w:line="590"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ind w:firstLine="630"/>
        <w:rPr>
          <w:rFonts w:ascii="Times New Roman" w:hAnsi="Times New Roman" w:eastAsia="仿宋_GB2312" w:cs="Times New Roman"/>
          <w:sz w:val="32"/>
          <w:shd w:val="clear" w:color="auto" w:fill="FFFFFF"/>
        </w:rPr>
      </w:pPr>
      <w:r>
        <w:rPr>
          <w:rFonts w:hint="eastAsia" w:ascii="仿宋_GB2312" w:hAnsi="黑体" w:eastAsia="仿宋_GB2312"/>
          <w:sz w:val="32"/>
          <w:szCs w:val="32"/>
        </w:rPr>
        <w:t>（一）</w:t>
      </w:r>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2249" w:firstLineChars="703"/>
        <w:jc w:val="left"/>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无</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 xml:space="preserve">          无</w:t>
      </w:r>
    </w:p>
    <w:p>
      <w:pPr>
        <w:keepNext w:val="0"/>
        <w:keepLines w:val="0"/>
        <w:pageBreakBefore w:val="0"/>
        <w:numPr>
          <w:ilvl w:val="0"/>
          <w:numId w:val="6"/>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spacing w:line="59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0.00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spacing w:line="590" w:lineRule="exact"/>
        <w:ind w:firstLine="640" w:firstLineChars="200"/>
        <w:rPr>
          <w:rFonts w:ascii="黑体" w:hAnsi="黑体" w:eastAsia="黑体" w:cs="Times New Roman"/>
          <w:sz w:val="32"/>
          <w:shd w:val="clear" w:color="auto" w:fill="FFFFFF"/>
        </w:rPr>
      </w:pPr>
      <w:r>
        <w:rPr>
          <w:rFonts w:hint="eastAsia" w:ascii="仿宋_GB2312" w:hAnsi="黑体" w:eastAsia="仿宋_GB2312"/>
          <w:sz w:val="32"/>
          <w:szCs w:val="32"/>
          <w:u w:val="none"/>
          <w:lang w:eastAsia="zh-CN"/>
        </w:rPr>
        <w:t>七</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b w:val="0"/>
          <w:bCs w:val="0"/>
          <w:sz w:val="32"/>
          <w:szCs w:val="32"/>
          <w:shd w:val="clear"/>
          <w:lang w:val="en-US" w:eastAsia="zh-CN"/>
        </w:rPr>
        <w:t>屯昌县实验幼儿园</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w:t>
      </w:r>
      <w:r>
        <w:rPr>
          <w:rFonts w:hint="eastAsia" w:ascii="仿宋_GB2312" w:hAnsi="黑体" w:eastAsia="仿宋_GB2312"/>
          <w:color w:val="auto"/>
          <w:sz w:val="32"/>
          <w:szCs w:val="32"/>
          <w:lang w:eastAsia="zh-CN"/>
        </w:rPr>
        <w:t>教育</w:t>
      </w:r>
      <w:r>
        <w:rPr>
          <w:rFonts w:hint="eastAsia" w:ascii="仿宋_GB2312" w:hAnsi="黑体" w:eastAsia="仿宋_GB2312"/>
          <w:color w:val="auto"/>
          <w:sz w:val="32"/>
          <w:szCs w:val="32"/>
        </w:rPr>
        <w:t>支出、社会保障和就业支出、卫生健康、住房保障支出</w:t>
      </w:r>
      <w:r>
        <w:rPr>
          <w:rFonts w:hint="eastAsia" w:ascii="仿宋_GB2312" w:hAnsi="黑体" w:eastAsia="仿宋_GB2312"/>
          <w:sz w:val="32"/>
          <w:szCs w:val="32"/>
        </w:rPr>
        <w:t>。</w:t>
      </w:r>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b w:val="0"/>
          <w:bCs w:val="0"/>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629.74</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八</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b w:val="0"/>
          <w:bCs w:val="0"/>
          <w:sz w:val="32"/>
          <w:szCs w:val="32"/>
          <w:shd w:val="clear"/>
          <w:lang w:val="en-US" w:eastAsia="zh-CN"/>
        </w:rPr>
        <w:t>屯昌县实验幼儿园</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rPr>
        <w:t>629.74</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4.75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1.75</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rPr>
        <w:t>624.99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99.25</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rPr>
        <w:t>245.87</w:t>
      </w:r>
      <w:r>
        <w:rPr>
          <w:rFonts w:hint="eastAsia" w:ascii="仿宋_GB2312" w:hAnsi="黑体" w:eastAsia="仿宋_GB2312"/>
          <w:sz w:val="32"/>
          <w:szCs w:val="32"/>
        </w:rPr>
        <w:t>万元，</w:t>
      </w:r>
      <w:r>
        <w:rPr>
          <w:rFonts w:hint="eastAsia" w:ascii="仿宋_GB2312" w:hAnsi="黑体" w:eastAsia="仿宋_GB2312"/>
          <w:sz w:val="32"/>
          <w:szCs w:val="32"/>
          <w:lang w:eastAsia="zh-CN"/>
        </w:rPr>
        <w:t>其中：</w:t>
      </w:r>
      <w:r>
        <w:rPr>
          <w:rFonts w:hint="eastAsia" w:ascii="仿宋_GB2312" w:hAnsi="黑体" w:eastAsia="仿宋_GB2312"/>
          <w:color w:val="auto"/>
          <w:sz w:val="32"/>
          <w:szCs w:val="32"/>
          <w:lang w:eastAsia="zh-CN"/>
        </w:rPr>
        <w:t>上年结转减少</w:t>
      </w:r>
      <w:r>
        <w:rPr>
          <w:rFonts w:hint="eastAsia" w:ascii="仿宋_GB2312" w:hAnsi="黑体" w:eastAsia="仿宋_GB2312"/>
          <w:color w:val="auto"/>
          <w:sz w:val="32"/>
          <w:szCs w:val="32"/>
          <w:lang w:val="en-US" w:eastAsia="zh-CN"/>
        </w:rPr>
        <w:t>-8.18</w:t>
      </w:r>
      <w:r>
        <w:rPr>
          <w:rFonts w:hint="eastAsia" w:ascii="仿宋_GB2312" w:hAnsi="黑体" w:eastAsia="仿宋_GB2312"/>
          <w:color w:val="auto"/>
          <w:sz w:val="32"/>
          <w:szCs w:val="32"/>
        </w:rPr>
        <w:t>万元、</w:t>
      </w:r>
      <w:r>
        <w:rPr>
          <w:rFonts w:hint="eastAsia" w:ascii="仿宋_GB2312" w:hAnsi="黑体" w:eastAsia="仿宋_GB2312"/>
          <w:sz w:val="32"/>
          <w:szCs w:val="32"/>
        </w:rPr>
        <w:t>一般公共预算拨款收入</w:t>
      </w:r>
      <w:r>
        <w:rPr>
          <w:rFonts w:hint="eastAsia" w:ascii="仿宋_GB2312" w:hAnsi="黑体" w:eastAsia="仿宋_GB2312"/>
          <w:sz w:val="32"/>
          <w:szCs w:val="32"/>
          <w:lang w:eastAsia="zh-CN"/>
        </w:rPr>
        <w:t>减少237.69</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九</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b w:val="0"/>
          <w:bCs w:val="0"/>
          <w:sz w:val="32"/>
          <w:szCs w:val="32"/>
          <w:shd w:val="clear"/>
          <w:lang w:val="en-US" w:eastAsia="zh-CN"/>
        </w:rPr>
        <w:t>屯昌县实验幼儿园</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rPr>
        <w:t>629.74</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624.89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99.23</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4.85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1.77</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245.87</w:t>
      </w:r>
      <w:r>
        <w:rPr>
          <w:rFonts w:hint="eastAsia" w:ascii="仿宋_GB2312" w:hAnsi="黑体" w:eastAsia="仿宋_GB2312"/>
          <w:sz w:val="32"/>
          <w:szCs w:val="32"/>
          <w:lang w:val="en-US" w:eastAsia="zh-CN"/>
        </w:rPr>
        <w:t>万</w:t>
      </w:r>
      <w:r>
        <w:rPr>
          <w:rFonts w:hint="eastAsia" w:ascii="仿宋_GB2312" w:hAnsi="黑体" w:eastAsia="仿宋_GB2312"/>
          <w:sz w:val="32"/>
          <w:szCs w:val="32"/>
        </w:rPr>
        <w:t>元，主要是</w:t>
      </w:r>
      <w:r>
        <w:rPr>
          <w:rFonts w:hint="eastAsia" w:ascii="仿宋_GB2312" w:hAnsi="黑体" w:eastAsia="仿宋_GB2312"/>
          <w:sz w:val="32"/>
          <w:szCs w:val="32"/>
          <w:lang w:eastAsia="zh-CN"/>
        </w:rPr>
        <w:t>基本支出增加</w:t>
      </w:r>
      <w:r>
        <w:rPr>
          <w:rFonts w:hint="eastAsia" w:ascii="仿宋_GB2312" w:hAnsi="黑体" w:eastAsia="仿宋_GB2312"/>
          <w:sz w:val="32"/>
          <w:szCs w:val="32"/>
          <w:lang w:val="en-US" w:eastAsia="zh-CN"/>
        </w:rPr>
        <w:t>237.79万元，项目支出减少8.08万元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十</w:t>
      </w:r>
      <w:r>
        <w:rPr>
          <w:rFonts w:hint="eastAsia" w:ascii="黑体" w:hAnsi="黑体" w:eastAsia="黑体" w:cs="Times New Roman"/>
          <w:sz w:val="32"/>
          <w:shd w:val="clear" w:color="auto" w:fill="FFFFFF"/>
        </w:rPr>
        <w:t>、其他重要事项的情况说明</w:t>
      </w:r>
    </w:p>
    <w:p>
      <w:pPr>
        <w:ind w:firstLine="640" w:firstLineChars="200"/>
        <w:rPr>
          <w:rFonts w:hint="eastAsia" w:ascii="仿宋_GB2312" w:hAnsi="黑体" w:eastAsia="仿宋_GB2312" w:cs="仿宋_GB2312"/>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b w:val="0"/>
          <w:bCs w:val="0"/>
          <w:sz w:val="32"/>
          <w:szCs w:val="32"/>
          <w:lang w:val="en-US" w:eastAsia="zh-CN"/>
        </w:rPr>
        <w:t>无</w:t>
      </w:r>
      <w:r>
        <w:rPr>
          <w:rFonts w:hint="eastAsia" w:ascii="仿宋_GB2312" w:hAnsi="黑体" w:eastAsia="仿宋_GB2312" w:cs="仿宋_GB2312"/>
          <w:sz w:val="32"/>
          <w:szCs w:val="32"/>
        </w:rPr>
        <w:t>机关运行经费预算</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0"/>
          <w:szCs w:val="30"/>
          <w:lang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bookmarkStart w:id="0" w:name="_GoBack"/>
      <w:bookmarkEnd w:id="0"/>
      <w:r>
        <w:rPr>
          <w:rFonts w:hint="eastAsia" w:ascii="仿宋_GB2312" w:hAnsi="黑体" w:eastAsia="仿宋_GB2312" w:cs="黑体"/>
          <w:b w:val="0"/>
          <w:bCs w:val="0"/>
          <w:sz w:val="32"/>
          <w:szCs w:val="32"/>
          <w:lang w:val="en-US" w:eastAsia="zh-CN"/>
        </w:rPr>
        <w:t>屯昌县实验幼儿园</w:t>
      </w:r>
      <w:r>
        <w:rPr>
          <w:rFonts w:hint="eastAsia" w:ascii="仿宋_GB2312" w:hAnsi="黑体" w:eastAsia="仿宋_GB2312" w:cs="仿宋_GB2312"/>
          <w:sz w:val="32"/>
          <w:szCs w:val="32"/>
          <w:lang w:val="en-US" w:eastAsia="zh-CN"/>
        </w:rPr>
        <w:t>12</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625</w:t>
      </w:r>
      <w:r>
        <w:rPr>
          <w:rFonts w:hint="eastAsia" w:ascii="仿宋_GB2312" w:hAnsi="黑体" w:eastAsia="仿宋_GB2312"/>
          <w:sz w:val="32"/>
          <w:szCs w:val="32"/>
        </w:rPr>
        <w:t>万元。</w:t>
      </w:r>
    </w:p>
    <w:p>
      <w:pPr>
        <w:jc w:val="center"/>
        <w:rPr>
          <w:rFonts w:ascii="黑体" w:hAnsi="黑体" w:eastAsia="黑体"/>
          <w:sz w:val="32"/>
          <w:szCs w:val="32"/>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0" w:firstLineChars="0"/>
        <w:jc w:val="left"/>
        <w:rPr>
          <w:rFonts w:ascii="仿宋_GB2312" w:hAnsi="黑体" w:eastAsia="仿宋_GB2312" w:cs="仿宋_GB2312"/>
          <w:sz w:val="32"/>
          <w:szCs w:val="32"/>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96C18C"/>
    <w:multiLevelType w:val="singleLevel"/>
    <w:tmpl w:val="B296C18C"/>
    <w:lvl w:ilvl="0" w:tentative="0">
      <w:start w:val="1"/>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F6848"/>
    <w:rsid w:val="123C1207"/>
    <w:rsid w:val="167B3270"/>
    <w:rsid w:val="19D5DA33"/>
    <w:rsid w:val="1FBF8E30"/>
    <w:rsid w:val="212934D5"/>
    <w:rsid w:val="2BDF0DC0"/>
    <w:rsid w:val="2F0911E7"/>
    <w:rsid w:val="2FF7110D"/>
    <w:rsid w:val="2FFFCED3"/>
    <w:rsid w:val="3F7FB4B5"/>
    <w:rsid w:val="3FAD4D11"/>
    <w:rsid w:val="4D90054D"/>
    <w:rsid w:val="4FB80849"/>
    <w:rsid w:val="51014AB8"/>
    <w:rsid w:val="55CA6478"/>
    <w:rsid w:val="57AD7BB7"/>
    <w:rsid w:val="5AF85E11"/>
    <w:rsid w:val="5DB7E539"/>
    <w:rsid w:val="60115663"/>
    <w:rsid w:val="628C0EDE"/>
    <w:rsid w:val="66DACB0B"/>
    <w:rsid w:val="697BF56A"/>
    <w:rsid w:val="69D079A0"/>
    <w:rsid w:val="6B6CE30F"/>
    <w:rsid w:val="6C7F1319"/>
    <w:rsid w:val="6DDF74AC"/>
    <w:rsid w:val="6FAF0D8D"/>
    <w:rsid w:val="6FCFCADC"/>
    <w:rsid w:val="6FFA4FE6"/>
    <w:rsid w:val="717F6855"/>
    <w:rsid w:val="75FB0B04"/>
    <w:rsid w:val="79F7B683"/>
    <w:rsid w:val="7A6E76F4"/>
    <w:rsid w:val="7D73BCCE"/>
    <w:rsid w:val="7DE79FA0"/>
    <w:rsid w:val="7DEBCAFF"/>
    <w:rsid w:val="7E87500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List Paragraph_ae4f8f85-048c-45a2-9fa5-5c1716267bc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4</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Administrator</cp:lastModifiedBy>
  <dcterms:modified xsi:type="dcterms:W3CDTF">2026-03-08T23:38:19Z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452BD82BD666496991AA5B5D724FAF7C</vt:lpwstr>
  </property>
</Properties>
</file>