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AABE7A">
      <w:pPr>
        <w:spacing w:line="560" w:lineRule="exact"/>
        <w:rPr>
          <w:sz w:val="84"/>
          <w:szCs w:val="84"/>
          <w:u w:val="none"/>
        </w:rPr>
      </w:pPr>
    </w:p>
    <w:p w14:paraId="2593F808">
      <w:pPr>
        <w:spacing w:line="560" w:lineRule="exact"/>
        <w:rPr>
          <w:sz w:val="84"/>
          <w:szCs w:val="84"/>
          <w:u w:val="none"/>
        </w:rPr>
      </w:pPr>
    </w:p>
    <w:p w14:paraId="5F8E5446">
      <w:pPr>
        <w:spacing w:line="560" w:lineRule="exact"/>
        <w:rPr>
          <w:sz w:val="84"/>
          <w:szCs w:val="84"/>
          <w:u w:val="none"/>
        </w:rPr>
      </w:pPr>
    </w:p>
    <w:p w14:paraId="17D29040">
      <w:pPr>
        <w:spacing w:line="560" w:lineRule="exact"/>
        <w:rPr>
          <w:sz w:val="84"/>
          <w:szCs w:val="84"/>
          <w:u w:val="none"/>
        </w:rPr>
      </w:pPr>
    </w:p>
    <w:p w14:paraId="4DA66B5F">
      <w:pPr>
        <w:spacing w:line="560" w:lineRule="exact"/>
        <w:jc w:val="center"/>
        <w:rPr>
          <w:rFonts w:hint="eastAsia"/>
          <w:sz w:val="52"/>
          <w:szCs w:val="52"/>
          <w:u w:val="none"/>
          <w:lang w:val="en-US" w:eastAsia="zh-CN"/>
        </w:rPr>
      </w:pPr>
    </w:p>
    <w:p w14:paraId="62F45495">
      <w:pPr>
        <w:spacing w:line="560" w:lineRule="exact"/>
        <w:jc w:val="center"/>
        <w:rPr>
          <w:rFonts w:hint="eastAsia"/>
          <w:sz w:val="52"/>
          <w:szCs w:val="52"/>
          <w:u w:val="none"/>
          <w:lang w:val="en-US" w:eastAsia="zh-CN"/>
        </w:rPr>
      </w:pPr>
    </w:p>
    <w:p w14:paraId="2BA7AEF3">
      <w:pPr>
        <w:spacing w:line="560" w:lineRule="exact"/>
        <w:jc w:val="center"/>
        <w:rPr>
          <w:rFonts w:hint="eastAsia"/>
          <w:sz w:val="52"/>
          <w:szCs w:val="52"/>
          <w:u w:val="none"/>
          <w:lang w:val="en-US" w:eastAsia="zh-CN"/>
        </w:rPr>
      </w:pPr>
    </w:p>
    <w:p w14:paraId="16D96380">
      <w:pPr>
        <w:spacing w:line="560" w:lineRule="exact"/>
        <w:jc w:val="center"/>
        <w:rPr>
          <w:rFonts w:hint="eastAsia"/>
          <w:sz w:val="52"/>
          <w:szCs w:val="52"/>
          <w:u w:val="none"/>
          <w:lang w:val="en-US" w:eastAsia="zh-CN"/>
        </w:rPr>
      </w:pPr>
    </w:p>
    <w:p w14:paraId="20887464">
      <w:pPr>
        <w:spacing w:line="560" w:lineRule="exact"/>
        <w:jc w:val="center"/>
        <w:rPr>
          <w:rFonts w:hint="eastAsia"/>
          <w:sz w:val="52"/>
          <w:szCs w:val="52"/>
          <w:u w:val="none"/>
          <w:lang w:val="en-US" w:eastAsia="zh-CN"/>
        </w:rPr>
      </w:pPr>
    </w:p>
    <w:p w14:paraId="45FBB53E">
      <w:pPr>
        <w:spacing w:line="560" w:lineRule="exact"/>
        <w:jc w:val="center"/>
        <w:rPr>
          <w:rFonts w:hint="eastAsia"/>
          <w:sz w:val="52"/>
          <w:szCs w:val="52"/>
          <w:u w:val="none"/>
          <w:lang w:val="en-US" w:eastAsia="zh-CN"/>
        </w:rPr>
      </w:pPr>
    </w:p>
    <w:p w14:paraId="0CA6FD24">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ascii="方正小标宋_GBK" w:hAnsi="方正小标宋_GBK" w:eastAsia="方正小标宋_GBK" w:cs="方正小标宋_GBK"/>
          <w:sz w:val="44"/>
          <w:szCs w:val="44"/>
          <w:u w:val="none"/>
          <w:lang w:val="en-US" w:eastAsia="zh-CN"/>
        </w:rPr>
        <w:t>屯昌县南坤镇藤寨幼儿园</w:t>
      </w:r>
    </w:p>
    <w:p w14:paraId="121A50F9">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rPr>
        <w:t>预算</w:t>
      </w:r>
      <w:r>
        <w:rPr>
          <w:rFonts w:hint="eastAsia" w:ascii="方正小标宋_GBK" w:hAnsi="方正小标宋_GBK" w:eastAsia="方正小标宋_GBK" w:cs="方正小标宋_GBK"/>
          <w:sz w:val="44"/>
          <w:szCs w:val="44"/>
          <w:u w:val="none"/>
          <w:lang w:val="en-US" w:eastAsia="zh-CN"/>
        </w:rPr>
        <w:t>公开说明</w:t>
      </w:r>
    </w:p>
    <w:p w14:paraId="48DB1F01">
      <w:pPr>
        <w:spacing w:line="560" w:lineRule="exact"/>
        <w:ind w:firstLine="1680"/>
        <w:jc w:val="center"/>
        <w:rPr>
          <w:sz w:val="84"/>
          <w:szCs w:val="84"/>
          <w:u w:val="none"/>
        </w:rPr>
      </w:pPr>
    </w:p>
    <w:p w14:paraId="030249B9">
      <w:pPr>
        <w:spacing w:line="560" w:lineRule="exact"/>
        <w:ind w:firstLine="1680"/>
        <w:jc w:val="center"/>
        <w:rPr>
          <w:sz w:val="84"/>
          <w:szCs w:val="84"/>
          <w:u w:val="none"/>
        </w:rPr>
      </w:pPr>
    </w:p>
    <w:p w14:paraId="1CCD7A44">
      <w:pPr>
        <w:spacing w:line="560" w:lineRule="exact"/>
        <w:ind w:firstLine="1680"/>
        <w:jc w:val="center"/>
        <w:rPr>
          <w:sz w:val="84"/>
          <w:szCs w:val="84"/>
          <w:u w:val="none"/>
        </w:rPr>
      </w:pPr>
    </w:p>
    <w:p w14:paraId="7AFC4A2D">
      <w:pPr>
        <w:spacing w:line="560" w:lineRule="exact"/>
        <w:ind w:firstLine="1680"/>
        <w:jc w:val="center"/>
        <w:rPr>
          <w:sz w:val="84"/>
          <w:szCs w:val="84"/>
          <w:u w:val="none"/>
        </w:rPr>
      </w:pPr>
    </w:p>
    <w:p w14:paraId="72BFBA2C">
      <w:pPr>
        <w:rPr>
          <w:sz w:val="84"/>
          <w:szCs w:val="84"/>
          <w:u w:val="none"/>
        </w:rPr>
      </w:pPr>
      <w:r>
        <w:rPr>
          <w:sz w:val="84"/>
          <w:szCs w:val="84"/>
          <w:u w:val="none"/>
        </w:rPr>
        <w:br w:type="page"/>
      </w:r>
    </w:p>
    <w:p w14:paraId="4A25140B">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38FB61AF">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黑体" w:hAnsi="黑体" w:eastAsia="黑体"/>
          <w:sz w:val="32"/>
          <w:szCs w:val="32"/>
        </w:rPr>
        <w:t>屯昌县</w:t>
      </w:r>
      <w:r>
        <w:rPr>
          <w:rFonts w:hint="eastAsia" w:ascii="黑体" w:hAnsi="黑体" w:eastAsia="黑体"/>
          <w:sz w:val="32"/>
          <w:szCs w:val="32"/>
          <w:lang w:eastAsia="zh-CN"/>
        </w:rPr>
        <w:t>南坤镇</w:t>
      </w:r>
      <w:r>
        <w:rPr>
          <w:rFonts w:hint="eastAsia" w:ascii="黑体" w:hAnsi="黑体" w:eastAsia="黑体"/>
          <w:sz w:val="32"/>
          <w:szCs w:val="32"/>
          <w:lang w:val="en-US" w:eastAsia="zh-CN"/>
        </w:rPr>
        <w:t>藤寨幼儿</w:t>
      </w:r>
      <w:r>
        <w:rPr>
          <w:rFonts w:hint="eastAsia" w:ascii="黑体" w:hAnsi="黑体" w:eastAsia="黑体"/>
          <w:sz w:val="32"/>
          <w:szCs w:val="32"/>
        </w:rPr>
        <w:t>园</w:t>
      </w:r>
      <w:r>
        <w:rPr>
          <w:rFonts w:hint="eastAsia" w:ascii="方正黑体_GBK" w:hAnsi="方正黑体_GBK" w:eastAsia="方正黑体_GBK" w:cs="方正黑体_GBK"/>
          <w:sz w:val="32"/>
          <w:szCs w:val="32"/>
          <w:u w:val="none"/>
        </w:rPr>
        <w:t>概况</w:t>
      </w:r>
    </w:p>
    <w:p w14:paraId="4C22AB6F">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5799F384">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val="en-US" w:eastAsia="zh-CN"/>
        </w:rPr>
        <w:t>二、</w:t>
      </w:r>
      <w:r>
        <w:rPr>
          <w:rFonts w:hint="eastAsia" w:ascii="方正仿宋_GBK" w:hAnsi="方正仿宋_GBK" w:eastAsia="方正仿宋_GBK" w:cs="方正仿宋_GBK"/>
          <w:sz w:val="32"/>
          <w:szCs w:val="32"/>
          <w:u w:val="none"/>
        </w:rPr>
        <w:t>部门预算单位构成（单位公开没有这部分内容）</w:t>
      </w:r>
    </w:p>
    <w:p w14:paraId="3A95B43C">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黑体" w:hAnsi="黑体" w:eastAsia="黑体"/>
          <w:sz w:val="32"/>
          <w:szCs w:val="32"/>
        </w:rPr>
        <w:t>屯昌县</w:t>
      </w:r>
      <w:r>
        <w:rPr>
          <w:rFonts w:hint="eastAsia" w:ascii="黑体" w:hAnsi="黑体" w:eastAsia="黑体"/>
          <w:sz w:val="32"/>
          <w:szCs w:val="32"/>
          <w:lang w:eastAsia="zh-CN"/>
        </w:rPr>
        <w:t>南坤镇</w:t>
      </w:r>
      <w:r>
        <w:rPr>
          <w:rFonts w:hint="eastAsia" w:ascii="黑体" w:hAnsi="黑体" w:eastAsia="黑体"/>
          <w:sz w:val="32"/>
          <w:szCs w:val="32"/>
          <w:lang w:val="en-US" w:eastAsia="zh-CN"/>
        </w:rPr>
        <w:t>藤寨幼</w:t>
      </w:r>
      <w:r>
        <w:rPr>
          <w:rFonts w:hint="eastAsia" w:ascii="黑体" w:hAnsi="黑体" w:eastAsia="黑体"/>
          <w:sz w:val="32"/>
          <w:szCs w:val="32"/>
        </w:rPr>
        <w:t>儿园</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14:paraId="32D11F23">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7F1F7023">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155D2647">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4DA576D8">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696FDDE1">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27B0BF5E">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58096BA9">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5BE25ECA">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207191E5">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170BFC12">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06E2A96F">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79D1350F">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黑体" w:hAnsi="黑体" w:eastAsia="黑体"/>
          <w:sz w:val="32"/>
          <w:szCs w:val="32"/>
        </w:rPr>
        <w:t>屯昌县</w:t>
      </w:r>
      <w:r>
        <w:rPr>
          <w:rFonts w:hint="eastAsia" w:ascii="黑体" w:hAnsi="黑体" w:eastAsia="黑体"/>
          <w:sz w:val="32"/>
          <w:szCs w:val="32"/>
          <w:lang w:eastAsia="zh-CN"/>
        </w:rPr>
        <w:t>南坤镇</w:t>
      </w:r>
      <w:r>
        <w:rPr>
          <w:rFonts w:hint="eastAsia" w:ascii="黑体" w:hAnsi="黑体" w:eastAsia="黑体"/>
          <w:sz w:val="32"/>
          <w:szCs w:val="32"/>
          <w:lang w:val="en-US" w:eastAsia="zh-CN"/>
        </w:rPr>
        <w:t>藤寨幼</w:t>
      </w:r>
      <w:r>
        <w:rPr>
          <w:rFonts w:hint="eastAsia" w:ascii="黑体" w:hAnsi="黑体" w:eastAsia="黑体"/>
          <w:sz w:val="32"/>
          <w:szCs w:val="32"/>
        </w:rPr>
        <w:t>儿园</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14:paraId="085E5690">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4A4E3A93">
      <w:pPr>
        <w:jc w:val="left"/>
        <w:rPr>
          <w:rFonts w:hint="eastAsia" w:ascii="黑体" w:hAnsi="黑体" w:eastAsia="黑体"/>
          <w:sz w:val="52"/>
          <w:szCs w:val="52"/>
          <w:u w:val="none"/>
        </w:rPr>
      </w:pPr>
    </w:p>
    <w:p w14:paraId="282B1192">
      <w:pPr>
        <w:pStyle w:val="6"/>
        <w:spacing w:line="560" w:lineRule="exact"/>
        <w:ind w:left="1320" w:firstLine="0" w:firstLineChars="0"/>
        <w:jc w:val="left"/>
        <w:rPr>
          <w:rFonts w:ascii="黑体" w:hAnsi="黑体" w:eastAsia="黑体"/>
          <w:sz w:val="32"/>
          <w:szCs w:val="32"/>
          <w:u w:val="none"/>
        </w:rPr>
      </w:pPr>
    </w:p>
    <w:p w14:paraId="0E0C8882">
      <w:pPr>
        <w:ind w:firstLine="1920" w:firstLineChars="600"/>
        <w:jc w:val="both"/>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黑体" w:hAnsi="黑体" w:eastAsia="黑体"/>
          <w:sz w:val="32"/>
          <w:szCs w:val="32"/>
        </w:rPr>
        <w:t>屯昌县</w:t>
      </w:r>
      <w:r>
        <w:rPr>
          <w:rFonts w:hint="eastAsia" w:ascii="黑体" w:hAnsi="黑体" w:eastAsia="黑体"/>
          <w:sz w:val="32"/>
          <w:szCs w:val="32"/>
          <w:lang w:eastAsia="zh-CN"/>
        </w:rPr>
        <w:t>南坤镇</w:t>
      </w:r>
      <w:r>
        <w:rPr>
          <w:rFonts w:hint="eastAsia" w:ascii="黑体" w:hAnsi="黑体" w:eastAsia="黑体"/>
          <w:sz w:val="32"/>
          <w:szCs w:val="32"/>
          <w:lang w:val="en-US" w:eastAsia="zh-CN"/>
        </w:rPr>
        <w:t>藤寨幼</w:t>
      </w:r>
      <w:r>
        <w:rPr>
          <w:rFonts w:hint="eastAsia" w:ascii="黑体" w:hAnsi="黑体" w:eastAsia="黑体"/>
          <w:sz w:val="32"/>
          <w:szCs w:val="32"/>
        </w:rPr>
        <w:t>儿园</w:t>
      </w:r>
      <w:r>
        <w:rPr>
          <w:rFonts w:hint="eastAsia" w:ascii="方正黑体_GBK" w:hAnsi="方正黑体_GBK" w:eastAsia="方正黑体_GBK" w:cs="方正黑体_GBK"/>
          <w:sz w:val="32"/>
          <w:szCs w:val="32"/>
          <w:u w:val="none"/>
        </w:rPr>
        <w:t>概况</w:t>
      </w:r>
    </w:p>
    <w:p w14:paraId="5B4B0B80">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14:paraId="671BC9A9">
      <w:pPr>
        <w:pStyle w:val="6"/>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02DF6662">
      <w:pPr>
        <w:pStyle w:val="6"/>
        <w:numPr>
          <w:ilvl w:val="0"/>
          <w:numId w:val="0"/>
        </w:numPr>
        <w:ind w:leftChars="0"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（一）实行保育和教育相结合的原则，为家长解除后顾之忧，热忱为家长服务。</w:t>
      </w:r>
    </w:p>
    <w:p w14:paraId="0949B0B8">
      <w:pPr>
        <w:pStyle w:val="6"/>
        <w:numPr>
          <w:ilvl w:val="0"/>
          <w:numId w:val="0"/>
        </w:numPr>
        <w:ind w:leftChars="0"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（二）为儿童提供健康、丰富的生活和活动环境，促进幼儿体智德美等和谐发展，全面实施素质教育。</w:t>
      </w:r>
    </w:p>
    <w:p w14:paraId="3D5F486C">
      <w:pPr>
        <w:pStyle w:val="6"/>
        <w:numPr>
          <w:ilvl w:val="0"/>
          <w:numId w:val="0"/>
        </w:numPr>
        <w:ind w:leftChars="0"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（三）严格执行幼儿园安全、卫生保健制度，保证幼儿身心健康和生命安全。</w:t>
      </w:r>
    </w:p>
    <w:p w14:paraId="58164BD1">
      <w:pPr>
        <w:pStyle w:val="6"/>
        <w:numPr>
          <w:ilvl w:val="0"/>
          <w:numId w:val="0"/>
        </w:numPr>
        <w:ind w:leftChars="0"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（四）充分利用幼儿和社区的资源优势，面向家长开展多种形式的早期教育宣传、指导等服务，促进家庭教育质量的不断提高。</w:t>
      </w:r>
    </w:p>
    <w:p w14:paraId="0CE567B3">
      <w:pPr>
        <w:pStyle w:val="6"/>
        <w:numPr>
          <w:ilvl w:val="0"/>
          <w:numId w:val="0"/>
        </w:numPr>
        <w:ind w:leftChars="0"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（五）贯彻幼儿教育法规、传播科学教育理念、开展教育科学研究、培训师资，发挥示范性幼儿园的示范、辐射作用。</w:t>
      </w:r>
    </w:p>
    <w:p w14:paraId="05300273">
      <w:pPr>
        <w:pStyle w:val="6"/>
        <w:numPr>
          <w:ilvl w:val="0"/>
          <w:numId w:val="0"/>
        </w:numPr>
        <w:ind w:leftChars="0"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（六）承办上级主管部门交办的其他工作。</w:t>
      </w:r>
    </w:p>
    <w:p w14:paraId="3E8D67F8">
      <w:pPr>
        <w:pStyle w:val="6"/>
        <w:numPr>
          <w:ilvl w:val="0"/>
          <w:numId w:val="0"/>
        </w:numPr>
        <w:spacing w:line="578" w:lineRule="exact"/>
        <w:ind w:left="630" w:leftChars="0"/>
        <w:jc w:val="left"/>
        <w:rPr>
          <w:rFonts w:ascii="黑体" w:hAnsi="黑体" w:eastAsia="黑体" w:cs="仿宋_GB2312"/>
          <w:sz w:val="32"/>
          <w:szCs w:val="32"/>
        </w:rPr>
      </w:pPr>
      <w:r>
        <w:rPr>
          <w:rFonts w:hint="eastAsia" w:ascii="黑体" w:hAnsi="黑体" w:eastAsia="黑体" w:cs="仿宋_GB2312"/>
          <w:sz w:val="32"/>
          <w:szCs w:val="32"/>
          <w:lang w:val="en-US" w:eastAsia="zh-CN"/>
        </w:rPr>
        <w:t>二、</w:t>
      </w:r>
      <w:r>
        <w:rPr>
          <w:rFonts w:hint="eastAsia" w:ascii="黑体" w:hAnsi="黑体" w:eastAsia="黑体" w:cs="仿宋_GB2312"/>
          <w:sz w:val="32"/>
          <w:szCs w:val="32"/>
        </w:rPr>
        <w:t>部门预算单位构成（单位公开没有此部分内容）</w:t>
      </w:r>
    </w:p>
    <w:p w14:paraId="50B0DB24">
      <w:pPr>
        <w:spacing w:line="578" w:lineRule="exact"/>
        <w:ind w:firstLine="630"/>
        <w:rPr>
          <w:rFonts w:hint="eastAsia" w:ascii="黑体" w:hAnsi="黑体" w:eastAsia="黑体"/>
          <w:sz w:val="32"/>
          <w:szCs w:val="32"/>
        </w:rPr>
      </w:pPr>
      <w:r>
        <w:rPr>
          <w:rFonts w:hint="eastAsia" w:ascii="仿宋" w:hAnsi="仿宋" w:eastAsia="仿宋" w:cs="仿宋"/>
          <w:sz w:val="32"/>
          <w:shd w:val="clear" w:color="auto" w:fill="FFFFFF"/>
          <w:lang w:val="en-US" w:eastAsia="zh-CN"/>
        </w:rPr>
        <w:t>无</w:t>
      </w:r>
    </w:p>
    <w:p w14:paraId="1037EC54">
      <w:pPr>
        <w:ind w:firstLine="640" w:firstLineChars="200"/>
        <w:rPr>
          <w:rFonts w:ascii="黑体" w:hAnsi="黑体" w:eastAsia="黑体"/>
          <w:sz w:val="32"/>
          <w:szCs w:val="32"/>
        </w:rPr>
      </w:pPr>
      <w:r>
        <w:rPr>
          <w:rFonts w:hint="eastAsia" w:ascii="黑体" w:hAnsi="黑体" w:eastAsia="黑体"/>
          <w:sz w:val="32"/>
          <w:szCs w:val="32"/>
        </w:rPr>
        <w:t>第二部分</w:t>
      </w:r>
      <w:r>
        <w:rPr>
          <w:rFonts w:hint="eastAsia" w:ascii="黑体" w:hAnsi="黑体" w:eastAsia="黑体"/>
          <w:sz w:val="32"/>
          <w:szCs w:val="32"/>
          <w:lang w:val="en-US" w:eastAsia="zh-CN"/>
        </w:rPr>
        <w:t xml:space="preserve">  </w:t>
      </w:r>
      <w:r>
        <w:rPr>
          <w:rFonts w:hint="eastAsia" w:ascii="黑体" w:hAnsi="黑体" w:eastAsia="黑体"/>
          <w:sz w:val="32"/>
          <w:szCs w:val="32"/>
        </w:rPr>
        <w:t>屯昌县南坤镇</w:t>
      </w:r>
      <w:r>
        <w:rPr>
          <w:rFonts w:hint="eastAsia" w:ascii="黑体" w:hAnsi="黑体" w:eastAsia="黑体"/>
          <w:sz w:val="32"/>
          <w:szCs w:val="32"/>
          <w:lang w:val="en-US" w:eastAsia="zh-CN"/>
        </w:rPr>
        <w:t>藤寨</w:t>
      </w:r>
      <w:r>
        <w:rPr>
          <w:rFonts w:hint="eastAsia" w:ascii="黑体" w:hAnsi="黑体" w:eastAsia="黑体"/>
          <w:sz w:val="32"/>
          <w:szCs w:val="32"/>
        </w:rPr>
        <w:t>幼儿园202</w:t>
      </w:r>
      <w:r>
        <w:rPr>
          <w:rFonts w:hint="eastAsia" w:ascii="黑体" w:hAnsi="黑体" w:eastAsia="黑体"/>
          <w:sz w:val="32"/>
          <w:szCs w:val="32"/>
          <w:lang w:val="en-US" w:eastAsia="zh-CN"/>
        </w:rPr>
        <w:t>6</w:t>
      </w:r>
      <w:bookmarkStart w:id="0" w:name="_GoBack"/>
      <w:bookmarkEnd w:id="0"/>
      <w:r>
        <w:rPr>
          <w:rFonts w:hint="eastAsia" w:ascii="黑体" w:hAnsi="黑体" w:eastAsia="黑体"/>
          <w:sz w:val="32"/>
          <w:szCs w:val="32"/>
        </w:rPr>
        <w:t>年单位预算表</w:t>
      </w:r>
    </w:p>
    <w:p w14:paraId="5E0ADFCD">
      <w:pPr>
        <w:ind w:left="800"/>
        <w:jc w:val="left"/>
        <w:rPr>
          <w:rFonts w:ascii="黑体" w:hAnsi="黑体" w:eastAsia="黑体"/>
          <w:sz w:val="32"/>
          <w:szCs w:val="32"/>
        </w:rPr>
      </w:pPr>
    </w:p>
    <w:p w14:paraId="55DAA34E">
      <w:pPr>
        <w:ind w:left="800"/>
        <w:jc w:val="center"/>
        <w:rPr>
          <w:rFonts w:hint="eastAsia" w:ascii="仿宋_GB2312" w:hAnsi="黑体" w:eastAsia="仿宋_GB2312"/>
          <w:b/>
          <w:sz w:val="32"/>
          <w:szCs w:val="32"/>
        </w:rPr>
      </w:pPr>
      <w:r>
        <w:rPr>
          <w:rFonts w:hint="eastAsia" w:ascii="仿宋_GB2312" w:hAnsi="黑体" w:eastAsia="仿宋_GB2312"/>
          <w:b/>
          <w:sz w:val="32"/>
          <w:szCs w:val="32"/>
        </w:rPr>
        <w:t>（此部分内容为单位预算公开表）</w:t>
      </w:r>
    </w:p>
    <w:p w14:paraId="0B980769">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黑体" w:eastAsia="仿宋_GB2312"/>
          <w:b/>
          <w:sz w:val="32"/>
          <w:szCs w:val="32"/>
          <w:u w:val="none"/>
        </w:rPr>
      </w:pPr>
    </w:p>
    <w:p w14:paraId="156F18CA">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w:t>
      </w:r>
      <w:r>
        <w:rPr>
          <w:rFonts w:hint="eastAsia" w:ascii="黑体" w:hAnsi="黑体" w:eastAsia="黑体" w:cs="黑体"/>
          <w:sz w:val="32"/>
          <w:szCs w:val="32"/>
        </w:rPr>
        <w:t>屯昌县南坤镇</w:t>
      </w:r>
      <w:r>
        <w:rPr>
          <w:rFonts w:hint="eastAsia" w:ascii="黑体" w:hAnsi="黑体" w:eastAsia="黑体" w:cs="黑体"/>
          <w:sz w:val="32"/>
          <w:szCs w:val="32"/>
          <w:lang w:val="en-US" w:eastAsia="zh-CN"/>
        </w:rPr>
        <w:t>藤寨</w:t>
      </w:r>
      <w:r>
        <w:rPr>
          <w:rFonts w:hint="eastAsia" w:ascii="黑体" w:hAnsi="黑体" w:eastAsia="黑体" w:cs="黑体"/>
          <w:sz w:val="32"/>
          <w:szCs w:val="32"/>
        </w:rPr>
        <w:t>幼儿园</w:t>
      </w:r>
      <w:r>
        <w:rPr>
          <w:rFonts w:hint="eastAsia" w:ascii="黑体" w:hAnsi="黑体" w:eastAsia="黑体"/>
          <w:sz w:val="32"/>
          <w:szCs w:val="32"/>
          <w:u w:val="none"/>
          <w:lang w:val="en-US" w:eastAsia="zh-CN"/>
        </w:rPr>
        <w:t>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14:paraId="43F7863B">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14:paraId="6EB18BA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w:t>
      </w:r>
      <w:r>
        <w:rPr>
          <w:rFonts w:hint="eastAsia" w:ascii="黑体" w:hAnsi="黑体" w:eastAsia="黑体" w:cs="黑体"/>
          <w:sz w:val="32"/>
          <w:szCs w:val="32"/>
        </w:rPr>
        <w:t>屯昌县南坤镇</w:t>
      </w:r>
      <w:r>
        <w:rPr>
          <w:rFonts w:hint="eastAsia" w:ascii="黑体" w:hAnsi="黑体" w:eastAsia="黑体" w:cs="黑体"/>
          <w:sz w:val="32"/>
          <w:szCs w:val="32"/>
          <w:lang w:val="en-US" w:eastAsia="zh-CN"/>
        </w:rPr>
        <w:t>藤寨</w:t>
      </w:r>
      <w:r>
        <w:rPr>
          <w:rFonts w:hint="eastAsia" w:ascii="黑体" w:hAnsi="黑体" w:eastAsia="黑体" w:cs="黑体"/>
          <w:sz w:val="32"/>
          <w:szCs w:val="32"/>
        </w:rPr>
        <w:t>幼儿园</w:t>
      </w:r>
      <w:r>
        <w:rPr>
          <w:rFonts w:hint="eastAsia" w:ascii="方正黑体_GBK" w:hAnsi="方正黑体_GBK" w:eastAsia="方正黑体_GBK" w:cs="方正黑体_GBK"/>
          <w:sz w:val="32"/>
          <w:szCs w:val="32"/>
          <w:u w:val="none"/>
        </w:rPr>
        <w:t>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1AABB73C">
      <w:pPr>
        <w:spacing w:line="578" w:lineRule="exact"/>
        <w:ind w:firstLine="630"/>
        <w:rPr>
          <w:rFonts w:ascii="仿宋_GB2312" w:hAnsi="黑体" w:eastAsia="仿宋_GB2312"/>
          <w:sz w:val="32"/>
          <w:szCs w:val="32"/>
          <w:u w:val="none"/>
        </w:rPr>
      </w:pPr>
      <w:r>
        <w:rPr>
          <w:rFonts w:hint="eastAsia" w:ascii="仿宋_GB2312" w:hAnsi="黑体" w:eastAsia="仿宋_GB2312"/>
          <w:color w:val="auto"/>
          <w:sz w:val="32"/>
          <w:szCs w:val="32"/>
          <w:highlight w:val="none"/>
          <w:u w:val="none"/>
        </w:rPr>
        <w:t>屯昌县南坤镇</w:t>
      </w:r>
      <w:r>
        <w:rPr>
          <w:rFonts w:hint="eastAsia" w:ascii="仿宋_GB2312" w:hAnsi="黑体" w:eastAsia="仿宋_GB2312"/>
          <w:color w:val="auto"/>
          <w:sz w:val="32"/>
          <w:szCs w:val="32"/>
          <w:highlight w:val="none"/>
          <w:u w:val="none"/>
          <w:lang w:val="en-US" w:eastAsia="zh-CN"/>
        </w:rPr>
        <w:t>藤寨</w:t>
      </w:r>
      <w:r>
        <w:rPr>
          <w:rFonts w:hint="eastAsia" w:ascii="仿宋_GB2312" w:hAnsi="黑体" w:eastAsia="仿宋_GB2312"/>
          <w:color w:val="auto"/>
          <w:sz w:val="32"/>
          <w:szCs w:val="32"/>
          <w:highlight w:val="none"/>
          <w:u w:val="none"/>
        </w:rPr>
        <w:t>幼儿园</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rPr>
        <w:t>148.90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sz w:val="32"/>
          <w:szCs w:val="32"/>
          <w:u w:val="none"/>
        </w:rPr>
        <w:t>148.90</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rPr>
        <w:t>148.90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sz w:val="32"/>
          <w:szCs w:val="32"/>
          <w:u w:val="none"/>
        </w:rPr>
        <w:t>148.90</w:t>
      </w:r>
      <w:r>
        <w:rPr>
          <w:rFonts w:hint="eastAsia" w:ascii="仿宋_GB2312" w:hAnsi="黑体" w:eastAsia="仿宋_GB2312"/>
          <w:color w:val="auto"/>
          <w:sz w:val="32"/>
          <w:szCs w:val="32"/>
          <w:u w:val="none"/>
        </w:rPr>
        <w:t>万元，</w:t>
      </w:r>
      <w:r>
        <w:rPr>
          <w:rFonts w:hint="eastAsia" w:ascii="仿宋" w:hAnsi="仿宋" w:eastAsia="仿宋" w:cs="仿宋"/>
          <w:sz w:val="32"/>
          <w:shd w:val="clear" w:color="auto" w:fill="FFFFFF"/>
        </w:rPr>
        <w:t>包括教育支出</w:t>
      </w:r>
      <w:r>
        <w:rPr>
          <w:rFonts w:hint="eastAsia" w:ascii="仿宋" w:hAnsi="仿宋" w:eastAsia="仿宋" w:cs="仿宋"/>
          <w:sz w:val="32"/>
          <w:shd w:val="clear" w:color="auto" w:fill="FFFFFF"/>
          <w:lang w:val="en-US" w:eastAsia="zh-CN"/>
        </w:rPr>
        <w:t>101.19</w:t>
      </w:r>
      <w:r>
        <w:rPr>
          <w:rFonts w:hint="eastAsia" w:ascii="仿宋" w:hAnsi="仿宋" w:eastAsia="仿宋" w:cs="仿宋"/>
          <w:sz w:val="32"/>
          <w:shd w:val="clear" w:color="auto" w:fill="FFFFFF"/>
        </w:rPr>
        <w:t>万元、社会保障和就业支出</w:t>
      </w:r>
      <w:r>
        <w:rPr>
          <w:rFonts w:hint="eastAsia" w:ascii="仿宋" w:hAnsi="仿宋" w:eastAsia="仿宋" w:cs="仿宋"/>
          <w:sz w:val="32"/>
          <w:shd w:val="clear" w:color="auto" w:fill="FFFFFF"/>
          <w:lang w:val="en-US" w:eastAsia="zh-CN"/>
        </w:rPr>
        <w:t>22.75</w:t>
      </w:r>
      <w:r>
        <w:rPr>
          <w:rFonts w:hint="eastAsia" w:ascii="仿宋" w:hAnsi="仿宋" w:eastAsia="仿宋" w:cs="仿宋"/>
          <w:sz w:val="32"/>
          <w:shd w:val="clear" w:color="auto" w:fill="FFFFFF"/>
        </w:rPr>
        <w:t>万元、卫生健康支出</w:t>
      </w:r>
      <w:r>
        <w:rPr>
          <w:rFonts w:hint="eastAsia" w:ascii="仿宋" w:hAnsi="仿宋" w:eastAsia="仿宋" w:cs="仿宋"/>
          <w:sz w:val="32"/>
          <w:shd w:val="clear" w:color="auto" w:fill="FFFFFF"/>
          <w:lang w:val="en-US" w:eastAsia="zh-CN"/>
        </w:rPr>
        <w:t>14.23</w:t>
      </w:r>
      <w:r>
        <w:rPr>
          <w:rFonts w:hint="eastAsia" w:ascii="仿宋" w:hAnsi="仿宋" w:eastAsia="仿宋" w:cs="仿宋"/>
          <w:sz w:val="32"/>
          <w:shd w:val="clear" w:color="auto" w:fill="FFFFFF"/>
        </w:rPr>
        <w:t>万元、住房保障支出</w:t>
      </w:r>
      <w:r>
        <w:rPr>
          <w:rFonts w:hint="eastAsia" w:ascii="仿宋" w:hAnsi="仿宋" w:eastAsia="仿宋" w:cs="仿宋"/>
          <w:sz w:val="32"/>
          <w:shd w:val="clear" w:color="auto" w:fill="FFFFFF"/>
          <w:lang w:val="en-US" w:eastAsia="zh-CN"/>
        </w:rPr>
        <w:t>10.73</w:t>
      </w:r>
      <w:r>
        <w:rPr>
          <w:rFonts w:hint="eastAsia" w:ascii="仿宋" w:hAnsi="仿宋" w:eastAsia="仿宋" w:cs="仿宋"/>
          <w:sz w:val="32"/>
          <w:shd w:val="clear" w:color="auto" w:fill="FFFFFF"/>
        </w:rPr>
        <w:t>万元，结转下年0万元。</w:t>
      </w:r>
    </w:p>
    <w:p w14:paraId="30CA5FDC">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w:t>
      </w:r>
      <w:r>
        <w:rPr>
          <w:rFonts w:hint="eastAsia" w:ascii="黑体" w:hAnsi="黑体" w:eastAsia="黑体"/>
          <w:sz w:val="32"/>
          <w:szCs w:val="32"/>
        </w:rPr>
        <w:t>关于</w:t>
      </w:r>
      <w:r>
        <w:rPr>
          <w:rFonts w:hint="eastAsia" w:ascii="黑体" w:hAnsi="黑体" w:eastAsia="黑体" w:cs="黑体"/>
          <w:sz w:val="32"/>
          <w:szCs w:val="32"/>
        </w:rPr>
        <w:t>屯昌县南坤镇</w:t>
      </w:r>
      <w:r>
        <w:rPr>
          <w:rFonts w:hint="eastAsia" w:ascii="黑体" w:hAnsi="黑体" w:eastAsia="黑体" w:cs="黑体"/>
          <w:sz w:val="32"/>
          <w:szCs w:val="32"/>
          <w:lang w:val="en-US" w:eastAsia="zh-CN"/>
        </w:rPr>
        <w:t>藤寨</w:t>
      </w:r>
      <w:r>
        <w:rPr>
          <w:rFonts w:hint="eastAsia" w:ascii="黑体" w:hAnsi="黑体" w:eastAsia="黑体" w:cs="黑体"/>
          <w:sz w:val="32"/>
          <w:szCs w:val="32"/>
        </w:rPr>
        <w:t>幼儿园</w:t>
      </w:r>
      <w:r>
        <w:rPr>
          <w:rFonts w:hint="eastAsia" w:ascii="黑体" w:hAnsi="黑体" w:eastAsia="黑体" w:cs="黑体"/>
          <w:sz w:val="32"/>
          <w:szCs w:val="32"/>
          <w:lang w:val="en-US" w:eastAsia="zh-CN"/>
        </w:rPr>
        <w:t>2026年</w:t>
      </w:r>
      <w:r>
        <w:rPr>
          <w:rFonts w:hint="eastAsia" w:ascii="黑体" w:hAnsi="黑体" w:eastAsia="黑体"/>
          <w:sz w:val="32"/>
          <w:szCs w:val="32"/>
          <w:u w:val="none"/>
        </w:rPr>
        <w:t>一般公共预算当年拨款情况说明</w:t>
      </w:r>
    </w:p>
    <w:p w14:paraId="0DE66A46">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68AC4C4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rPr>
        <w:t>屯昌县南坤镇</w:t>
      </w:r>
      <w:r>
        <w:rPr>
          <w:rFonts w:hint="eastAsia" w:ascii="仿宋_GB2312" w:hAnsi="黑体" w:eastAsia="仿宋_GB2312"/>
          <w:sz w:val="32"/>
          <w:szCs w:val="32"/>
          <w:lang w:val="en-US" w:eastAsia="zh-CN"/>
        </w:rPr>
        <w:t>藤寨</w:t>
      </w:r>
      <w:r>
        <w:rPr>
          <w:rFonts w:hint="eastAsia" w:ascii="仿宋_GB2312" w:hAnsi="黑体" w:eastAsia="仿宋_GB2312"/>
          <w:sz w:val="32"/>
          <w:szCs w:val="32"/>
        </w:rPr>
        <w:t>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rPr>
        <w:t>148.9</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38.94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人员减少，预算支出减少</w:t>
      </w:r>
      <w:r>
        <w:rPr>
          <w:rFonts w:hint="eastAsia" w:ascii="仿宋_GB2312" w:hAnsi="黑体" w:eastAsia="仿宋_GB2312"/>
          <w:sz w:val="32"/>
          <w:szCs w:val="32"/>
          <w:u w:val="none"/>
          <w:lang w:eastAsia="zh-CN"/>
        </w:rPr>
        <w:t>。</w:t>
      </w:r>
    </w:p>
    <w:p w14:paraId="5BDE2E9C">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344E495B">
      <w:pPr>
        <w:ind w:firstLine="800" w:firstLineChars="250"/>
        <w:rPr>
          <w:rFonts w:ascii="仿宋_GB2312" w:hAnsi="黑体" w:eastAsia="仿宋_GB2312"/>
          <w:sz w:val="32"/>
          <w:szCs w:val="32"/>
        </w:rPr>
      </w:pPr>
      <w:r>
        <w:rPr>
          <w:rFonts w:hint="eastAsia" w:ascii="仿宋_GB2312" w:hAnsi="黑体" w:eastAsia="仿宋_GB2312" w:cs="仿宋_GB2312"/>
          <w:sz w:val="32"/>
          <w:szCs w:val="32"/>
          <w:u w:val="none"/>
        </w:rPr>
        <w:t>一般公共服务（类）支出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r>
        <w:rPr>
          <w:rFonts w:hint="eastAsia" w:ascii="仿宋_GB2312" w:hAnsi="黑体" w:eastAsia="仿宋_GB2312" w:cs="仿宋_GB2312"/>
          <w:sz w:val="32"/>
          <w:szCs w:val="32"/>
        </w:rPr>
        <w:t>教育（类）支出</w:t>
      </w:r>
      <w:r>
        <w:rPr>
          <w:rFonts w:hint="eastAsia" w:ascii="仿宋_GB2312" w:hAnsi="黑体" w:eastAsia="仿宋_GB2312" w:cs="仿宋_GB2312"/>
          <w:sz w:val="32"/>
          <w:szCs w:val="32"/>
          <w:lang w:val="en-US" w:eastAsia="zh-CN"/>
        </w:rPr>
        <w:t>101.19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67.95</w:t>
      </w:r>
      <w:r>
        <w:rPr>
          <w:rFonts w:hint="eastAsia" w:ascii="仿宋_GB2312" w:hAnsi="黑体" w:eastAsia="仿宋_GB2312"/>
          <w:sz w:val="32"/>
          <w:szCs w:val="32"/>
        </w:rPr>
        <w:t>%；社会保障和就业（类）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22.75</w:t>
      </w:r>
      <w:r>
        <w:rPr>
          <w:rFonts w:hint="eastAsia" w:ascii="仿宋_GB2312" w:hAnsi="黑体" w:eastAsia="仿宋_GB2312"/>
          <w:sz w:val="32"/>
          <w:szCs w:val="32"/>
        </w:rPr>
        <w:t>万元，占</w:t>
      </w:r>
      <w:r>
        <w:rPr>
          <w:rFonts w:hint="eastAsia" w:ascii="仿宋_GB2312" w:hAnsi="黑体" w:eastAsia="仿宋_GB2312" w:cs="仿宋_GB2312"/>
          <w:color w:val="000000" w:themeColor="text1"/>
          <w:sz w:val="32"/>
          <w:szCs w:val="32"/>
          <w:lang w:val="en-US" w:eastAsia="zh-CN"/>
          <w14:textFill>
            <w14:solidFill>
              <w14:schemeClr w14:val="tx1"/>
            </w14:solidFill>
          </w14:textFill>
        </w:rPr>
        <w:t>15.28</w:t>
      </w:r>
      <w:r>
        <w:rPr>
          <w:rFonts w:hint="eastAsia" w:ascii="仿宋_GB2312" w:hAnsi="黑体" w:eastAsia="仿宋_GB2312"/>
          <w:sz w:val="32"/>
          <w:szCs w:val="32"/>
        </w:rPr>
        <w:t>%；卫生健康（类）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14.23</w:t>
      </w:r>
      <w:r>
        <w:rPr>
          <w:rFonts w:hint="eastAsia" w:ascii="仿宋_GB2312" w:hAnsi="黑体" w:eastAsia="仿宋_GB2312"/>
          <w:sz w:val="32"/>
          <w:szCs w:val="32"/>
        </w:rPr>
        <w:t>万元，占</w:t>
      </w:r>
      <w:r>
        <w:rPr>
          <w:rFonts w:hint="eastAsia" w:ascii="仿宋_GB2312" w:hAnsi="黑体" w:eastAsia="仿宋_GB2312" w:cs="仿宋_GB2312"/>
          <w:color w:val="000000" w:themeColor="text1"/>
          <w:sz w:val="32"/>
          <w:szCs w:val="32"/>
          <w:lang w:val="en-US" w:eastAsia="zh-CN"/>
          <w14:textFill>
            <w14:solidFill>
              <w14:schemeClr w14:val="tx1"/>
            </w14:solidFill>
          </w14:textFill>
        </w:rPr>
        <w:t>9.56</w:t>
      </w:r>
      <w:r>
        <w:rPr>
          <w:rFonts w:hint="eastAsia" w:ascii="仿宋_GB2312" w:hAnsi="黑体" w:eastAsia="仿宋_GB2312"/>
          <w:sz w:val="32"/>
          <w:szCs w:val="32"/>
        </w:rPr>
        <w:t>%；住房保障（类）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10.73</w:t>
      </w:r>
      <w:r>
        <w:rPr>
          <w:rFonts w:hint="eastAsia" w:ascii="仿宋_GB2312" w:hAnsi="黑体" w:eastAsia="仿宋_GB2312"/>
          <w:sz w:val="32"/>
          <w:szCs w:val="32"/>
        </w:rPr>
        <w:t>万元，占</w:t>
      </w:r>
      <w:r>
        <w:rPr>
          <w:rFonts w:hint="eastAsia" w:ascii="仿宋_GB2312" w:hAnsi="黑体" w:eastAsia="仿宋_GB2312" w:cs="仿宋_GB2312"/>
          <w:color w:val="000000" w:themeColor="text1"/>
          <w:sz w:val="32"/>
          <w:szCs w:val="32"/>
          <w:lang w:val="en-US" w:eastAsia="zh-CN"/>
          <w14:textFill>
            <w14:solidFill>
              <w14:schemeClr w14:val="tx1"/>
            </w14:solidFill>
          </w14:textFill>
        </w:rPr>
        <w:t>7.21</w:t>
      </w:r>
      <w:r>
        <w:rPr>
          <w:rFonts w:hint="eastAsia" w:ascii="仿宋_GB2312" w:hAnsi="黑体" w:eastAsia="仿宋_GB2312"/>
          <w:color w:val="000000" w:themeColor="text1"/>
          <w:sz w:val="32"/>
          <w:szCs w:val="32"/>
          <w14:textFill>
            <w14:solidFill>
              <w14:schemeClr w14:val="tx1"/>
            </w14:solidFill>
          </w14:textFill>
        </w:rPr>
        <w:t>%。</w:t>
      </w:r>
    </w:p>
    <w:p w14:paraId="4419BAC8">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ascii="仿宋_GB2312" w:hAnsi="黑体" w:eastAsia="仿宋_GB2312"/>
          <w:sz w:val="32"/>
          <w:szCs w:val="32"/>
          <w:u w:val="none"/>
        </w:rPr>
      </w:pPr>
    </w:p>
    <w:p w14:paraId="7A6F9FD9">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5C883810">
      <w:pPr>
        <w:ind w:firstLine="640" w:firstLineChars="200"/>
        <w:rPr>
          <w:rFonts w:hint="default"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sz w:val="32"/>
          <w:szCs w:val="32"/>
        </w:rPr>
        <w:t>1.教育支出（类）普通教育（款）学前教育（项）202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100.98</w:t>
      </w:r>
      <w:r>
        <w:rPr>
          <w:rFonts w:hint="eastAsia" w:ascii="仿宋_GB2312" w:hAnsi="黑体" w:eastAsia="仿宋_GB2312"/>
          <w:sz w:val="32"/>
          <w:szCs w:val="32"/>
        </w:rPr>
        <w:t>万元，</w:t>
      </w:r>
      <w:r>
        <w:rPr>
          <w:rFonts w:hint="eastAsia" w:ascii="仿宋_GB2312" w:hAnsi="黑体" w:eastAsia="仿宋_GB2312"/>
          <w:color w:val="000000" w:themeColor="text1"/>
          <w:sz w:val="32"/>
          <w:szCs w:val="32"/>
          <w14:textFill>
            <w14:solidFill>
              <w14:schemeClr w14:val="tx1"/>
            </w14:solidFill>
          </w14:textFill>
        </w:rPr>
        <w:t>比上年预算数</w:t>
      </w:r>
      <w:r>
        <w:rPr>
          <w:rFonts w:hint="eastAsia" w:ascii="仿宋_GB2312" w:hAnsi="黑体" w:eastAsia="仿宋_GB2312"/>
          <w:color w:val="000000" w:themeColor="text1"/>
          <w:sz w:val="32"/>
          <w:szCs w:val="32"/>
          <w:lang w:val="en-US" w:eastAsia="zh-CN"/>
          <w14:textFill>
            <w14:solidFill>
              <w14:schemeClr w14:val="tx1"/>
            </w14:solidFill>
          </w14:textFill>
        </w:rPr>
        <w:t>减少30.03</w:t>
      </w:r>
      <w:r>
        <w:rPr>
          <w:rFonts w:hint="eastAsia" w:ascii="仿宋_GB2312" w:hAnsi="黑体" w:eastAsia="仿宋_GB2312"/>
          <w:color w:val="000000" w:themeColor="text1"/>
          <w:sz w:val="32"/>
          <w:szCs w:val="32"/>
          <w14:textFill>
            <w14:solidFill>
              <w14:schemeClr w14:val="tx1"/>
            </w14:solidFill>
          </w14:textFill>
        </w:rPr>
        <w:t>万元，主要是</w:t>
      </w:r>
      <w:r>
        <w:rPr>
          <w:rFonts w:hint="eastAsia" w:ascii="仿宋_GB2312" w:hAnsi="黑体" w:eastAsia="仿宋_GB2312"/>
          <w:color w:val="000000" w:themeColor="text1"/>
          <w:sz w:val="32"/>
          <w:szCs w:val="32"/>
          <w:lang w:val="en-US" w:eastAsia="zh-CN"/>
          <w14:textFill>
            <w14:solidFill>
              <w14:schemeClr w14:val="tx1"/>
            </w14:solidFill>
          </w14:textFill>
        </w:rPr>
        <w:t>人员减少。</w:t>
      </w:r>
    </w:p>
    <w:p w14:paraId="1F85CC8C">
      <w:pPr>
        <w:ind w:firstLine="640" w:firstLineChars="200"/>
        <w:rPr>
          <w:rFonts w:hint="default"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sz w:val="32"/>
          <w:szCs w:val="32"/>
        </w:rPr>
        <w:t>2.</w:t>
      </w:r>
      <w:r>
        <w:rPr>
          <w:rFonts w:hint="eastAsia" w:ascii="仿宋_GB2312" w:hAnsi="黑体" w:eastAsia="仿宋_GB2312" w:cs="仿宋_GB2312"/>
          <w:sz w:val="32"/>
          <w:szCs w:val="32"/>
        </w:rPr>
        <w:t>社会保障和就业支出（类）行政事业单位养老支出（款）机关事业单位基本养老保险缴费支出（项）202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15.31</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减少8.93</w:t>
      </w:r>
      <w:r>
        <w:rPr>
          <w:rFonts w:hint="eastAsia" w:ascii="仿宋_GB2312" w:hAnsi="黑体" w:eastAsia="仿宋_GB2312"/>
          <w:sz w:val="32"/>
          <w:szCs w:val="32"/>
        </w:rPr>
        <w:t>万元，</w:t>
      </w:r>
      <w:r>
        <w:rPr>
          <w:rFonts w:hint="eastAsia" w:ascii="仿宋_GB2312" w:hAnsi="黑体" w:eastAsia="仿宋_GB2312"/>
          <w:color w:val="000000" w:themeColor="text1"/>
          <w:sz w:val="32"/>
          <w:szCs w:val="32"/>
          <w14:textFill>
            <w14:solidFill>
              <w14:schemeClr w14:val="tx1"/>
            </w14:solidFill>
          </w14:textFill>
        </w:rPr>
        <w:t>主要是</w:t>
      </w:r>
      <w:r>
        <w:rPr>
          <w:rFonts w:hint="eastAsia" w:ascii="仿宋_GB2312" w:hAnsi="黑体" w:eastAsia="仿宋_GB2312"/>
          <w:color w:val="000000" w:themeColor="text1"/>
          <w:sz w:val="32"/>
          <w:szCs w:val="32"/>
          <w:lang w:val="en-US" w:eastAsia="zh-CN"/>
          <w14:textFill>
            <w14:solidFill>
              <w14:schemeClr w14:val="tx1"/>
            </w14:solidFill>
          </w14:textFill>
        </w:rPr>
        <w:t>人员减少。</w:t>
      </w:r>
    </w:p>
    <w:p w14:paraId="6461B0A1">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rPr>
        <w:t>3.</w:t>
      </w:r>
      <w:r>
        <w:rPr>
          <w:rFonts w:hint="eastAsia" w:ascii="仿宋_GB2312" w:hAnsi="黑体" w:eastAsia="仿宋_GB2312" w:cs="仿宋_GB2312"/>
          <w:sz w:val="32"/>
          <w:szCs w:val="32"/>
        </w:rPr>
        <w:t>卫生健康支出（类）行政事业单位医疗（款）事业单位医疗（项）202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5.00</w:t>
      </w:r>
      <w:r>
        <w:rPr>
          <w:rFonts w:hint="eastAsia" w:ascii="仿宋_GB2312" w:hAnsi="黑体" w:eastAsia="仿宋_GB2312"/>
          <w:sz w:val="32"/>
          <w:szCs w:val="32"/>
        </w:rPr>
        <w:t>万元，比上年预算</w:t>
      </w:r>
      <w:r>
        <w:rPr>
          <w:rFonts w:hint="eastAsia" w:ascii="仿宋_GB2312" w:hAnsi="黑体" w:eastAsia="仿宋_GB2312"/>
          <w:sz w:val="32"/>
          <w:szCs w:val="32"/>
          <w:lang w:val="en-US" w:eastAsia="zh-CN"/>
        </w:rPr>
        <w:t>减少13.09</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主要是人员减少。</w:t>
      </w:r>
    </w:p>
    <w:p w14:paraId="7B123D36">
      <w:pPr>
        <w:ind w:firstLine="640" w:firstLineChars="200"/>
        <w:rPr>
          <w:rFonts w:ascii="仿宋_GB2312" w:hAnsi="黑体" w:eastAsia="仿宋_GB2312"/>
          <w:sz w:val="32"/>
          <w:szCs w:val="32"/>
        </w:rPr>
      </w:pPr>
      <w:r>
        <w:rPr>
          <w:rFonts w:hint="eastAsia" w:ascii="仿宋_GB2312" w:hAnsi="黑体" w:eastAsia="仿宋_GB2312"/>
          <w:sz w:val="32"/>
          <w:szCs w:val="32"/>
        </w:rPr>
        <w:t>4.</w:t>
      </w:r>
      <w:r>
        <w:rPr>
          <w:rFonts w:hint="eastAsia" w:ascii="仿宋_GB2312" w:hAnsi="黑体" w:eastAsia="仿宋_GB2312" w:cs="仿宋_GB2312"/>
          <w:sz w:val="32"/>
          <w:szCs w:val="32"/>
        </w:rPr>
        <w:t>住房保障支出（类）住房改革支出（款）住房公积金（项）202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年预算数为10.73万元，比上年预算数</w:t>
      </w:r>
      <w:r>
        <w:rPr>
          <w:rFonts w:hint="eastAsia" w:ascii="仿宋_GB2312" w:hAnsi="黑体" w:eastAsia="仿宋_GB2312"/>
          <w:sz w:val="32"/>
          <w:szCs w:val="32"/>
          <w:lang w:val="en-US" w:eastAsia="zh-CN"/>
        </w:rPr>
        <w:t>减少3.77</w:t>
      </w:r>
      <w:r>
        <w:rPr>
          <w:rFonts w:hint="eastAsia" w:ascii="仿宋_GB2312" w:hAnsi="黑体" w:eastAsia="仿宋_GB2312"/>
          <w:sz w:val="32"/>
          <w:szCs w:val="32"/>
        </w:rPr>
        <w:t>万元，</w:t>
      </w:r>
      <w:r>
        <w:rPr>
          <w:rFonts w:hint="eastAsia" w:ascii="仿宋_GB2312" w:hAnsi="黑体" w:eastAsia="仿宋_GB2312"/>
          <w:color w:val="000000" w:themeColor="text1"/>
          <w:sz w:val="32"/>
          <w:szCs w:val="32"/>
          <w14:textFill>
            <w14:solidFill>
              <w14:schemeClr w14:val="tx1"/>
            </w14:solidFill>
          </w14:textFill>
        </w:rPr>
        <w:t>主要是</w:t>
      </w:r>
      <w:r>
        <w:rPr>
          <w:rFonts w:hint="eastAsia" w:ascii="仿宋_GB2312" w:hAnsi="黑体" w:eastAsia="仿宋_GB2312"/>
          <w:color w:val="000000" w:themeColor="text1"/>
          <w:sz w:val="32"/>
          <w:szCs w:val="32"/>
          <w:lang w:val="en-US" w:eastAsia="zh-CN"/>
          <w14:textFill>
            <w14:solidFill>
              <w14:schemeClr w14:val="tx1"/>
            </w14:solidFill>
          </w14:textFill>
        </w:rPr>
        <w:t>人员工资减少。</w:t>
      </w:r>
    </w:p>
    <w:p w14:paraId="01D10929">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三、</w:t>
      </w:r>
      <w:r>
        <w:rPr>
          <w:rFonts w:hint="eastAsia" w:ascii="黑体" w:hAnsi="黑体" w:eastAsia="黑体"/>
          <w:sz w:val="32"/>
          <w:szCs w:val="32"/>
        </w:rPr>
        <w:t>关</w:t>
      </w:r>
      <w:r>
        <w:rPr>
          <w:rFonts w:hint="eastAsia" w:ascii="黑体" w:hAnsi="黑体" w:eastAsia="黑体" w:cs="黑体"/>
          <w:sz w:val="32"/>
          <w:szCs w:val="32"/>
        </w:rPr>
        <w:t>于屯昌县南坤镇</w:t>
      </w:r>
      <w:r>
        <w:rPr>
          <w:rFonts w:hint="eastAsia" w:ascii="黑体" w:hAnsi="黑体" w:eastAsia="黑体" w:cs="黑体"/>
          <w:sz w:val="32"/>
          <w:szCs w:val="32"/>
          <w:lang w:val="en-US" w:eastAsia="zh-CN"/>
        </w:rPr>
        <w:t>藤寨</w:t>
      </w:r>
      <w:r>
        <w:rPr>
          <w:rFonts w:hint="eastAsia" w:ascii="黑体" w:hAnsi="黑体" w:eastAsia="黑体" w:cs="黑体"/>
          <w:sz w:val="32"/>
          <w:szCs w:val="32"/>
        </w:rPr>
        <w:t>幼儿园</w:t>
      </w:r>
      <w:r>
        <w:rPr>
          <w:rFonts w:hint="eastAsia" w:ascii="黑体" w:hAnsi="黑体" w:eastAsia="黑体" w:cs="黑体"/>
          <w:sz w:val="32"/>
          <w:szCs w:val="32"/>
          <w:lang w:val="en-US" w:eastAsia="zh-CN"/>
        </w:rPr>
        <w:t>2026年</w:t>
      </w:r>
      <w:r>
        <w:rPr>
          <w:rFonts w:hint="eastAsia" w:ascii="黑体" w:hAnsi="黑体" w:eastAsia="黑体"/>
          <w:sz w:val="32"/>
          <w:szCs w:val="32"/>
          <w:u w:val="none"/>
        </w:rPr>
        <w:t>一般公共预算基本支出情况说明</w:t>
      </w:r>
    </w:p>
    <w:p w14:paraId="21EB9EE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rPr>
        <w:t>屯昌县南坤镇</w:t>
      </w:r>
      <w:r>
        <w:rPr>
          <w:rFonts w:hint="eastAsia" w:ascii="仿宋_GB2312" w:hAnsi="黑体" w:eastAsia="仿宋_GB2312"/>
          <w:sz w:val="32"/>
          <w:szCs w:val="32"/>
          <w:lang w:val="en-US" w:eastAsia="zh-CN"/>
        </w:rPr>
        <w:t>藤寨</w:t>
      </w:r>
      <w:r>
        <w:rPr>
          <w:rFonts w:hint="eastAsia" w:ascii="仿宋_GB2312" w:hAnsi="黑体" w:eastAsia="仿宋_GB2312"/>
          <w:sz w:val="32"/>
          <w:szCs w:val="32"/>
        </w:rPr>
        <w:t>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rPr>
        <w:t>148.69</w:t>
      </w:r>
      <w:r>
        <w:rPr>
          <w:rFonts w:hint="eastAsia" w:ascii="仿宋_GB2312" w:hAnsi="黑体" w:eastAsia="仿宋_GB2312"/>
          <w:sz w:val="32"/>
          <w:szCs w:val="32"/>
          <w:u w:val="none"/>
        </w:rPr>
        <w:t>万元，其中：</w:t>
      </w:r>
    </w:p>
    <w:p w14:paraId="04E6D926">
      <w:pPr>
        <w:ind w:firstLine="640" w:firstLineChars="200"/>
        <w:rPr>
          <w:rFonts w:hint="eastAsia" w:ascii="仿宋_GB2312" w:hAnsi="黑体" w:eastAsia="仿宋_GB2312"/>
          <w:sz w:val="32"/>
          <w:szCs w:val="32"/>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rPr>
        <w:t>147.72</w:t>
      </w:r>
      <w:r>
        <w:rPr>
          <w:rFonts w:hint="eastAsia" w:ascii="仿宋_GB2312" w:hAnsi="黑体" w:eastAsia="仿宋_GB2312"/>
          <w:sz w:val="32"/>
          <w:szCs w:val="32"/>
          <w:u w:val="none"/>
        </w:rPr>
        <w:t>万元，主要包括：</w:t>
      </w:r>
      <w:r>
        <w:rPr>
          <w:rFonts w:hint="eastAsia" w:ascii="仿宋_GB2312" w:hAnsi="黑体" w:eastAsia="仿宋_GB2312"/>
          <w:sz w:val="32"/>
          <w:szCs w:val="32"/>
        </w:rPr>
        <w:t>基本工资、津贴补贴、绩效工资、机关事业单位基本养老保险缴费、职业年金缴费</w:t>
      </w:r>
      <w:r>
        <w:rPr>
          <w:rFonts w:hint="eastAsia" w:ascii="仿宋_GB2312" w:hAnsi="黑体" w:eastAsia="仿宋_GB2312"/>
          <w:sz w:val="32"/>
          <w:szCs w:val="32"/>
          <w:lang w:eastAsia="zh-CN"/>
        </w:rPr>
        <w:t>、</w:t>
      </w:r>
      <w:r>
        <w:rPr>
          <w:rFonts w:hint="eastAsia" w:ascii="仿宋_GB2312" w:hAnsi="黑体" w:eastAsia="仿宋_GB2312"/>
          <w:sz w:val="32"/>
          <w:szCs w:val="32"/>
        </w:rPr>
        <w:t>职工基本医疗保险缴费、公务员医疗补助缴费、其他社会保障缴费、住房公积金、医疗费等;</w:t>
      </w:r>
    </w:p>
    <w:p w14:paraId="2A79383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rPr>
        <w:t>0.98</w:t>
      </w:r>
      <w:r>
        <w:rPr>
          <w:rFonts w:hint="eastAsia" w:ascii="仿宋_GB2312" w:hAnsi="黑体" w:eastAsia="仿宋_GB2312"/>
          <w:sz w:val="32"/>
          <w:szCs w:val="32"/>
          <w:u w:val="none"/>
        </w:rPr>
        <w:t>万元，</w:t>
      </w:r>
      <w:r>
        <w:rPr>
          <w:rFonts w:hint="eastAsia" w:ascii="仿宋_GB2312" w:hAnsi="黑体" w:eastAsia="仿宋_GB2312"/>
          <w:sz w:val="32"/>
          <w:szCs w:val="32"/>
        </w:rPr>
        <w:t>主要包括：工会经费</w:t>
      </w:r>
      <w:r>
        <w:rPr>
          <w:rFonts w:hint="eastAsia" w:ascii="仿宋_GB2312" w:hAnsi="黑体" w:eastAsia="仿宋_GB2312"/>
          <w:sz w:val="32"/>
          <w:szCs w:val="32"/>
          <w:u w:val="none"/>
        </w:rPr>
        <w:t>。</w:t>
      </w:r>
    </w:p>
    <w:p w14:paraId="2975641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hint="eastAsia" w:ascii="黑体" w:hAnsi="黑体" w:eastAsia="黑体"/>
          <w:sz w:val="32"/>
          <w:szCs w:val="32"/>
        </w:rPr>
        <w:t>关</w:t>
      </w:r>
      <w:r>
        <w:rPr>
          <w:rFonts w:hint="eastAsia" w:ascii="黑体" w:hAnsi="黑体" w:eastAsia="黑体" w:cs="黑体"/>
          <w:sz w:val="32"/>
          <w:szCs w:val="32"/>
        </w:rPr>
        <w:t>于屯昌县南坤镇</w:t>
      </w:r>
      <w:r>
        <w:rPr>
          <w:rFonts w:hint="eastAsia" w:ascii="黑体" w:hAnsi="黑体" w:eastAsia="黑体" w:cs="黑体"/>
          <w:sz w:val="32"/>
          <w:szCs w:val="32"/>
          <w:lang w:val="en-US" w:eastAsia="zh-CN"/>
        </w:rPr>
        <w:t>藤寨</w:t>
      </w:r>
      <w:r>
        <w:rPr>
          <w:rFonts w:hint="eastAsia" w:ascii="黑体" w:hAnsi="黑体" w:eastAsia="黑体" w:cs="黑体"/>
          <w:sz w:val="32"/>
          <w:szCs w:val="32"/>
        </w:rPr>
        <w:t>幼儿园</w:t>
      </w:r>
      <w:r>
        <w:rPr>
          <w:rFonts w:hint="eastAsia" w:ascii="黑体" w:hAnsi="黑体" w:eastAsia="黑体" w:cs="黑体"/>
          <w:sz w:val="32"/>
          <w:szCs w:val="32"/>
          <w:lang w:val="en-US" w:eastAsia="zh-CN"/>
        </w:rPr>
        <w:t>2026年</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14:paraId="59C3B071">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屯昌县南坤镇</w:t>
      </w:r>
      <w:r>
        <w:rPr>
          <w:rFonts w:hint="eastAsia" w:ascii="仿宋_GB2312" w:hAnsi="黑体" w:eastAsia="仿宋_GB2312"/>
          <w:sz w:val="32"/>
          <w:szCs w:val="32"/>
          <w:lang w:val="en-US" w:eastAsia="zh-CN"/>
        </w:rPr>
        <w:t>藤寨</w:t>
      </w:r>
      <w:r>
        <w:rPr>
          <w:rFonts w:hint="eastAsia" w:ascii="仿宋_GB2312" w:hAnsi="黑体" w:eastAsia="仿宋_GB2312"/>
          <w:sz w:val="32"/>
          <w:szCs w:val="32"/>
        </w:rPr>
        <w:t>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14:paraId="61146B09">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14:paraId="31A6F2A3">
      <w:pPr>
        <w:ind w:firstLine="640" w:firstLineChars="200"/>
        <w:rPr>
          <w:rFonts w:hint="eastAsia" w:ascii="仿宋_GB2312" w:hAnsi="黑体" w:eastAsia="仿宋_GB2312"/>
          <w:sz w:val="32"/>
          <w:szCs w:val="32"/>
          <w:u w:val="none"/>
        </w:rPr>
      </w:pPr>
      <w:r>
        <w:rPr>
          <w:rFonts w:hint="eastAsia" w:ascii="仿宋_GB2312" w:hAnsi="黑体" w:eastAsia="仿宋_GB2312"/>
          <w:sz w:val="32"/>
          <w:szCs w:val="32"/>
        </w:rPr>
        <w:t>屯昌县南坤镇</w:t>
      </w:r>
      <w:r>
        <w:rPr>
          <w:rFonts w:hint="eastAsia" w:ascii="仿宋_GB2312" w:hAnsi="黑体" w:eastAsia="仿宋_GB2312"/>
          <w:sz w:val="32"/>
          <w:szCs w:val="32"/>
          <w:lang w:val="en-US" w:eastAsia="zh-CN"/>
        </w:rPr>
        <w:t>藤寨</w:t>
      </w:r>
      <w:r>
        <w:rPr>
          <w:rFonts w:hint="eastAsia" w:ascii="仿宋_GB2312" w:hAnsi="黑体" w:eastAsia="仿宋_GB2312"/>
          <w:sz w:val="32"/>
          <w:szCs w:val="32"/>
        </w:rPr>
        <w:t>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14:paraId="125B93A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w:t>
      </w:r>
      <w:r>
        <w:rPr>
          <w:rFonts w:hint="eastAsia" w:ascii="黑体" w:hAnsi="黑体" w:eastAsia="黑体"/>
          <w:sz w:val="32"/>
          <w:szCs w:val="32"/>
        </w:rPr>
        <w:t>关</w:t>
      </w:r>
      <w:r>
        <w:rPr>
          <w:rFonts w:hint="eastAsia" w:ascii="黑体" w:hAnsi="黑体" w:eastAsia="黑体" w:cs="黑体"/>
          <w:sz w:val="32"/>
          <w:szCs w:val="32"/>
        </w:rPr>
        <w:t>于屯昌县南坤镇</w:t>
      </w:r>
      <w:r>
        <w:rPr>
          <w:rFonts w:hint="eastAsia" w:ascii="黑体" w:hAnsi="黑体" w:eastAsia="黑体" w:cs="黑体"/>
          <w:sz w:val="32"/>
          <w:szCs w:val="32"/>
          <w:lang w:val="en-US" w:eastAsia="zh-CN"/>
        </w:rPr>
        <w:t>藤寨</w:t>
      </w:r>
      <w:r>
        <w:rPr>
          <w:rFonts w:hint="eastAsia" w:ascii="黑体" w:hAnsi="黑体" w:eastAsia="黑体" w:cs="黑体"/>
          <w:sz w:val="32"/>
          <w:szCs w:val="32"/>
        </w:rPr>
        <w:t>幼儿园</w:t>
      </w:r>
      <w:r>
        <w:rPr>
          <w:rFonts w:hint="eastAsia" w:ascii="黑体" w:hAnsi="黑体" w:eastAsia="黑体" w:cs="黑体"/>
          <w:sz w:val="32"/>
          <w:szCs w:val="32"/>
          <w:lang w:val="en-US" w:eastAsia="zh-CN"/>
        </w:rPr>
        <w:t>2026年</w:t>
      </w:r>
      <w:r>
        <w:rPr>
          <w:rFonts w:hint="eastAsia" w:ascii="黑体" w:hAnsi="黑体" w:eastAsia="黑体" w:cs="Times New Roman"/>
          <w:sz w:val="32"/>
          <w:szCs w:val="32"/>
          <w:u w:val="none"/>
          <w:shd w:val="clear" w:color="auto" w:fill="FFFFFF"/>
        </w:rPr>
        <w:t>政府性基金预算当年拨款情况说明</w:t>
      </w:r>
    </w:p>
    <w:p w14:paraId="34E4DFB5">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0A30FCEA">
      <w:pPr>
        <w:ind w:firstLine="640" w:firstLineChars="200"/>
        <w:rPr>
          <w:rFonts w:ascii="仿宋_GB2312" w:hAnsi="黑体" w:eastAsia="仿宋_GB2312"/>
          <w:sz w:val="32"/>
          <w:szCs w:val="32"/>
        </w:rPr>
      </w:pPr>
      <w:r>
        <w:rPr>
          <w:rFonts w:hint="eastAsia" w:ascii="仿宋_GB2312" w:hAnsi="黑体" w:eastAsia="仿宋_GB2312"/>
          <w:sz w:val="32"/>
          <w:szCs w:val="32"/>
        </w:rPr>
        <w:t>屯昌县南坤镇</w:t>
      </w:r>
      <w:r>
        <w:rPr>
          <w:rFonts w:hint="eastAsia" w:ascii="仿宋_GB2312" w:hAnsi="黑体" w:eastAsia="仿宋_GB2312"/>
          <w:sz w:val="32"/>
          <w:szCs w:val="32"/>
          <w:lang w:val="en-US" w:eastAsia="zh-CN"/>
        </w:rPr>
        <w:t>藤寨</w:t>
      </w:r>
      <w:r>
        <w:rPr>
          <w:rFonts w:hint="eastAsia" w:ascii="仿宋_GB2312" w:hAnsi="黑体" w:eastAsia="仿宋_GB2312"/>
          <w:sz w:val="32"/>
          <w:szCs w:val="32"/>
        </w:rPr>
        <w:t>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万元，与上年预算数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14:paraId="0E3B5D7A">
      <w:pPr>
        <w:numPr>
          <w:ilvl w:val="0"/>
          <w:numId w:val="3"/>
        </w:numPr>
        <w:ind w:left="-10" w:leftChars="0" w:firstLine="640" w:firstLineChars="0"/>
        <w:jc w:val="left"/>
        <w:rPr>
          <w:rFonts w:hint="eastAsia" w:ascii="楷体" w:hAnsi="楷体" w:eastAsia="楷体"/>
          <w:sz w:val="32"/>
          <w:szCs w:val="32"/>
        </w:rPr>
      </w:pPr>
      <w:r>
        <w:rPr>
          <w:rFonts w:hint="eastAsia" w:ascii="楷体" w:hAnsi="楷体" w:eastAsia="楷体"/>
          <w:sz w:val="32"/>
          <w:szCs w:val="32"/>
        </w:rPr>
        <w:t>政府性基金预算当年拨款结构情况</w:t>
      </w:r>
    </w:p>
    <w:p w14:paraId="531FDD9D">
      <w:pPr>
        <w:numPr>
          <w:ilvl w:val="0"/>
          <w:numId w:val="0"/>
        </w:num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rPr>
        <w:t>无</w:t>
      </w:r>
      <w:r>
        <w:rPr>
          <w:rFonts w:hint="eastAsia" w:ascii="仿宋_GB2312" w:hAnsi="黑体" w:eastAsia="仿宋_GB2312"/>
          <w:sz w:val="32"/>
          <w:szCs w:val="32"/>
        </w:rPr>
        <w:t>。</w:t>
      </w:r>
    </w:p>
    <w:p w14:paraId="7D529A6A">
      <w:pPr>
        <w:numPr>
          <w:ilvl w:val="0"/>
          <w:numId w:val="4"/>
        </w:numPr>
        <w:ind w:firstLine="640"/>
        <w:jc w:val="left"/>
        <w:rPr>
          <w:rFonts w:hint="eastAsia" w:ascii="楷体" w:hAnsi="楷体" w:eastAsia="楷体"/>
          <w:sz w:val="32"/>
          <w:szCs w:val="32"/>
        </w:rPr>
      </w:pPr>
      <w:r>
        <w:rPr>
          <w:rFonts w:hint="eastAsia" w:ascii="楷体" w:hAnsi="楷体" w:eastAsia="楷体"/>
          <w:sz w:val="32"/>
          <w:szCs w:val="32"/>
        </w:rPr>
        <w:t>政府性基金预算当年拨款具体使用情况</w:t>
      </w:r>
    </w:p>
    <w:p w14:paraId="45C24DF2">
      <w:pPr>
        <w:numPr>
          <w:ilvl w:val="0"/>
          <w:numId w:val="0"/>
        </w:numPr>
        <w:ind w:firstLine="640" w:firstLineChars="200"/>
        <w:jc w:val="left"/>
        <w:rPr>
          <w:rFonts w:hint="eastAsia" w:ascii="仿宋_GB2312" w:hAnsi="黑体" w:eastAsia="仿宋_GB2312"/>
          <w:sz w:val="32"/>
          <w:szCs w:val="32"/>
        </w:rPr>
      </w:pPr>
      <w:r>
        <w:rPr>
          <w:rFonts w:hint="eastAsia" w:ascii="仿宋_GB2312" w:hAnsi="黑体" w:eastAsia="仿宋_GB2312" w:cs="仿宋_GB2312"/>
          <w:sz w:val="32"/>
          <w:szCs w:val="32"/>
        </w:rPr>
        <w:t>无</w:t>
      </w:r>
      <w:r>
        <w:rPr>
          <w:rFonts w:hint="eastAsia" w:ascii="仿宋_GB2312" w:hAnsi="黑体" w:eastAsia="仿宋_GB2312"/>
          <w:sz w:val="32"/>
          <w:szCs w:val="32"/>
        </w:rPr>
        <w:t>。</w:t>
      </w:r>
    </w:p>
    <w:p w14:paraId="3320A353">
      <w:pPr>
        <w:numPr>
          <w:ilvl w:val="0"/>
          <w:numId w:val="0"/>
        </w:numPr>
        <w:ind w:firstLine="640" w:firstLineChars="200"/>
        <w:jc w:val="left"/>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val="en-US" w:eastAsia="zh-CN"/>
        </w:rPr>
        <w:t>六</w:t>
      </w:r>
      <w:r>
        <w:rPr>
          <w:rFonts w:hint="eastAsia" w:ascii="黑体" w:hAnsi="黑体" w:eastAsia="黑体" w:cs="Times New Roman"/>
          <w:sz w:val="32"/>
          <w:szCs w:val="32"/>
          <w:u w:val="none"/>
          <w:shd w:val="clear" w:color="auto" w:fill="FFFFFF"/>
          <w:lang w:eastAsia="zh-CN"/>
        </w:rPr>
        <w:t>、</w:t>
      </w:r>
      <w:r>
        <w:rPr>
          <w:rFonts w:hint="eastAsia" w:ascii="黑体" w:hAnsi="黑体" w:eastAsia="黑体" w:cs="Times New Roman"/>
          <w:sz w:val="32"/>
          <w:shd w:val="clear" w:color="auto" w:fill="FFFFFF"/>
        </w:rPr>
        <w:t>关于</w:t>
      </w:r>
      <w:r>
        <w:rPr>
          <w:rFonts w:hint="eastAsia" w:ascii="黑体" w:hAnsi="黑体" w:eastAsia="黑体" w:cs="黑体"/>
          <w:sz w:val="32"/>
          <w:szCs w:val="32"/>
        </w:rPr>
        <w:t>屯昌县南坤镇</w:t>
      </w:r>
      <w:r>
        <w:rPr>
          <w:rFonts w:hint="eastAsia" w:ascii="黑体" w:hAnsi="黑体" w:eastAsia="黑体" w:cs="黑体"/>
          <w:sz w:val="32"/>
          <w:szCs w:val="32"/>
          <w:lang w:val="en-US" w:eastAsia="zh-CN"/>
        </w:rPr>
        <w:t>藤寨</w:t>
      </w:r>
      <w:r>
        <w:rPr>
          <w:rFonts w:hint="eastAsia" w:ascii="黑体" w:hAnsi="黑体" w:eastAsia="黑体" w:cs="黑体"/>
          <w:sz w:val="32"/>
          <w:szCs w:val="32"/>
        </w:rPr>
        <w:t>幼儿园202</w:t>
      </w:r>
      <w:r>
        <w:rPr>
          <w:rFonts w:hint="eastAsia" w:ascii="黑体" w:hAnsi="黑体" w:eastAsia="黑体" w:cs="黑体"/>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zCs w:val="32"/>
          <w:u w:val="none"/>
          <w:shd w:val="clear" w:color="auto" w:fill="FFFFFF"/>
        </w:rPr>
        <w:t>收支预算总体情况说明</w:t>
      </w:r>
    </w:p>
    <w:p w14:paraId="1589C32C">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rPr>
        <w:t>屯昌县南坤镇</w:t>
      </w:r>
      <w:r>
        <w:rPr>
          <w:rFonts w:hint="eastAsia" w:ascii="仿宋_GB2312" w:hAnsi="黑体" w:eastAsia="仿宋_GB2312"/>
          <w:sz w:val="32"/>
          <w:szCs w:val="32"/>
          <w:lang w:val="en-US" w:eastAsia="zh-CN"/>
        </w:rPr>
        <w:t>藤寨</w:t>
      </w:r>
      <w:r>
        <w:rPr>
          <w:rFonts w:hint="eastAsia" w:ascii="仿宋_GB2312" w:hAnsi="黑体" w:eastAsia="仿宋_GB2312"/>
          <w:sz w:val="32"/>
          <w:szCs w:val="32"/>
        </w:rPr>
        <w:t>幼儿园</w:t>
      </w:r>
      <w:r>
        <w:rPr>
          <w:rFonts w:hint="eastAsia" w:ascii="仿宋_GB2312" w:hAnsi="黑体" w:eastAsia="仿宋_GB2312" w:cs="仿宋_GB2312"/>
          <w:sz w:val="32"/>
          <w:szCs w:val="32"/>
        </w:rPr>
        <w:t>所有收入和支出均纳入部门预算管理。收入包括：一般公共预算收入、上年结转收入</w:t>
      </w:r>
      <w:r>
        <w:rPr>
          <w:rFonts w:hint="eastAsia" w:ascii="仿宋_GB2312" w:hAnsi="黑体" w:eastAsia="仿宋_GB2312"/>
          <w:sz w:val="32"/>
          <w:szCs w:val="32"/>
        </w:rPr>
        <w:t>；支出包括：教育支出、社会保障和就业支出、卫生健康支出、住房保障支出。屯昌县南坤镇</w:t>
      </w:r>
      <w:r>
        <w:rPr>
          <w:rFonts w:hint="eastAsia" w:ascii="仿宋_GB2312" w:hAnsi="黑体" w:eastAsia="仿宋_GB2312"/>
          <w:sz w:val="32"/>
          <w:szCs w:val="32"/>
          <w:lang w:val="en-US" w:eastAsia="zh-CN"/>
        </w:rPr>
        <w:t>藤寨</w:t>
      </w:r>
      <w:r>
        <w:rPr>
          <w:rFonts w:hint="eastAsia" w:ascii="仿宋_GB2312" w:hAnsi="黑体" w:eastAsia="仿宋_GB2312"/>
          <w:sz w:val="32"/>
          <w:szCs w:val="32"/>
        </w:rPr>
        <w:t>幼儿园</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26</w:t>
      </w:r>
      <w:r>
        <w:rPr>
          <w:rFonts w:hint="eastAsia" w:ascii="仿宋_GB2312" w:hAnsi="黑体" w:eastAsia="仿宋_GB2312"/>
          <w:sz w:val="32"/>
          <w:szCs w:val="32"/>
        </w:rPr>
        <w:t>年收支总预算</w:t>
      </w:r>
      <w:r>
        <w:rPr>
          <w:rFonts w:hint="eastAsia" w:ascii="仿宋_GB2312" w:hAnsi="黑体" w:eastAsia="仿宋_GB2312" w:cs="仿宋_GB2312"/>
          <w:sz w:val="32"/>
          <w:szCs w:val="32"/>
          <w:u w:val="none"/>
        </w:rPr>
        <w:t>148.90</w:t>
      </w:r>
      <w:r>
        <w:rPr>
          <w:rFonts w:hint="eastAsia" w:ascii="仿宋_GB2312" w:hAnsi="黑体" w:eastAsia="仿宋_GB2312"/>
          <w:sz w:val="32"/>
          <w:szCs w:val="32"/>
        </w:rPr>
        <w:t>万元。</w:t>
      </w:r>
    </w:p>
    <w:p w14:paraId="1B18B43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val="en-US" w:eastAsia="zh-CN"/>
        </w:rPr>
        <w:t>七</w:t>
      </w:r>
      <w:r>
        <w:rPr>
          <w:rFonts w:hint="eastAsia" w:ascii="黑体" w:hAnsi="黑体" w:eastAsia="黑体" w:cs="Times New Roman"/>
          <w:sz w:val="32"/>
          <w:szCs w:val="32"/>
          <w:u w:val="none"/>
          <w:shd w:val="clear" w:color="auto" w:fill="FFFFFF"/>
        </w:rPr>
        <w:t>、</w:t>
      </w:r>
      <w:r>
        <w:rPr>
          <w:rFonts w:hint="eastAsia" w:ascii="黑体" w:hAnsi="黑体" w:eastAsia="黑体"/>
          <w:sz w:val="32"/>
          <w:szCs w:val="32"/>
        </w:rPr>
        <w:t>关</w:t>
      </w:r>
      <w:r>
        <w:rPr>
          <w:rFonts w:hint="eastAsia" w:ascii="黑体" w:hAnsi="黑体" w:eastAsia="黑体" w:cs="黑体"/>
          <w:sz w:val="32"/>
          <w:szCs w:val="32"/>
        </w:rPr>
        <w:t>于屯昌县南坤镇</w:t>
      </w:r>
      <w:r>
        <w:rPr>
          <w:rFonts w:hint="eastAsia" w:ascii="黑体" w:hAnsi="黑体" w:eastAsia="黑体" w:cs="黑体"/>
          <w:sz w:val="32"/>
          <w:szCs w:val="32"/>
          <w:lang w:val="en-US" w:eastAsia="zh-CN"/>
        </w:rPr>
        <w:t>藤寨</w:t>
      </w:r>
      <w:r>
        <w:rPr>
          <w:rFonts w:hint="eastAsia" w:ascii="黑体" w:hAnsi="黑体" w:eastAsia="黑体" w:cs="黑体"/>
          <w:sz w:val="32"/>
          <w:szCs w:val="32"/>
        </w:rPr>
        <w:t>幼儿园202</w:t>
      </w:r>
      <w:r>
        <w:rPr>
          <w:rFonts w:hint="eastAsia" w:ascii="黑体" w:hAnsi="黑体" w:eastAsia="黑体" w:cs="黑体"/>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zCs w:val="32"/>
          <w:u w:val="none"/>
          <w:shd w:val="clear" w:color="auto" w:fill="FFFFFF"/>
        </w:rPr>
        <w:t>收入预算情况说明</w:t>
      </w:r>
    </w:p>
    <w:p w14:paraId="4A35DDC4">
      <w:pPr>
        <w:ind w:firstLine="640" w:firstLineChars="200"/>
        <w:rPr>
          <w:rFonts w:hint="default"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sz w:val="32"/>
          <w:szCs w:val="32"/>
        </w:rPr>
        <w:t>屯昌县南坤镇</w:t>
      </w:r>
      <w:r>
        <w:rPr>
          <w:rFonts w:hint="eastAsia" w:ascii="仿宋_GB2312" w:hAnsi="黑体" w:eastAsia="仿宋_GB2312"/>
          <w:sz w:val="32"/>
          <w:szCs w:val="32"/>
          <w:lang w:val="en-US" w:eastAsia="zh-CN"/>
        </w:rPr>
        <w:t>藤寨</w:t>
      </w:r>
      <w:r>
        <w:rPr>
          <w:rFonts w:hint="eastAsia" w:ascii="仿宋_GB2312" w:hAnsi="黑体" w:eastAsia="仿宋_GB2312"/>
          <w:sz w:val="32"/>
          <w:szCs w:val="32"/>
        </w:rPr>
        <w:t>幼儿园</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26</w:t>
      </w:r>
      <w:r>
        <w:rPr>
          <w:rFonts w:hint="eastAsia" w:ascii="仿宋_GB2312" w:hAnsi="黑体" w:eastAsia="仿宋_GB2312"/>
          <w:sz w:val="32"/>
          <w:szCs w:val="32"/>
        </w:rPr>
        <w:t>年收入预算</w:t>
      </w:r>
      <w:r>
        <w:rPr>
          <w:rFonts w:hint="eastAsia" w:ascii="仿宋_GB2312" w:hAnsi="黑体" w:eastAsia="仿宋_GB2312" w:cs="仿宋_GB2312"/>
          <w:sz w:val="32"/>
          <w:szCs w:val="32"/>
          <w:u w:val="none"/>
        </w:rPr>
        <w:t>148.90</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%；一般公共预算收入</w:t>
      </w:r>
      <w:r>
        <w:rPr>
          <w:rFonts w:hint="eastAsia" w:ascii="仿宋_GB2312" w:hAnsi="黑体" w:eastAsia="仿宋_GB2312" w:cs="仿宋_GB2312"/>
          <w:sz w:val="32"/>
          <w:szCs w:val="32"/>
          <w:lang w:val="en-US" w:eastAsia="zh-CN"/>
        </w:rPr>
        <w:t>148.90</w:t>
      </w:r>
      <w:r>
        <w:rPr>
          <w:rFonts w:hint="eastAsia" w:ascii="仿宋_GB2312" w:hAnsi="黑体" w:eastAsia="仿宋_GB2312"/>
          <w:sz w:val="32"/>
          <w:szCs w:val="32"/>
        </w:rPr>
        <w:t>万元，占</w:t>
      </w:r>
      <w:r>
        <w:rPr>
          <w:rFonts w:hint="eastAsia" w:ascii="仿宋_GB2312" w:hAnsi="黑体" w:eastAsia="仿宋_GB2312" w:cs="仿宋_GB2312"/>
          <w:color w:val="auto"/>
          <w:sz w:val="32"/>
          <w:szCs w:val="32"/>
          <w:lang w:val="en-US" w:eastAsia="zh-CN"/>
        </w:rPr>
        <w:t>100</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w:t>
      </w:r>
      <w:r>
        <w:rPr>
          <w:rFonts w:hint="eastAsia" w:ascii="仿宋_GB2312" w:hAnsi="黑体" w:eastAsia="仿宋_GB2312"/>
          <w:color w:val="000000"/>
          <w:sz w:val="32"/>
          <w:szCs w:val="32"/>
        </w:rPr>
        <w:t>比上年预算数</w:t>
      </w:r>
      <w:r>
        <w:rPr>
          <w:rFonts w:hint="eastAsia" w:ascii="仿宋_GB2312" w:hAnsi="黑体" w:eastAsia="仿宋_GB2312"/>
          <w:color w:val="000000"/>
          <w:sz w:val="32"/>
          <w:szCs w:val="32"/>
          <w:lang w:val="en-US" w:eastAsia="zh-CN"/>
        </w:rPr>
        <w:t>减少38.94</w:t>
      </w:r>
      <w:r>
        <w:rPr>
          <w:rFonts w:hint="eastAsia" w:ascii="仿宋_GB2312" w:hAnsi="黑体" w:eastAsia="仿宋_GB2312"/>
          <w:sz w:val="32"/>
          <w:szCs w:val="32"/>
        </w:rPr>
        <w:t>万元</w:t>
      </w:r>
      <w:r>
        <w:rPr>
          <w:rFonts w:hint="eastAsia" w:ascii="仿宋_GB2312" w:hAnsi="黑体" w:eastAsia="仿宋_GB2312" w:cs="仿宋_GB2312"/>
          <w:color w:val="000000"/>
          <w:sz w:val="32"/>
          <w:szCs w:val="32"/>
          <w:lang w:eastAsia="zh-CN"/>
        </w:rPr>
        <w:t>，</w:t>
      </w:r>
      <w:r>
        <w:rPr>
          <w:rFonts w:hint="eastAsia" w:ascii="仿宋_GB2312" w:hAnsi="黑体" w:eastAsia="仿宋_GB2312"/>
          <w:color w:val="000000" w:themeColor="text1"/>
          <w:sz w:val="32"/>
          <w:szCs w:val="32"/>
          <w14:textFill>
            <w14:solidFill>
              <w14:schemeClr w14:val="tx1"/>
            </w14:solidFill>
          </w14:textFill>
        </w:rPr>
        <w:t>主要是</w:t>
      </w:r>
      <w:r>
        <w:rPr>
          <w:rFonts w:hint="eastAsia" w:ascii="仿宋_GB2312" w:hAnsi="黑体" w:eastAsia="仿宋_GB2312"/>
          <w:color w:val="000000" w:themeColor="text1"/>
          <w:sz w:val="32"/>
          <w:szCs w:val="32"/>
          <w:lang w:val="en-US" w:eastAsia="zh-CN"/>
          <w14:textFill>
            <w14:solidFill>
              <w14:schemeClr w14:val="tx1"/>
            </w14:solidFill>
          </w14:textFill>
        </w:rPr>
        <w:t>人员减少，</w:t>
      </w:r>
      <w:r>
        <w:rPr>
          <w:rFonts w:hint="eastAsia" w:ascii="仿宋_GB2312" w:hAnsi="黑体" w:eastAsia="仿宋_GB2312"/>
          <w:sz w:val="32"/>
          <w:szCs w:val="32"/>
          <w:lang w:eastAsia="zh-CN"/>
        </w:rPr>
        <w:t>基本收入</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p>
    <w:p w14:paraId="717C2A0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val="en-US" w:eastAsia="zh-CN"/>
        </w:rPr>
        <w:t>八</w:t>
      </w:r>
      <w:r>
        <w:rPr>
          <w:rFonts w:hint="eastAsia" w:ascii="黑体" w:hAnsi="黑体" w:eastAsia="黑体" w:cs="Times New Roman"/>
          <w:sz w:val="32"/>
          <w:szCs w:val="32"/>
          <w:u w:val="none"/>
          <w:shd w:val="clear" w:color="auto" w:fill="FFFFFF"/>
        </w:rPr>
        <w:t>、</w:t>
      </w:r>
      <w:r>
        <w:rPr>
          <w:rFonts w:hint="eastAsia" w:ascii="黑体" w:hAnsi="黑体" w:eastAsia="黑体" w:cs="Times New Roman"/>
          <w:sz w:val="32"/>
          <w:shd w:val="clear" w:color="auto" w:fill="FFFFFF"/>
        </w:rPr>
        <w:t>关于</w:t>
      </w:r>
      <w:r>
        <w:rPr>
          <w:rFonts w:hint="eastAsia" w:ascii="黑体" w:hAnsi="黑体" w:eastAsia="黑体" w:cs="黑体"/>
          <w:sz w:val="32"/>
          <w:szCs w:val="32"/>
        </w:rPr>
        <w:t>屯昌县南坤镇</w:t>
      </w:r>
      <w:r>
        <w:rPr>
          <w:rFonts w:hint="eastAsia" w:ascii="黑体" w:hAnsi="黑体" w:eastAsia="黑体" w:cs="黑体"/>
          <w:sz w:val="32"/>
          <w:szCs w:val="32"/>
          <w:lang w:val="en-US" w:eastAsia="zh-CN"/>
        </w:rPr>
        <w:t>藤寨</w:t>
      </w:r>
      <w:r>
        <w:rPr>
          <w:rFonts w:hint="eastAsia" w:ascii="黑体" w:hAnsi="黑体" w:eastAsia="黑体" w:cs="黑体"/>
          <w:sz w:val="32"/>
          <w:szCs w:val="32"/>
        </w:rPr>
        <w:t>幼儿园202</w:t>
      </w:r>
      <w:r>
        <w:rPr>
          <w:rFonts w:hint="eastAsia" w:ascii="黑体" w:hAnsi="黑体" w:eastAsia="黑体" w:cs="黑体"/>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zCs w:val="32"/>
          <w:u w:val="none"/>
          <w:shd w:val="clear" w:color="auto" w:fill="FFFFFF"/>
        </w:rPr>
        <w:t>支出预算情况说明</w:t>
      </w:r>
    </w:p>
    <w:p w14:paraId="78E0801D">
      <w:pPr>
        <w:ind w:firstLine="640" w:firstLineChars="200"/>
        <w:rPr>
          <w:rFonts w:hint="default"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sz w:val="32"/>
          <w:szCs w:val="32"/>
        </w:rPr>
        <w:t>屯昌县南坤镇</w:t>
      </w:r>
      <w:r>
        <w:rPr>
          <w:rFonts w:hint="eastAsia" w:ascii="仿宋_GB2312" w:hAnsi="黑体" w:eastAsia="仿宋_GB2312"/>
          <w:sz w:val="32"/>
          <w:szCs w:val="32"/>
          <w:lang w:val="en-US" w:eastAsia="zh-CN"/>
        </w:rPr>
        <w:t>藤寨</w:t>
      </w:r>
      <w:r>
        <w:rPr>
          <w:rFonts w:hint="eastAsia" w:ascii="仿宋_GB2312" w:hAnsi="黑体" w:eastAsia="仿宋_GB2312"/>
          <w:sz w:val="32"/>
          <w:szCs w:val="32"/>
        </w:rPr>
        <w:t>幼儿园</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年支出预算</w:t>
      </w:r>
      <w:r>
        <w:rPr>
          <w:rFonts w:hint="eastAsia" w:ascii="仿宋_GB2312" w:hAnsi="黑体" w:eastAsia="仿宋_GB2312" w:cs="仿宋_GB2312"/>
          <w:sz w:val="32"/>
          <w:szCs w:val="32"/>
          <w:u w:val="none"/>
        </w:rPr>
        <w:t>148.90</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148.69</w:t>
      </w:r>
      <w:r>
        <w:rPr>
          <w:rFonts w:hint="eastAsia" w:ascii="仿宋_GB2312" w:hAnsi="黑体" w:eastAsia="仿宋_GB2312"/>
          <w:sz w:val="32"/>
          <w:szCs w:val="32"/>
        </w:rPr>
        <w:t>万元，占</w:t>
      </w:r>
      <w:r>
        <w:rPr>
          <w:rFonts w:hint="eastAsia" w:ascii="仿宋_GB2312" w:hAnsi="黑体" w:eastAsia="仿宋_GB2312" w:cs="仿宋_GB2312"/>
          <w:color w:val="000000" w:themeColor="text1"/>
          <w:sz w:val="32"/>
          <w:szCs w:val="32"/>
          <w:lang w:val="en-US" w:eastAsia="zh-CN"/>
          <w14:textFill>
            <w14:solidFill>
              <w14:schemeClr w14:val="tx1"/>
            </w14:solidFill>
          </w14:textFill>
        </w:rPr>
        <w:t>99.86</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0.21</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0.14</w:t>
      </w:r>
      <w:r>
        <w:rPr>
          <w:rFonts w:hint="eastAsia" w:ascii="仿宋_GB2312" w:hAnsi="黑体" w:eastAsia="仿宋_GB2312"/>
          <w:color w:val="auto"/>
          <w:sz w:val="32"/>
          <w:szCs w:val="32"/>
        </w:rPr>
        <w:t>%</w:t>
      </w:r>
      <w:r>
        <w:rPr>
          <w:rFonts w:hint="eastAsia" w:ascii="仿宋_GB2312" w:hAnsi="黑体" w:eastAsia="仿宋_GB2312"/>
          <w:sz w:val="32"/>
          <w:szCs w:val="32"/>
          <w:lang w:eastAsia="zh-CN"/>
        </w:rPr>
        <w:t>，</w:t>
      </w:r>
      <w:r>
        <w:rPr>
          <w:rFonts w:hint="eastAsia" w:ascii="仿宋_GB2312" w:hAnsi="黑体" w:eastAsia="仿宋_GB2312"/>
          <w:color w:val="000000"/>
          <w:sz w:val="32"/>
          <w:szCs w:val="32"/>
        </w:rPr>
        <w:t>比上年预算数</w:t>
      </w:r>
      <w:r>
        <w:rPr>
          <w:rFonts w:hint="eastAsia" w:ascii="仿宋_GB2312" w:hAnsi="黑体" w:eastAsia="仿宋_GB2312"/>
          <w:color w:val="000000"/>
          <w:sz w:val="32"/>
          <w:szCs w:val="32"/>
          <w:lang w:val="en-US" w:eastAsia="zh-CN"/>
        </w:rPr>
        <w:t>减少38.94</w:t>
      </w:r>
      <w:r>
        <w:rPr>
          <w:rFonts w:hint="eastAsia" w:ascii="仿宋_GB2312" w:hAnsi="黑体" w:eastAsia="仿宋_GB2312"/>
          <w:sz w:val="32"/>
          <w:szCs w:val="32"/>
        </w:rPr>
        <w:t>万元</w:t>
      </w:r>
      <w:r>
        <w:rPr>
          <w:rFonts w:hint="eastAsia" w:ascii="仿宋_GB2312" w:hAnsi="黑体" w:eastAsia="仿宋_GB2312" w:cs="仿宋_GB2312"/>
          <w:color w:val="000000"/>
          <w:sz w:val="32"/>
          <w:szCs w:val="32"/>
          <w:lang w:eastAsia="zh-CN"/>
        </w:rPr>
        <w:t>，</w:t>
      </w:r>
      <w:r>
        <w:rPr>
          <w:rFonts w:hint="eastAsia" w:ascii="仿宋_GB2312" w:hAnsi="黑体" w:eastAsia="仿宋_GB2312"/>
          <w:color w:val="000000" w:themeColor="text1"/>
          <w:sz w:val="32"/>
          <w:szCs w:val="32"/>
          <w14:textFill>
            <w14:solidFill>
              <w14:schemeClr w14:val="tx1"/>
            </w14:solidFill>
          </w14:textFill>
        </w:rPr>
        <w:t>主要是</w:t>
      </w:r>
      <w:r>
        <w:rPr>
          <w:rFonts w:hint="eastAsia" w:ascii="仿宋_GB2312" w:hAnsi="黑体" w:eastAsia="仿宋_GB2312"/>
          <w:color w:val="000000" w:themeColor="text1"/>
          <w:sz w:val="32"/>
          <w:szCs w:val="32"/>
          <w:lang w:val="en-US" w:eastAsia="zh-CN"/>
          <w14:textFill>
            <w14:solidFill>
              <w14:schemeClr w14:val="tx1"/>
            </w14:solidFill>
          </w14:textFill>
        </w:rPr>
        <w:t>人员减少。</w:t>
      </w:r>
    </w:p>
    <w:p w14:paraId="2859DD2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val="en-US" w:eastAsia="zh-CN"/>
        </w:rPr>
        <w:t>九</w:t>
      </w:r>
      <w:r>
        <w:rPr>
          <w:rFonts w:hint="eastAsia" w:ascii="黑体" w:hAnsi="黑体" w:eastAsia="黑体" w:cs="Times New Roman"/>
          <w:sz w:val="32"/>
          <w:szCs w:val="32"/>
          <w:u w:val="none"/>
          <w:shd w:val="clear" w:color="auto" w:fill="FFFFFF"/>
        </w:rPr>
        <w:t>、其他重要事项的情况说明</w:t>
      </w:r>
    </w:p>
    <w:p w14:paraId="4212FB62">
      <w:pPr>
        <w:ind w:firstLine="640" w:firstLineChars="200"/>
        <w:rPr>
          <w:rFonts w:ascii="楷体" w:hAnsi="楷体" w:eastAsia="楷体"/>
          <w:sz w:val="32"/>
          <w:szCs w:val="32"/>
        </w:rPr>
      </w:pPr>
      <w:r>
        <w:rPr>
          <w:rFonts w:hint="eastAsia" w:ascii="楷体" w:hAnsi="楷体" w:eastAsia="楷体"/>
          <w:sz w:val="32"/>
          <w:szCs w:val="32"/>
        </w:rPr>
        <w:t>（一）机关运行经费（行政单位、参照公务员法管理的事业单位需说明，其他单位不需要说明）</w:t>
      </w:r>
    </w:p>
    <w:p w14:paraId="40AFF931">
      <w:pPr>
        <w:ind w:firstLine="640" w:firstLineChars="200"/>
        <w:rPr>
          <w:rFonts w:ascii="楷体" w:hAnsi="楷体" w:eastAsia="楷体"/>
          <w:sz w:val="32"/>
          <w:szCs w:val="32"/>
        </w:rPr>
      </w:pPr>
      <w:r>
        <w:rPr>
          <w:rFonts w:hint="eastAsia" w:ascii="楷体" w:hAnsi="楷体" w:eastAsia="楷体"/>
          <w:sz w:val="32"/>
          <w:szCs w:val="32"/>
        </w:rPr>
        <w:t>（二）政府采购情况</w:t>
      </w:r>
    </w:p>
    <w:p w14:paraId="0C3068B5">
      <w:pPr>
        <w:ind w:firstLine="640"/>
        <w:rPr>
          <w:rFonts w:ascii="仿宋_GB2312" w:hAnsi="黑体" w:eastAsia="仿宋_GB2312"/>
          <w:sz w:val="32"/>
          <w:szCs w:val="32"/>
        </w:rPr>
      </w:pP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25</w:t>
      </w:r>
      <w:r>
        <w:rPr>
          <w:rFonts w:hint="eastAsia" w:ascii="仿宋_GB2312" w:hAnsi="黑体" w:eastAsia="仿宋_GB2312"/>
          <w:sz w:val="32"/>
          <w:szCs w:val="32"/>
        </w:rPr>
        <w:t>年屯昌县南坤镇</w:t>
      </w:r>
      <w:r>
        <w:rPr>
          <w:rFonts w:hint="eastAsia" w:ascii="仿宋_GB2312" w:hAnsi="黑体" w:eastAsia="仿宋_GB2312"/>
          <w:sz w:val="32"/>
          <w:szCs w:val="32"/>
          <w:lang w:val="en-US" w:eastAsia="zh-CN"/>
        </w:rPr>
        <w:t>藤寨</w:t>
      </w:r>
      <w:r>
        <w:rPr>
          <w:rFonts w:hint="eastAsia" w:ascii="仿宋_GB2312" w:hAnsi="黑体" w:eastAsia="仿宋_GB2312"/>
          <w:sz w:val="32"/>
          <w:szCs w:val="32"/>
        </w:rPr>
        <w:t>幼儿园</w:t>
      </w:r>
      <w:r>
        <w:rPr>
          <w:rFonts w:hint="eastAsia" w:ascii="仿宋_GB2312" w:hAnsi="黑体" w:eastAsia="仿宋_GB2312" w:cs="仿宋_GB2312"/>
          <w:sz w:val="32"/>
          <w:szCs w:val="32"/>
        </w:rPr>
        <w:t>无政府采购预算</w:t>
      </w:r>
      <w:r>
        <w:rPr>
          <w:rFonts w:hint="eastAsia" w:ascii="仿宋_GB2312" w:hAnsi="黑体" w:eastAsia="仿宋_GB2312"/>
          <w:sz w:val="32"/>
          <w:szCs w:val="32"/>
        </w:rPr>
        <w:t>。</w:t>
      </w:r>
    </w:p>
    <w:p w14:paraId="2E11AEA0">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5BDFC149">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年12月31日，屯昌县南坤镇</w:t>
      </w:r>
      <w:r>
        <w:rPr>
          <w:rFonts w:hint="eastAsia" w:ascii="仿宋_GB2312" w:hAnsi="黑体" w:eastAsia="仿宋_GB2312"/>
          <w:sz w:val="32"/>
          <w:szCs w:val="32"/>
          <w:lang w:val="en-US" w:eastAsia="zh-CN"/>
        </w:rPr>
        <w:t>藤寨</w:t>
      </w:r>
      <w:r>
        <w:rPr>
          <w:rFonts w:hint="eastAsia" w:ascii="仿宋_GB2312" w:hAnsi="黑体" w:eastAsia="仿宋_GB2312"/>
          <w:sz w:val="32"/>
          <w:szCs w:val="32"/>
        </w:rPr>
        <w:t>幼儿园</w:t>
      </w:r>
      <w:r>
        <w:rPr>
          <w:rFonts w:hint="eastAsia" w:ascii="仿宋_GB2312" w:hAnsi="黑体" w:eastAsia="仿宋_GB2312" w:cs="仿宋_GB2312"/>
          <w:sz w:val="32"/>
          <w:szCs w:val="32"/>
        </w:rPr>
        <w:t>本级及下属各预算单位共有车辆0辆，其中，领导干部用车0辆，机要通信应急用车0辆、一般执法执勤用车0辆、特种专业技术用车0辆、其他用车0辆。单位价值100万元以上设备0台（套）。</w:t>
      </w:r>
    </w:p>
    <w:p w14:paraId="284FEFE1">
      <w:pPr>
        <w:ind w:firstLine="640" w:firstLineChars="200"/>
        <w:rPr>
          <w:rFonts w:ascii="楷体" w:hAnsi="楷体" w:eastAsia="楷体"/>
          <w:sz w:val="32"/>
          <w:szCs w:val="32"/>
        </w:rPr>
      </w:pPr>
      <w:r>
        <w:rPr>
          <w:rFonts w:hint="eastAsia" w:ascii="楷体" w:hAnsi="楷体" w:eastAsia="楷体"/>
          <w:sz w:val="32"/>
          <w:szCs w:val="32"/>
        </w:rPr>
        <w:t>（四）绩效目标设置情况</w:t>
      </w:r>
    </w:p>
    <w:p w14:paraId="0D162A81">
      <w:pPr>
        <w:ind w:firstLine="640" w:firstLineChars="200"/>
        <w:rPr>
          <w:rFonts w:ascii="黑体" w:hAnsi="黑体" w:eastAsia="黑体"/>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年屯昌县南坤镇</w:t>
      </w:r>
      <w:r>
        <w:rPr>
          <w:rFonts w:hint="eastAsia" w:ascii="仿宋_GB2312" w:hAnsi="黑体" w:eastAsia="仿宋_GB2312"/>
          <w:sz w:val="32"/>
          <w:szCs w:val="32"/>
          <w:lang w:val="en-US" w:eastAsia="zh-CN"/>
        </w:rPr>
        <w:t>藤寨</w:t>
      </w:r>
      <w:r>
        <w:rPr>
          <w:rFonts w:hint="eastAsia" w:ascii="仿宋_GB2312" w:hAnsi="黑体" w:eastAsia="仿宋_GB2312"/>
          <w:sz w:val="32"/>
          <w:szCs w:val="32"/>
        </w:rPr>
        <w:t>幼儿园</w:t>
      </w: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个项目实行绩效目标管理，</w:t>
      </w:r>
      <w:r>
        <w:rPr>
          <w:rFonts w:hint="eastAsia" w:ascii="仿宋_GB2312" w:hAnsi="黑体" w:eastAsia="仿宋_GB2312" w:cs="仿宋_GB2312"/>
          <w:color w:val="000000"/>
          <w:sz w:val="32"/>
          <w:szCs w:val="32"/>
        </w:rPr>
        <w:t>涉及一般公共预算</w:t>
      </w:r>
      <w:r>
        <w:rPr>
          <w:rFonts w:hint="eastAsia" w:ascii="仿宋_GB2312" w:hAnsi="黑体" w:eastAsia="仿宋_GB2312" w:cs="仿宋_GB2312"/>
          <w:sz w:val="32"/>
          <w:szCs w:val="32"/>
          <w:u w:val="none"/>
        </w:rPr>
        <w:t>148.90</w:t>
      </w:r>
      <w:r>
        <w:rPr>
          <w:rFonts w:hint="eastAsia" w:ascii="仿宋_GB2312" w:hAnsi="黑体" w:eastAsia="仿宋_GB2312"/>
          <w:color w:val="000000"/>
          <w:sz w:val="32"/>
          <w:szCs w:val="32"/>
        </w:rPr>
        <w:t>万元、政府性基金</w:t>
      </w:r>
      <w:r>
        <w:rPr>
          <w:rFonts w:hint="eastAsia" w:ascii="仿宋_GB2312" w:hAnsi="黑体" w:eastAsia="仿宋_GB2312" w:cs="仿宋_GB2312"/>
          <w:color w:val="000000"/>
          <w:sz w:val="32"/>
          <w:szCs w:val="32"/>
        </w:rPr>
        <w:t>0</w:t>
      </w:r>
      <w:r>
        <w:rPr>
          <w:rFonts w:hint="eastAsia" w:ascii="仿宋_GB2312" w:hAnsi="黑体" w:eastAsia="仿宋_GB2312"/>
          <w:color w:val="000000"/>
          <w:sz w:val="32"/>
          <w:szCs w:val="32"/>
        </w:rPr>
        <w:t>万元。</w:t>
      </w:r>
    </w:p>
    <w:p w14:paraId="381449E5">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黑体" w:hAnsi="黑体" w:eastAsia="黑体"/>
          <w:b w:val="0"/>
          <w:bCs/>
          <w:sz w:val="32"/>
          <w:szCs w:val="32"/>
          <w:u w:val="none"/>
        </w:rPr>
      </w:pPr>
    </w:p>
    <w:p w14:paraId="4F127762">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黑体" w:hAnsi="黑体" w:eastAsia="黑体"/>
          <w:b w:val="0"/>
          <w:bCs/>
          <w:sz w:val="32"/>
          <w:szCs w:val="32"/>
          <w:u w:val="none"/>
        </w:rPr>
      </w:pPr>
    </w:p>
    <w:p w14:paraId="5775853C">
      <w:pPr>
        <w:keepNext w:val="0"/>
        <w:keepLines w:val="0"/>
        <w:pageBreakBefore w:val="0"/>
        <w:kinsoku/>
        <w:wordWrap/>
        <w:overflowPunct/>
        <w:topLinePunct w:val="0"/>
        <w:autoSpaceDE/>
        <w:autoSpaceDN/>
        <w:bidi w:val="0"/>
        <w:adjustRightInd/>
        <w:snapToGrid/>
        <w:spacing w:line="590" w:lineRule="exact"/>
        <w:ind w:firstLine="3200" w:firstLineChars="1000"/>
        <w:jc w:val="both"/>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5DFEB85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14:paraId="156BC90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14:paraId="67942F95">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14:paraId="180924D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14:paraId="64F5ADB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14:paraId="3400067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14:paraId="2F6C6C0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14:paraId="2B52FC85">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14:paraId="0209DC0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14:paraId="16D6D5F5">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14:paraId="3F7F1D8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14:paraId="30F781B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263C10C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14:paraId="3B1B84A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14:paraId="4E54A52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3A38F309">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14:paraId="2F8D543E"/>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2A7C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4F8511">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9264;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IWn1LU2AgAAYQQAAA4AAABkcnMvZTJvRG9jLnhtbK1UwW4TMRC9&#10;I/EPlu9000akEGVThVZFSBWtVBBnx+vNWrI9xna6Wz4A/oBTL9z5rnwHz7ubFgqHHrg4bz0zb2be&#10;jLM46axhNypETa7khwcTzpSTVGm3KfnHD+cvXnEWk3CVMORUyW9V5CfL588WrZ+rI2rIVCowkLg4&#10;b33Jm5T8vCiibJQV8YC8cjDWFKxI+AybogqiBbs1xdFkMitaCpUPJFWMuD0bjHxkDE8hpLrWUp2R&#10;3Frl0sAalBEJLcVG+8iXfbV1rWS6rOuoEjMlR6epP5EEeJ3PYrkQ800QvtFyLEE8pYRHPVmhHZLe&#10;U52JJNg26L+orJaBItXpQJIthkZ6RdDF4eSRNteN8KrvBVJHfy96/H+08v3NVWC6wiZw5oTFwHff&#10;v+3ufu5+fGWHWZ7Wxzm8rj38UveGuuw63kdc5q67Otj8i34Y7BD39l5c1SUmcXn8enr8EhYJ0/To&#10;eDbrxS8egn2I6a0iyzIoecDseknFzUVMSAjXvUvO5ehcG9PPzzjWlnw2Bf0fFkQYh8DcwlBqRqlb&#10;d2P9a6pu0VagYS+il+cayS9ETFciYBFQL55KusRRG0ISGhFnDYUv/7rP/pgPrJy1WKySx89bERRn&#10;5p3D5ECZ9iDswXoP3NaeEnYV00A1PURASGYP60D2E17QKmeBSTiJXCVPe3iahvXGC5Rqteqdtj7o&#10;TTMEYO+8SBfu2sucZhBstU1U617lLNGgy6gcNq8Xf3wlebV//+69Hv4Zl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7M5a7tMAAAAEAQAADwAAAAAAAAABACAAAAAiAAAAZHJzL2Rvd25yZXYueG1s&#10;UEsBAhQAFAAAAAgAh07iQIWn1LU2AgAAYQQAAA4AAAAAAAAAAQAgAAAAIgEAAGRycy9lMm9Eb2Mu&#10;eG1sUEsFBgAAAAAGAAYAWQEAAMoFAAAAAA==&#10;">
              <v:fill on="f" focussize="0,0"/>
              <v:stroke on="f" weight="0.5pt"/>
              <v:imagedata o:title=""/>
              <o:lock v:ext="edit" aspectratio="f"/>
              <v:textbox inset="0mm,0mm,0mm,0mm">
                <w:txbxContent>
                  <w:p w14:paraId="3F4F8511">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078C74"/>
    <w:multiLevelType w:val="singleLevel"/>
    <w:tmpl w:val="A1078C74"/>
    <w:lvl w:ilvl="0" w:tentative="0">
      <w:start w:val="3"/>
      <w:numFmt w:val="chineseCounting"/>
      <w:suff w:val="nothing"/>
      <w:lvlText w:val="（%1）"/>
      <w:lvlJc w:val="left"/>
      <w:rPr>
        <w:rFonts w:hint="eastAsia"/>
      </w:rPr>
    </w:lvl>
  </w:abstractNum>
  <w:abstractNum w:abstractNumId="1">
    <w:nsid w:val="F9D017B3"/>
    <w:multiLevelType w:val="singleLevel"/>
    <w:tmpl w:val="F9D017B3"/>
    <w:lvl w:ilvl="0" w:tentative="0">
      <w:start w:val="2"/>
      <w:numFmt w:val="chineseCounting"/>
      <w:suff w:val="nothing"/>
      <w:lvlText w:val="（%1）"/>
      <w:lvlJc w:val="left"/>
      <w:pPr>
        <w:ind w:left="-10"/>
      </w:pPr>
      <w:rPr>
        <w:rFonts w:hint="eastAsia"/>
      </w:r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600615C"/>
    <w:rsid w:val="0D7F66E0"/>
    <w:rsid w:val="19483C4A"/>
    <w:rsid w:val="34993154"/>
    <w:rsid w:val="3DD60F75"/>
    <w:rsid w:val="415D6A9A"/>
    <w:rsid w:val="6A5D311A"/>
    <w:rsid w:val="7141437C"/>
    <w:rsid w:val="73FC71D3"/>
    <w:rsid w:val="7ABD2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10</Pages>
  <Words>3325</Words>
  <Characters>3597</Characters>
  <Lines>0</Lines>
  <Paragraphs>0</Paragraphs>
  <TotalTime>2</TotalTime>
  <ScaleCrop>false</ScaleCrop>
  <LinksUpToDate>false</LinksUpToDate>
  <CharactersWithSpaces>3614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ZHANG</cp:lastModifiedBy>
  <dcterms:modified xsi:type="dcterms:W3CDTF">2026-03-03T07:07:11Z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eyJoZGlkIjoiN2JkYWQ5ZTk4M2YyZjY5MTM1MWQ5NTZiZmNiZjVmMzIiLCJ1c2VySWQiOiI3ODY5NjQzMzUifQ==</vt:lpwstr>
  </property>
  <property fmtid="{D5CDD505-2E9C-101B-9397-08002B2CF9AE}" pid="4" name="ICV">
    <vt:lpwstr>4DA7040CDB46479E8ACD83239330C064_12</vt:lpwstr>
  </property>
</Properties>
</file>