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sz w:val="84"/>
          <w:szCs w:val="84"/>
          <w:u w:val="none"/>
        </w:rPr>
      </w:pPr>
    </w:p>
    <w:p>
      <w:pPr>
        <w:spacing w:line="560" w:lineRule="exact"/>
        <w:rPr>
          <w:sz w:val="84"/>
          <w:szCs w:val="84"/>
          <w:u w:val="none"/>
        </w:rPr>
      </w:pPr>
    </w:p>
    <w:p>
      <w:pPr>
        <w:spacing w:line="560" w:lineRule="exact"/>
        <w:rPr>
          <w:sz w:val="84"/>
          <w:szCs w:val="84"/>
          <w:u w:val="none"/>
        </w:rPr>
      </w:pPr>
    </w:p>
    <w:p>
      <w:pPr>
        <w:spacing w:line="560" w:lineRule="exact"/>
        <w:rPr>
          <w:sz w:val="84"/>
          <w:szCs w:val="84"/>
          <w:u w:val="none"/>
        </w:rPr>
      </w:pPr>
    </w:p>
    <w:p>
      <w:pPr>
        <w:spacing w:line="560" w:lineRule="exact"/>
        <w:jc w:val="center"/>
        <w:rPr>
          <w:rFonts w:hint="eastAsia"/>
          <w:sz w:val="52"/>
          <w:szCs w:val="52"/>
          <w:u w:val="none"/>
          <w:lang w:val="en-US" w:eastAsia="zh-CN"/>
        </w:rPr>
      </w:pPr>
    </w:p>
    <w:p>
      <w:pPr>
        <w:spacing w:line="560" w:lineRule="exact"/>
        <w:jc w:val="center"/>
        <w:rPr>
          <w:rFonts w:hint="eastAsia"/>
          <w:sz w:val="52"/>
          <w:szCs w:val="52"/>
          <w:u w:val="none"/>
          <w:lang w:val="en-US" w:eastAsia="zh-CN"/>
        </w:rPr>
      </w:pPr>
    </w:p>
    <w:p>
      <w:pPr>
        <w:spacing w:line="560" w:lineRule="exact"/>
        <w:jc w:val="center"/>
        <w:rPr>
          <w:rFonts w:hint="eastAsia"/>
          <w:sz w:val="52"/>
          <w:szCs w:val="52"/>
          <w:u w:val="none"/>
          <w:lang w:val="en-US" w:eastAsia="zh-CN"/>
        </w:rPr>
      </w:pPr>
    </w:p>
    <w:p>
      <w:pPr>
        <w:spacing w:line="560" w:lineRule="exact"/>
        <w:jc w:val="center"/>
        <w:rPr>
          <w:rFonts w:hint="eastAsia"/>
          <w:sz w:val="52"/>
          <w:szCs w:val="52"/>
          <w:u w:val="none"/>
          <w:lang w:val="en-US" w:eastAsia="zh-CN"/>
        </w:rPr>
      </w:pPr>
    </w:p>
    <w:p>
      <w:pPr>
        <w:spacing w:line="560" w:lineRule="exact"/>
        <w:jc w:val="center"/>
        <w:rPr>
          <w:rFonts w:hint="eastAsia"/>
          <w:sz w:val="52"/>
          <w:szCs w:val="52"/>
          <w:u w:val="none"/>
          <w:lang w:val="en-US" w:eastAsia="zh-CN"/>
        </w:rPr>
      </w:pPr>
    </w:p>
    <w:p>
      <w:pPr>
        <w:spacing w:line="560" w:lineRule="exact"/>
        <w:jc w:val="center"/>
        <w:rPr>
          <w:rFonts w:hint="eastAsia"/>
          <w:sz w:val="52"/>
          <w:szCs w:val="52"/>
          <w:u w:val="none"/>
          <w:lang w:val="en-US" w:eastAsia="zh-CN"/>
        </w:rPr>
      </w:pPr>
    </w:p>
    <w:p>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default" w:ascii="方正小标宋_GBK" w:hAnsi="方正小标宋_GBK" w:eastAsia="方正小标宋_GBK" w:cs="方正小标宋_GBK"/>
          <w:sz w:val="44"/>
          <w:szCs w:val="44"/>
          <w:u w:val="none"/>
          <w:lang w:val="en-US" w:eastAsia="zh-CN"/>
        </w:rPr>
      </w:pPr>
      <w:r>
        <w:rPr>
          <w:rFonts w:hint="eastAsia" w:ascii="方正小标宋_GBK" w:hAnsi="方正小标宋_GBK" w:eastAsia="方正小标宋_GBK" w:cs="方正小标宋_GBK"/>
          <w:sz w:val="44"/>
          <w:szCs w:val="44"/>
          <w:u w:val="none"/>
          <w:lang w:val="en-US" w:eastAsia="zh-CN"/>
        </w:rPr>
        <w:t>2026</w:t>
      </w:r>
      <w:r>
        <w:rPr>
          <w:rFonts w:hint="eastAsia" w:ascii="方正小标宋_GBK" w:hAnsi="方正小标宋_GBK" w:eastAsia="方正小标宋_GBK" w:cs="方正小标宋_GBK"/>
          <w:sz w:val="44"/>
          <w:szCs w:val="44"/>
          <w:u w:val="none"/>
        </w:rPr>
        <w:t>年</w:t>
      </w:r>
      <w:r>
        <w:rPr>
          <w:rFonts w:hint="eastAsia" w:ascii="方正小标宋_GBK" w:hAnsi="方正小标宋_GBK" w:eastAsia="方正小标宋_GBK" w:cs="方正小标宋_GBK"/>
          <w:sz w:val="44"/>
          <w:szCs w:val="44"/>
          <w:u w:val="none"/>
          <w:lang w:val="en-US" w:eastAsia="zh-CN"/>
        </w:rPr>
        <w:t>屯昌县南坤镇藤寨中心小学</w:t>
      </w:r>
      <w:r>
        <w:rPr>
          <w:rFonts w:hint="eastAsia" w:ascii="方正小标宋_GBK" w:hAnsi="方正小标宋_GBK" w:eastAsia="方正小标宋_GBK" w:cs="方正小标宋_GBK"/>
          <w:sz w:val="44"/>
          <w:szCs w:val="44"/>
          <w:u w:val="none"/>
        </w:rPr>
        <w:t>预算</w:t>
      </w:r>
      <w:r>
        <w:rPr>
          <w:rFonts w:hint="eastAsia" w:ascii="方正小标宋_GBK" w:hAnsi="方正小标宋_GBK" w:eastAsia="方正小标宋_GBK" w:cs="方正小标宋_GBK"/>
          <w:sz w:val="44"/>
          <w:szCs w:val="44"/>
          <w:u w:val="none"/>
          <w:lang w:val="en-US" w:eastAsia="zh-CN"/>
        </w:rPr>
        <w:t>公开说明</w:t>
      </w:r>
    </w:p>
    <w:p>
      <w:pPr>
        <w:spacing w:line="560" w:lineRule="exact"/>
        <w:ind w:firstLine="1680"/>
        <w:jc w:val="center"/>
        <w:rPr>
          <w:sz w:val="84"/>
          <w:szCs w:val="84"/>
          <w:u w:val="none"/>
        </w:rPr>
      </w:pPr>
    </w:p>
    <w:p>
      <w:pPr>
        <w:spacing w:line="560" w:lineRule="exact"/>
        <w:ind w:firstLine="1680"/>
        <w:jc w:val="center"/>
        <w:rPr>
          <w:sz w:val="84"/>
          <w:szCs w:val="84"/>
          <w:u w:val="none"/>
        </w:rPr>
      </w:pPr>
    </w:p>
    <w:p>
      <w:pPr>
        <w:spacing w:line="560" w:lineRule="exact"/>
        <w:ind w:firstLine="1680"/>
        <w:jc w:val="center"/>
        <w:rPr>
          <w:sz w:val="84"/>
          <w:szCs w:val="84"/>
          <w:u w:val="none"/>
        </w:rPr>
      </w:pPr>
    </w:p>
    <w:p>
      <w:pPr>
        <w:spacing w:line="560" w:lineRule="exact"/>
        <w:ind w:firstLine="1680"/>
        <w:jc w:val="center"/>
        <w:rPr>
          <w:sz w:val="84"/>
          <w:szCs w:val="84"/>
          <w:u w:val="none"/>
        </w:rPr>
      </w:pPr>
    </w:p>
    <w:p>
      <w:pPr>
        <w:rPr>
          <w:sz w:val="84"/>
          <w:szCs w:val="84"/>
          <w:u w:val="none"/>
        </w:rPr>
      </w:pPr>
      <w:r>
        <w:rPr>
          <w:sz w:val="84"/>
          <w:szCs w:val="84"/>
          <w:u w:val="none"/>
        </w:rPr>
        <w:br w:type="page"/>
      </w:r>
    </w:p>
    <w:p>
      <w:pPr>
        <w:spacing w:line="240" w:lineRule="auto"/>
        <w:jc w:val="center"/>
        <w:rPr>
          <w:rFonts w:hint="eastAsia" w:ascii="黑体" w:hAnsi="黑体" w:eastAsia="黑体"/>
          <w:sz w:val="52"/>
          <w:szCs w:val="52"/>
          <w:u w:val="none"/>
        </w:rPr>
      </w:pPr>
      <w:r>
        <w:rPr>
          <w:rFonts w:hint="eastAsia" w:ascii="黑体" w:hAnsi="黑体" w:eastAsia="黑体"/>
          <w:sz w:val="52"/>
          <w:szCs w:val="52"/>
          <w:u w:val="none"/>
        </w:rPr>
        <w:t>目录</w:t>
      </w:r>
    </w:p>
    <w:p>
      <w:pPr>
        <w:pStyle w:val="6"/>
        <w:numPr>
          <w:ilvl w:val="0"/>
          <w:numId w:val="1"/>
        </w:numPr>
        <w:spacing w:line="240" w:lineRule="auto"/>
        <w:ind w:firstLineChars="0"/>
        <w:jc w:val="left"/>
        <w:rPr>
          <w:rFonts w:hint="eastAsia" w:ascii="方正仿宋_GBK" w:hAnsi="方正仿宋_GBK" w:eastAsia="方正仿宋_GBK" w:cs="方正仿宋_GBK"/>
          <w:sz w:val="32"/>
          <w:szCs w:val="32"/>
          <w:u w:val="none"/>
        </w:rPr>
      </w:pPr>
      <w:r>
        <w:rPr>
          <w:rFonts w:hint="eastAsia" w:ascii="黑体" w:hAnsi="黑体" w:eastAsia="黑体"/>
          <w:sz w:val="32"/>
          <w:szCs w:val="32"/>
          <w:u w:val="none"/>
          <w:lang w:val="en-US" w:eastAsia="zh-CN"/>
        </w:rPr>
        <w:t xml:space="preserve"> </w:t>
      </w:r>
      <w:r>
        <w:rPr>
          <w:rFonts w:hint="eastAsia" w:ascii="方正仿宋_GBK" w:hAnsi="方正仿宋_GBK" w:eastAsia="方正仿宋_GBK" w:cs="方正仿宋_GBK"/>
          <w:sz w:val="32"/>
          <w:szCs w:val="32"/>
          <w:u w:val="none"/>
          <w:lang w:val="en-US" w:eastAsia="zh-CN"/>
        </w:rPr>
        <w:t xml:space="preserve"> </w:t>
      </w:r>
      <w:r>
        <w:rPr>
          <w:rFonts w:hint="eastAsia" w:ascii="方正仿宋_GBK" w:hAnsi="方正仿宋_GBK" w:eastAsia="方正仿宋_GBK" w:cs="方正仿宋_GBK"/>
          <w:sz w:val="32"/>
          <w:szCs w:val="32"/>
          <w:u w:val="none"/>
        </w:rPr>
        <w:t>屯昌县</w:t>
      </w:r>
      <w:r>
        <w:rPr>
          <w:rFonts w:hint="eastAsia" w:ascii="方正仿宋_GBK" w:hAnsi="方正仿宋_GBK" w:eastAsia="方正仿宋_GBK" w:cs="方正仿宋_GBK"/>
          <w:sz w:val="32"/>
          <w:szCs w:val="32"/>
          <w:u w:val="none"/>
          <w:lang w:val="en-US" w:eastAsia="zh-CN"/>
        </w:rPr>
        <w:t>南坤镇藤寨</w:t>
      </w:r>
      <w:r>
        <w:rPr>
          <w:rFonts w:hint="eastAsia" w:ascii="方正仿宋_GBK" w:hAnsi="方正仿宋_GBK" w:eastAsia="方正仿宋_GBK" w:cs="方正仿宋_GBK"/>
          <w:sz w:val="32"/>
          <w:szCs w:val="32"/>
          <w:u w:val="none"/>
        </w:rPr>
        <w:t>中心小学概况</w:t>
      </w:r>
    </w:p>
    <w:p>
      <w:pPr>
        <w:pStyle w:val="6"/>
        <w:numPr>
          <w:ilvl w:val="-1"/>
          <w:numId w:val="0"/>
        </w:numPr>
        <w:spacing w:line="240" w:lineRule="auto"/>
        <w:ind w:left="0" w:firstLine="0" w:firstLineChars="0"/>
        <w:jc w:val="left"/>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lang w:eastAsia="zh-CN"/>
        </w:rPr>
        <w:t>一、</w:t>
      </w:r>
      <w:r>
        <w:rPr>
          <w:rFonts w:hint="eastAsia" w:ascii="方正仿宋_GBK" w:hAnsi="方正仿宋_GBK" w:eastAsia="方正仿宋_GBK" w:cs="方正仿宋_GBK"/>
          <w:sz w:val="32"/>
          <w:szCs w:val="32"/>
          <w:u w:val="none"/>
        </w:rPr>
        <w:t>主要职能</w:t>
      </w:r>
    </w:p>
    <w:p>
      <w:pPr>
        <w:pStyle w:val="6"/>
        <w:numPr>
          <w:ilvl w:val="-1"/>
          <w:numId w:val="0"/>
        </w:numPr>
        <w:spacing w:line="240" w:lineRule="auto"/>
        <w:ind w:left="0" w:firstLine="0" w:firstLineChars="0"/>
        <w:jc w:val="left"/>
        <w:rPr>
          <w:rFonts w:ascii="黑体" w:hAnsi="黑体" w:eastAsia="黑体"/>
          <w:sz w:val="32"/>
          <w:szCs w:val="32"/>
          <w:u w:val="none"/>
        </w:rPr>
      </w:pPr>
      <w:r>
        <w:rPr>
          <w:rFonts w:hint="eastAsia" w:ascii="方正仿宋_GBK" w:hAnsi="方正仿宋_GBK" w:eastAsia="方正仿宋_GBK" w:cs="方正仿宋_GBK"/>
          <w:sz w:val="32"/>
          <w:szCs w:val="32"/>
          <w:u w:val="none"/>
          <w:lang w:eastAsia="zh-CN"/>
        </w:rPr>
        <w:t>二、机构设置</w:t>
      </w:r>
    </w:p>
    <w:p>
      <w:pPr>
        <w:pStyle w:val="6"/>
        <w:numPr>
          <w:ilvl w:val="0"/>
          <w:numId w:val="1"/>
        </w:numPr>
        <w:spacing w:line="240" w:lineRule="auto"/>
        <w:ind w:firstLineChars="0"/>
        <w:rPr>
          <w:rFonts w:hint="eastAsia" w:ascii="方正黑体_GBK" w:hAnsi="方正黑体_GBK" w:eastAsia="方正黑体_GBK" w:cs="方正黑体_GBK"/>
          <w:sz w:val="32"/>
          <w:szCs w:val="32"/>
          <w:u w:val="none"/>
        </w:rPr>
      </w:pPr>
      <w:r>
        <w:rPr>
          <w:rFonts w:hint="eastAsia" w:ascii="黑体" w:hAnsi="黑体" w:eastAsia="黑体"/>
          <w:sz w:val="32"/>
          <w:szCs w:val="32"/>
          <w:u w:val="none"/>
        </w:rPr>
        <w:t xml:space="preserve"> </w:t>
      </w:r>
      <w:r>
        <w:rPr>
          <w:rFonts w:hint="eastAsia" w:ascii="黑体" w:hAnsi="黑体" w:eastAsia="黑体"/>
          <w:sz w:val="32"/>
          <w:szCs w:val="32"/>
          <w:u w:val="none"/>
          <w:lang w:val="en-US" w:eastAsia="zh-CN"/>
        </w:rPr>
        <w:t xml:space="preserve"> 屯昌县南坤镇藤寨中心小学</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w:t>
      </w:r>
      <w:r>
        <w:rPr>
          <w:rFonts w:hint="eastAsia" w:ascii="方正黑体_GBK" w:hAnsi="方正黑体_GBK" w:eastAsia="方正黑体_GBK" w:cs="方正黑体_GBK"/>
          <w:sz w:val="32"/>
          <w:szCs w:val="32"/>
          <w:u w:val="none"/>
          <w:lang w:eastAsia="zh-CN"/>
        </w:rPr>
        <w:t>单位</w:t>
      </w:r>
      <w:r>
        <w:rPr>
          <w:rFonts w:hint="eastAsia" w:ascii="方正黑体_GBK" w:hAnsi="方正黑体_GBK" w:eastAsia="方正黑体_GBK" w:cs="方正黑体_GBK"/>
          <w:sz w:val="32"/>
          <w:szCs w:val="32"/>
          <w:u w:val="none"/>
        </w:rPr>
        <w:t>预算表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财政拨款收支总表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一般公共预算支出表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一般公共预算基本支出表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一般公共预算“三公”经费支出表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政府性基金预算支出表</w:t>
      </w:r>
    </w:p>
    <w:p>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政府性基金预算“三公”经费支出表</w:t>
      </w:r>
    </w:p>
    <w:p>
      <w:pPr>
        <w:pStyle w:val="6"/>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eastAsia="zh-CN"/>
        </w:rPr>
        <w:t>国有资本经营预算支出表</w:t>
      </w:r>
    </w:p>
    <w:p>
      <w:pPr>
        <w:pStyle w:val="6"/>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收支总表</w:t>
      </w:r>
    </w:p>
    <w:p>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收入总表</w:t>
      </w:r>
    </w:p>
    <w:p>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支出总表</w:t>
      </w:r>
    </w:p>
    <w:p>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项目支出绩效信息表</w:t>
      </w:r>
    </w:p>
    <w:p>
      <w:pPr>
        <w:pStyle w:val="6"/>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lang w:val="en-US" w:eastAsia="zh-CN"/>
        </w:rPr>
        <w:t xml:space="preserve">  屯昌县南坤镇藤寨中心小学</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w:t>
      </w:r>
      <w:r>
        <w:rPr>
          <w:rFonts w:hint="eastAsia" w:ascii="方正黑体_GBK" w:hAnsi="方正黑体_GBK" w:eastAsia="方正黑体_GBK" w:cs="方正黑体_GBK"/>
          <w:sz w:val="32"/>
          <w:szCs w:val="32"/>
          <w:u w:val="none"/>
          <w:lang w:eastAsia="zh-CN"/>
        </w:rPr>
        <w:t>单位</w:t>
      </w:r>
      <w:r>
        <w:rPr>
          <w:rFonts w:hint="eastAsia" w:ascii="方正黑体_GBK" w:hAnsi="方正黑体_GBK" w:eastAsia="方正黑体_GBK" w:cs="方正黑体_GBK"/>
          <w:sz w:val="32"/>
          <w:szCs w:val="32"/>
          <w:u w:val="none"/>
        </w:rPr>
        <w:t>预算情况说明</w:t>
      </w:r>
    </w:p>
    <w:p>
      <w:pPr>
        <w:pStyle w:val="6"/>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rPr>
        <w:t xml:space="preserve">  名词解释</w:t>
      </w:r>
    </w:p>
    <w:p>
      <w:pPr>
        <w:jc w:val="left"/>
        <w:rPr>
          <w:rFonts w:hint="eastAsia" w:ascii="黑体" w:hAnsi="黑体" w:eastAsia="黑体"/>
          <w:sz w:val="52"/>
          <w:szCs w:val="52"/>
          <w:u w:val="none"/>
        </w:rPr>
      </w:pPr>
    </w:p>
    <w:p>
      <w:pPr>
        <w:jc w:val="center"/>
        <w:rPr>
          <w:rFonts w:hint="eastAsia" w:ascii="方正黑体_GBK" w:hAnsi="方正黑体_GBK" w:eastAsia="方正黑体_GBK" w:cs="方正黑体_GBK"/>
          <w:sz w:val="32"/>
          <w:szCs w:val="32"/>
          <w:u w:val="none"/>
        </w:rPr>
      </w:pPr>
      <w:r>
        <w:rPr>
          <w:rFonts w:hint="eastAsia" w:ascii="方正黑体_GBK" w:hAnsi="方正黑体_GBK" w:eastAsia="方正黑体_GBK" w:cs="方正黑体_GBK"/>
          <w:b w:val="0"/>
          <w:bCs/>
          <w:sz w:val="32"/>
          <w:szCs w:val="32"/>
          <w:u w:val="none"/>
          <w:lang w:eastAsia="zh-CN"/>
        </w:rPr>
        <w:t>第</w:t>
      </w:r>
      <w:r>
        <w:rPr>
          <w:rFonts w:hint="eastAsia" w:ascii="方正黑体_GBK" w:hAnsi="方正黑体_GBK" w:eastAsia="方正黑体_GBK" w:cs="方正黑体_GBK"/>
          <w:b w:val="0"/>
          <w:bCs/>
          <w:sz w:val="32"/>
          <w:szCs w:val="32"/>
          <w:u w:val="none"/>
          <w:lang w:val="en-US" w:eastAsia="zh-CN"/>
        </w:rPr>
        <w:t>一</w:t>
      </w:r>
      <w:r>
        <w:rPr>
          <w:rFonts w:hint="eastAsia" w:ascii="方正黑体_GBK" w:hAnsi="方正黑体_GBK" w:eastAsia="方正黑体_GBK" w:cs="方正黑体_GBK"/>
          <w:b w:val="0"/>
          <w:bCs/>
          <w:sz w:val="32"/>
          <w:szCs w:val="32"/>
          <w:u w:val="none"/>
          <w:lang w:eastAsia="zh-CN"/>
        </w:rPr>
        <w:t>部分</w:t>
      </w:r>
      <w:r>
        <w:rPr>
          <w:rFonts w:hint="eastAsia" w:ascii="方正黑体_GBK" w:hAnsi="方正黑体_GBK" w:eastAsia="方正黑体_GBK" w:cs="方正黑体_GBK"/>
          <w:b w:val="0"/>
          <w:bCs/>
          <w:sz w:val="32"/>
          <w:szCs w:val="32"/>
          <w:u w:val="none"/>
          <w:lang w:val="en-US" w:eastAsia="zh-CN"/>
        </w:rPr>
        <w:t xml:space="preserve"> </w:t>
      </w:r>
      <w:r>
        <w:rPr>
          <w:rFonts w:hint="eastAsia" w:ascii="方正黑体_GBK" w:hAnsi="方正黑体_GBK" w:eastAsia="方正黑体_GBK" w:cs="方正黑体_GBK"/>
          <w:sz w:val="32"/>
          <w:szCs w:val="32"/>
          <w:u w:val="none"/>
        </w:rPr>
        <w:t>屯昌县</w:t>
      </w:r>
      <w:r>
        <w:rPr>
          <w:rFonts w:hint="eastAsia" w:ascii="方正黑体_GBK" w:hAnsi="方正黑体_GBK" w:eastAsia="方正黑体_GBK" w:cs="方正黑体_GBK"/>
          <w:sz w:val="32"/>
          <w:szCs w:val="32"/>
          <w:u w:val="none"/>
          <w:lang w:val="en-US" w:eastAsia="zh-CN"/>
        </w:rPr>
        <w:t>南坤镇藤寨</w:t>
      </w:r>
      <w:r>
        <w:rPr>
          <w:rFonts w:hint="eastAsia" w:ascii="方正黑体_GBK" w:hAnsi="方正黑体_GBK" w:eastAsia="方正黑体_GBK" w:cs="方正黑体_GBK"/>
          <w:sz w:val="32"/>
          <w:szCs w:val="32"/>
          <w:u w:val="none"/>
        </w:rPr>
        <w:t>中心小学概况</w:t>
      </w:r>
    </w:p>
    <w:p>
      <w:pPr>
        <w:keepNext w:val="0"/>
        <w:keepLines w:val="0"/>
        <w:pageBreakBefore w:val="0"/>
        <w:kinsoku/>
        <w:wordWrap/>
        <w:overflowPunct/>
        <w:topLinePunct w:val="0"/>
        <w:autoSpaceDE/>
        <w:autoSpaceDN/>
        <w:bidi w:val="0"/>
        <w:adjustRightInd/>
        <w:snapToGrid/>
        <w:spacing w:line="590" w:lineRule="exact"/>
        <w:jc w:val="both"/>
        <w:textAlignment w:val="auto"/>
        <w:rPr>
          <w:rFonts w:ascii="仿宋_GB2312" w:hAnsi="仿宋_GB2312" w:eastAsia="仿宋_GB2312" w:cs="仿宋_GB2312"/>
          <w:sz w:val="32"/>
          <w:szCs w:val="32"/>
          <w:u w:val="none"/>
        </w:rPr>
      </w:pPr>
    </w:p>
    <w:p>
      <w:pPr>
        <w:pStyle w:val="6"/>
        <w:keepNext w:val="0"/>
        <w:keepLines w:val="0"/>
        <w:pageBreakBefore w:val="0"/>
        <w:numPr>
          <w:ilvl w:val="0"/>
          <w:numId w:val="3"/>
        </w:numPr>
        <w:kinsoku/>
        <w:wordWrap/>
        <w:overflowPunct/>
        <w:topLinePunct w:val="0"/>
        <w:autoSpaceDE/>
        <w:autoSpaceDN/>
        <w:bidi w:val="0"/>
        <w:adjustRightInd/>
        <w:snapToGrid/>
        <w:spacing w:line="590" w:lineRule="exact"/>
        <w:ind w:left="0" w:firstLine="640" w:firstLineChars="200"/>
        <w:jc w:val="both"/>
        <w:textAlignment w:val="auto"/>
        <w:rPr>
          <w:rFonts w:hint="eastAsia" w:ascii="黑体" w:hAnsi="黑体" w:eastAsia="黑体" w:cs="仿宋_GB2312"/>
          <w:sz w:val="32"/>
          <w:szCs w:val="32"/>
          <w:u w:val="none"/>
        </w:rPr>
      </w:pPr>
      <w:r>
        <w:rPr>
          <w:rFonts w:hint="eastAsia" w:ascii="黑体" w:hAnsi="黑体" w:eastAsia="黑体" w:cs="仿宋_GB2312"/>
          <w:sz w:val="32"/>
          <w:szCs w:val="32"/>
          <w:u w:val="none"/>
        </w:rPr>
        <w:t>主要职能</w:t>
      </w:r>
    </w:p>
    <w:p>
      <w:pPr>
        <w:keepNext w:val="0"/>
        <w:keepLines w:val="0"/>
        <w:widowControl/>
        <w:suppressLineNumbers w:val="0"/>
        <w:ind w:firstLine="640" w:firstLineChars="200"/>
        <w:jc w:val="left"/>
        <w:rPr>
          <w:rFonts w:hint="eastAsia" w:ascii="仿宋_GB2312" w:hAnsi="黑体" w:eastAsia="仿宋_GB2312" w:cs="仿宋_GB2312"/>
          <w:sz w:val="32"/>
          <w:szCs w:val="32"/>
          <w:u w:val="none"/>
          <w:lang w:val="en-US" w:eastAsia="zh-CN"/>
        </w:rPr>
      </w:pPr>
      <w:r>
        <w:rPr>
          <w:rFonts w:hint="eastAsia" w:ascii="仿宋_GB2312" w:hAnsi="黑体" w:eastAsia="仿宋_GB2312" w:cs="仿宋_GB2312"/>
          <w:sz w:val="32"/>
          <w:szCs w:val="32"/>
          <w:u w:val="none"/>
          <w:lang w:val="en-US" w:eastAsia="zh-CN"/>
        </w:rPr>
        <w:t>学校全面贯彻党和国家的教育方针，落实义务教育相关政策要求，结合自身办学定位，主要承担以下职能：</w:t>
      </w:r>
    </w:p>
    <w:p>
      <w:pPr>
        <w:keepNext w:val="0"/>
        <w:keepLines w:val="0"/>
        <w:widowControl/>
        <w:suppressLineNumbers w:val="0"/>
        <w:ind w:firstLine="640" w:firstLineChars="200"/>
        <w:jc w:val="left"/>
        <w:rPr>
          <w:rFonts w:hint="eastAsia" w:ascii="仿宋_GB2312" w:hAnsi="黑体" w:eastAsia="仿宋_GB2312" w:cs="仿宋_GB2312"/>
          <w:sz w:val="32"/>
          <w:szCs w:val="32"/>
          <w:u w:val="none"/>
        </w:rPr>
      </w:pPr>
      <w:r>
        <w:rPr>
          <w:rFonts w:hint="eastAsia" w:ascii="仿宋_GB2312" w:hAnsi="黑体" w:eastAsia="仿宋_GB2312" w:cs="仿宋_GB2312"/>
          <w:sz w:val="32"/>
          <w:szCs w:val="32"/>
          <w:u w:val="none"/>
          <w:lang w:eastAsia="zh-CN"/>
        </w:rPr>
        <w:t>（</w:t>
      </w:r>
      <w:r>
        <w:rPr>
          <w:rFonts w:hint="eastAsia" w:ascii="仿宋_GB2312" w:hAnsi="黑体" w:eastAsia="仿宋_GB2312" w:cs="仿宋_GB2312"/>
          <w:sz w:val="32"/>
          <w:szCs w:val="32"/>
          <w:u w:val="none"/>
          <w:lang w:val="en-US" w:eastAsia="zh-CN"/>
        </w:rPr>
        <w:t>一</w:t>
      </w:r>
      <w:r>
        <w:rPr>
          <w:rFonts w:hint="eastAsia" w:ascii="仿宋_GB2312" w:hAnsi="黑体" w:eastAsia="仿宋_GB2312" w:cs="仿宋_GB2312"/>
          <w:sz w:val="32"/>
          <w:szCs w:val="32"/>
          <w:u w:val="none"/>
          <w:lang w:eastAsia="zh-CN"/>
        </w:rPr>
        <w:t>）</w:t>
      </w:r>
      <w:r>
        <w:rPr>
          <w:rFonts w:hint="eastAsia" w:ascii="仿宋_GB2312" w:hAnsi="黑体" w:eastAsia="仿宋_GB2312" w:cs="仿宋_GB2312"/>
          <w:sz w:val="32"/>
          <w:szCs w:val="32"/>
          <w:u w:val="none"/>
        </w:rPr>
        <w:t>拟订</w:t>
      </w:r>
      <w:r>
        <w:rPr>
          <w:rFonts w:hint="eastAsia" w:ascii="仿宋_GB2312" w:hAnsi="黑体" w:eastAsia="仿宋_GB2312" w:cs="仿宋_GB2312"/>
          <w:sz w:val="32"/>
          <w:szCs w:val="32"/>
          <w:u w:val="none"/>
          <w:lang w:val="en-US" w:eastAsia="zh-CN"/>
        </w:rPr>
        <w:t>学校教育教学发展规划、年度工作计划及各项管理制度，统筹推进学校教育教学、师资建设、后勤保障等各项工作，确保学校办学规范有序，贴合区域教育发展需求及学生成长特点。</w:t>
      </w:r>
    </w:p>
    <w:p>
      <w:pPr>
        <w:keepNext w:val="0"/>
        <w:keepLines w:val="0"/>
        <w:widowControl/>
        <w:suppressLineNumbers w:val="0"/>
        <w:ind w:firstLine="640" w:firstLineChars="200"/>
        <w:jc w:val="left"/>
        <w:rPr>
          <w:rFonts w:hint="eastAsia" w:ascii="仿宋_GB2312" w:hAnsi="黑体" w:eastAsia="仿宋_GB2312" w:cs="仿宋_GB2312"/>
          <w:sz w:val="32"/>
          <w:szCs w:val="32"/>
          <w:u w:val="none"/>
        </w:rPr>
      </w:pPr>
      <w:r>
        <w:rPr>
          <w:rFonts w:hint="eastAsia" w:ascii="仿宋_GB2312" w:hAnsi="黑体" w:eastAsia="仿宋_GB2312" w:cs="仿宋_GB2312"/>
          <w:sz w:val="32"/>
          <w:szCs w:val="32"/>
          <w:u w:val="none"/>
          <w:lang w:eastAsia="zh-CN"/>
        </w:rPr>
        <w:t>（</w:t>
      </w:r>
      <w:r>
        <w:rPr>
          <w:rFonts w:hint="eastAsia" w:ascii="仿宋_GB2312" w:hAnsi="黑体" w:eastAsia="仿宋_GB2312" w:cs="仿宋_GB2312"/>
          <w:sz w:val="32"/>
          <w:szCs w:val="32"/>
          <w:u w:val="none"/>
          <w:lang w:val="en-US" w:eastAsia="zh-CN"/>
        </w:rPr>
        <w:t>二</w:t>
      </w:r>
      <w:r>
        <w:rPr>
          <w:rFonts w:hint="eastAsia" w:ascii="仿宋_GB2312" w:hAnsi="黑体" w:eastAsia="仿宋_GB2312" w:cs="仿宋_GB2312"/>
          <w:sz w:val="32"/>
          <w:szCs w:val="32"/>
          <w:u w:val="none"/>
          <w:lang w:eastAsia="zh-CN"/>
        </w:rPr>
        <w:t>）</w:t>
      </w:r>
      <w:r>
        <w:rPr>
          <w:rFonts w:hint="eastAsia" w:ascii="仿宋_GB2312" w:hAnsi="黑体" w:eastAsia="仿宋_GB2312" w:cs="仿宋_GB2312"/>
          <w:sz w:val="32"/>
          <w:szCs w:val="32"/>
          <w:u w:val="none"/>
        </w:rPr>
        <w:t>起草</w:t>
      </w:r>
      <w:r>
        <w:rPr>
          <w:rFonts w:hint="eastAsia" w:ascii="仿宋_GB2312" w:hAnsi="黑体" w:eastAsia="仿宋_GB2312" w:cs="仿宋_GB2312"/>
          <w:sz w:val="32"/>
          <w:szCs w:val="32"/>
          <w:u w:val="none"/>
          <w:lang w:val="en-US" w:eastAsia="zh-CN"/>
        </w:rPr>
        <w:t>学校教育教学相关工作方案、总结报告、通知公告等文书材料，落实上级教育行政部门的工作部署，及时上报学校各项工作进展、数据信息及相关材料，保障政令畅通。</w:t>
      </w:r>
    </w:p>
    <w:p>
      <w:pPr>
        <w:keepNext w:val="0"/>
        <w:keepLines w:val="0"/>
        <w:widowControl/>
        <w:suppressLineNumbers w:val="0"/>
        <w:ind w:firstLine="640" w:firstLineChars="200"/>
        <w:jc w:val="left"/>
        <w:rPr>
          <w:rFonts w:hint="eastAsia" w:ascii="仿宋_GB2312" w:hAnsi="黑体" w:eastAsia="仿宋_GB2312" w:cs="仿宋_GB2312"/>
          <w:sz w:val="32"/>
          <w:szCs w:val="32"/>
          <w:u w:val="none"/>
          <w:lang w:val="en-US" w:eastAsia="zh-CN"/>
        </w:rPr>
      </w:pPr>
      <w:r>
        <w:rPr>
          <w:rFonts w:hint="eastAsia" w:ascii="仿宋_GB2312" w:hAnsi="黑体" w:eastAsia="仿宋_GB2312" w:cs="仿宋_GB2312"/>
          <w:sz w:val="32"/>
          <w:szCs w:val="32"/>
          <w:u w:val="none"/>
          <w:lang w:val="en-US" w:eastAsia="zh-CN"/>
        </w:rPr>
        <w:t>（三）实施小学学历教育，严格按照国家及省级教育行政部门发布的课程计划、教学大纲开展教育教学活动，开齐开足规定课程，兼顾德育、智育、体育、美育和劳动教育，促进学生全面发展，为初中阶段教育奠定坚实基础。</w:t>
      </w:r>
    </w:p>
    <w:p>
      <w:pPr>
        <w:keepNext w:val="0"/>
        <w:keepLines w:val="0"/>
        <w:widowControl/>
        <w:suppressLineNumbers w:val="0"/>
        <w:ind w:firstLine="640" w:firstLineChars="200"/>
        <w:jc w:val="left"/>
        <w:rPr>
          <w:rFonts w:hint="eastAsia" w:ascii="仿宋_GB2312" w:hAnsi="黑体" w:eastAsia="仿宋_GB2312" w:cs="仿宋_GB2312"/>
          <w:sz w:val="32"/>
          <w:szCs w:val="32"/>
          <w:u w:val="none"/>
          <w:lang w:val="en-US" w:eastAsia="zh-CN"/>
        </w:rPr>
      </w:pPr>
      <w:r>
        <w:rPr>
          <w:rFonts w:hint="eastAsia" w:ascii="仿宋_GB2312" w:hAnsi="黑体" w:eastAsia="仿宋_GB2312" w:cs="仿宋_GB2312"/>
          <w:sz w:val="32"/>
          <w:szCs w:val="32"/>
          <w:u w:val="none"/>
          <w:lang w:val="en-US" w:eastAsia="zh-CN"/>
        </w:rPr>
        <w:t>（四）负责辖区内适龄儿童就近免试入学组织工作，规范学籍管理，做好学生转学、休学、复学等相关工作，严防学生辍学，保障义务教育阶段学生受教育权利。</w:t>
      </w:r>
    </w:p>
    <w:p>
      <w:pPr>
        <w:keepNext w:val="0"/>
        <w:keepLines w:val="0"/>
        <w:widowControl/>
        <w:suppressLineNumbers w:val="0"/>
        <w:ind w:firstLine="640" w:firstLineChars="200"/>
        <w:jc w:val="left"/>
        <w:rPr>
          <w:rFonts w:hint="eastAsia" w:ascii="仿宋_GB2312" w:hAnsi="黑体" w:eastAsia="仿宋_GB2312" w:cs="仿宋_GB2312"/>
          <w:sz w:val="32"/>
          <w:szCs w:val="32"/>
          <w:u w:val="none"/>
          <w:lang w:val="en-US" w:eastAsia="zh-CN"/>
        </w:rPr>
      </w:pPr>
      <w:r>
        <w:rPr>
          <w:rFonts w:hint="eastAsia" w:ascii="仿宋_GB2312" w:hAnsi="黑体" w:eastAsia="仿宋_GB2312" w:cs="仿宋_GB2312"/>
          <w:sz w:val="32"/>
          <w:szCs w:val="32"/>
          <w:u w:val="none"/>
          <w:lang w:val="en-US" w:eastAsia="zh-CN"/>
        </w:rPr>
        <w:t>（五）加强教师队伍建设，制定教师培训、考核及专业发展计划，组织开展教研活动、教学观摩、业务培训等，提升教师专业素养和教学能力，规范教师教学行为，保障教学质量。</w:t>
      </w:r>
    </w:p>
    <w:p>
      <w:pPr>
        <w:keepNext w:val="0"/>
        <w:keepLines w:val="0"/>
        <w:widowControl/>
        <w:suppressLineNumbers w:val="0"/>
        <w:ind w:firstLine="640" w:firstLineChars="200"/>
        <w:jc w:val="left"/>
        <w:rPr>
          <w:rFonts w:hint="eastAsia" w:ascii="仿宋_GB2312" w:hAnsi="黑体" w:eastAsia="仿宋_GB2312" w:cs="仿宋_GB2312"/>
          <w:sz w:val="32"/>
          <w:szCs w:val="32"/>
          <w:u w:val="none"/>
          <w:lang w:val="en-US" w:eastAsia="zh-CN"/>
        </w:rPr>
      </w:pPr>
      <w:r>
        <w:rPr>
          <w:rFonts w:hint="eastAsia" w:ascii="仿宋_GB2312" w:hAnsi="黑体" w:eastAsia="仿宋_GB2312" w:cs="仿宋_GB2312"/>
          <w:sz w:val="32"/>
          <w:szCs w:val="32"/>
          <w:u w:val="none"/>
          <w:lang w:val="en-US" w:eastAsia="zh-CN"/>
        </w:rPr>
        <w:t>（六）开展德育工作和学生日常行为规范教育，组织各类主题教育、文体活动、志愿服务等，培养学生良好的思想道德品质、行为习惯和身心健康素养，落实教书育人、管理育人、服务育人要求。</w:t>
      </w:r>
    </w:p>
    <w:p>
      <w:pPr>
        <w:keepNext w:val="0"/>
        <w:keepLines w:val="0"/>
        <w:widowControl/>
        <w:suppressLineNumbers w:val="0"/>
        <w:ind w:firstLine="640" w:firstLineChars="200"/>
        <w:jc w:val="left"/>
        <w:rPr>
          <w:rFonts w:hint="eastAsia" w:ascii="仿宋_GB2312" w:hAnsi="黑体" w:eastAsia="仿宋_GB2312" w:cs="仿宋_GB2312"/>
          <w:sz w:val="32"/>
          <w:szCs w:val="32"/>
          <w:u w:val="none"/>
          <w:lang w:val="en-US" w:eastAsia="zh-CN"/>
        </w:rPr>
      </w:pPr>
      <w:r>
        <w:rPr>
          <w:rFonts w:hint="eastAsia" w:ascii="仿宋_GB2312" w:hAnsi="黑体" w:eastAsia="仿宋_GB2312" w:cs="仿宋_GB2312"/>
          <w:sz w:val="32"/>
          <w:szCs w:val="32"/>
          <w:u w:val="none"/>
          <w:lang w:val="en-US" w:eastAsia="zh-CN"/>
        </w:rPr>
        <w:t>（七）负责校园安全管理、基础设施维护、后勤服务保障等工作，营造安全、整洁、有序的校园环境，保障师生人身安全和学校正常教育教学秩序。</w:t>
      </w:r>
    </w:p>
    <w:p>
      <w:pPr>
        <w:keepNext w:val="0"/>
        <w:keepLines w:val="0"/>
        <w:widowControl/>
        <w:suppressLineNumbers w:val="0"/>
        <w:ind w:firstLine="640" w:firstLineChars="200"/>
        <w:jc w:val="left"/>
        <w:rPr>
          <w:rFonts w:hint="eastAsia" w:ascii="仿宋_GB2312" w:hAnsi="黑体" w:eastAsia="仿宋_GB2312" w:cs="仿宋_GB2312"/>
          <w:sz w:val="32"/>
          <w:szCs w:val="32"/>
          <w:u w:val="none"/>
          <w:lang w:val="en-US" w:eastAsia="zh-CN"/>
        </w:rPr>
      </w:pPr>
      <w:r>
        <w:rPr>
          <w:rFonts w:hint="eastAsia" w:ascii="仿宋_GB2312" w:hAnsi="黑体" w:eastAsia="仿宋_GB2312" w:cs="仿宋_GB2312"/>
          <w:sz w:val="32"/>
          <w:szCs w:val="32"/>
          <w:u w:val="none"/>
          <w:lang w:val="en-US" w:eastAsia="zh-CN"/>
        </w:rPr>
        <w:t>（八）统筹辖管完小的教育教学管理工作，指导各完小落实教育教学任务、规范办学行为，推动辖区内小学教育均衡发展。</w:t>
      </w:r>
    </w:p>
    <w:p>
      <w:pPr>
        <w:keepNext w:val="0"/>
        <w:keepLines w:val="0"/>
        <w:widowControl/>
        <w:suppressLineNumbers w:val="0"/>
        <w:ind w:firstLine="640" w:firstLineChars="200"/>
        <w:jc w:val="left"/>
        <w:rPr>
          <w:rFonts w:hint="eastAsia" w:ascii="仿宋_GB2312" w:hAnsi="黑体" w:eastAsia="仿宋_GB2312" w:cs="仿宋_GB2312"/>
          <w:sz w:val="32"/>
          <w:szCs w:val="32"/>
          <w:u w:val="none"/>
          <w:lang w:val="en-US" w:eastAsia="zh-CN"/>
        </w:rPr>
      </w:pPr>
      <w:r>
        <w:rPr>
          <w:rFonts w:hint="eastAsia" w:ascii="仿宋_GB2312" w:hAnsi="黑体" w:eastAsia="仿宋_GB2312" w:cs="仿宋_GB2312"/>
          <w:sz w:val="32"/>
          <w:szCs w:val="32"/>
          <w:u w:val="none"/>
          <w:lang w:val="en-US" w:eastAsia="zh-CN"/>
        </w:rPr>
        <w:t>（九）加强家校社协同育人，搭建家校沟通平台，指导家长学校建设，协调社会资源，形成育人合力，为学生成长营造良好环境。</w:t>
      </w:r>
    </w:p>
    <w:p>
      <w:pPr>
        <w:keepNext w:val="0"/>
        <w:keepLines w:val="0"/>
        <w:widowControl/>
        <w:suppressLineNumbers w:val="0"/>
        <w:ind w:firstLine="640" w:firstLineChars="200"/>
        <w:jc w:val="left"/>
        <w:rPr>
          <w:rFonts w:hint="eastAsia" w:ascii="仿宋_GB2312" w:hAnsi="黑体" w:eastAsia="仿宋_GB2312" w:cs="仿宋_GB2312"/>
          <w:sz w:val="32"/>
          <w:szCs w:val="32"/>
          <w:u w:val="none"/>
          <w:lang w:val="en-US" w:eastAsia="zh-CN"/>
        </w:rPr>
      </w:pPr>
      <w:r>
        <w:rPr>
          <w:rFonts w:hint="eastAsia" w:ascii="仿宋_GB2312" w:hAnsi="黑体" w:eastAsia="仿宋_GB2312" w:cs="仿宋_GB2312"/>
          <w:sz w:val="32"/>
          <w:szCs w:val="32"/>
          <w:u w:val="none"/>
          <w:lang w:val="en-US" w:eastAsia="zh-CN"/>
        </w:rPr>
        <w:t>（十）完成上级教育行政部门及相关部门交办的其他工作任务，积极参与区域教育改革、集团化办学相关工作，提升学校办学水平和社会影响力。</w:t>
      </w:r>
    </w:p>
    <w:p>
      <w:pPr>
        <w:keepNext w:val="0"/>
        <w:keepLines w:val="0"/>
        <w:pageBreakBefore w:val="0"/>
        <w:kinsoku/>
        <w:wordWrap/>
        <w:overflowPunct/>
        <w:topLinePunct w:val="0"/>
        <w:autoSpaceDE/>
        <w:autoSpaceDN/>
        <w:bidi w:val="0"/>
        <w:adjustRightInd/>
        <w:snapToGrid/>
        <w:spacing w:line="590" w:lineRule="exact"/>
        <w:ind w:left="640" w:leftChars="305" w:firstLine="160" w:firstLineChars="50"/>
        <w:jc w:val="both"/>
        <w:textAlignment w:val="auto"/>
        <w:rPr>
          <w:rFonts w:ascii="仿宋_GB2312" w:hAnsi="黑体" w:eastAsia="仿宋_GB2312" w:cs="仿宋_GB2312"/>
          <w:sz w:val="32"/>
          <w:szCs w:val="32"/>
          <w:u w:val="none"/>
        </w:rPr>
      </w:pPr>
    </w:p>
    <w:p>
      <w:pPr>
        <w:keepNext w:val="0"/>
        <w:keepLines w:val="0"/>
        <w:pageBreakBefore w:val="0"/>
        <w:numPr>
          <w:ilvl w:val="-1"/>
          <w:numId w:val="0"/>
        </w:numPr>
        <w:kinsoku/>
        <w:wordWrap/>
        <w:overflowPunct/>
        <w:topLinePunct w:val="0"/>
        <w:autoSpaceDE/>
        <w:autoSpaceDN/>
        <w:bidi w:val="0"/>
        <w:adjustRightInd/>
        <w:snapToGrid/>
        <w:spacing w:line="590" w:lineRule="exact"/>
        <w:ind w:firstLine="640" w:firstLineChars="200"/>
        <w:jc w:val="both"/>
        <w:textAlignment w:val="auto"/>
        <w:rPr>
          <w:rFonts w:hint="eastAsia" w:ascii="黑体" w:hAnsi="黑体" w:eastAsia="黑体" w:cs="仿宋_GB2312"/>
          <w:sz w:val="32"/>
          <w:szCs w:val="32"/>
          <w:highlight w:val="none"/>
          <w:u w:val="none"/>
          <w:lang w:eastAsia="zh-CN"/>
        </w:rPr>
      </w:pPr>
      <w:r>
        <w:rPr>
          <w:rFonts w:hint="eastAsia" w:ascii="黑体" w:hAnsi="黑体" w:eastAsia="黑体" w:cs="仿宋_GB2312"/>
          <w:sz w:val="32"/>
          <w:szCs w:val="32"/>
          <w:highlight w:val="none"/>
          <w:u w:val="none"/>
          <w:lang w:eastAsia="zh-CN"/>
        </w:rPr>
        <w:t>二、机构设置</w:t>
      </w:r>
    </w:p>
    <w:p>
      <w:pPr>
        <w:keepNext w:val="0"/>
        <w:keepLines w:val="0"/>
        <w:pageBreakBefore w:val="0"/>
        <w:numPr>
          <w:ilvl w:val="-1"/>
          <w:numId w:val="0"/>
        </w:numPr>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cs="仿宋_GB2312"/>
          <w:sz w:val="32"/>
          <w:szCs w:val="32"/>
          <w:highlight w:val="none"/>
          <w:u w:val="none"/>
          <w:lang w:val="en-US" w:eastAsia="zh-CN"/>
        </w:rPr>
      </w:pPr>
      <w:r>
        <w:rPr>
          <w:rFonts w:hint="eastAsia" w:ascii="仿宋_GB2312" w:hAnsi="黑体" w:eastAsia="仿宋_GB2312" w:cs="仿宋_GB2312"/>
          <w:sz w:val="32"/>
          <w:szCs w:val="32"/>
          <w:highlight w:val="none"/>
          <w:u w:val="none"/>
          <w:lang w:val="en-US" w:eastAsia="zh-CN"/>
        </w:rPr>
        <w:t>为健全学校管理机制，提升教育教学管理水平和行政工作效率，结合学校办学规模及集团化办学要求，学校内设8个核心处室，辖管6间完小，具体设置如下：</w:t>
      </w:r>
    </w:p>
    <w:p>
      <w:pPr>
        <w:keepNext w:val="0"/>
        <w:keepLines w:val="0"/>
        <w:pageBreakBefore w:val="0"/>
        <w:numPr>
          <w:ilvl w:val="-1"/>
          <w:numId w:val="0"/>
        </w:numPr>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cs="仿宋_GB2312"/>
          <w:sz w:val="32"/>
          <w:szCs w:val="32"/>
          <w:highlight w:val="none"/>
          <w:u w:val="none"/>
          <w:lang w:val="en-US" w:eastAsia="zh-CN"/>
        </w:rPr>
      </w:pPr>
      <w:r>
        <w:rPr>
          <w:rFonts w:hint="eastAsia" w:ascii="仿宋_GB2312" w:hAnsi="黑体" w:eastAsia="仿宋_GB2312" w:cs="仿宋_GB2312"/>
          <w:sz w:val="32"/>
          <w:szCs w:val="32"/>
          <w:u w:val="none"/>
          <w:lang w:eastAsia="zh-CN"/>
        </w:rPr>
        <w:t>（一）</w:t>
      </w:r>
      <w:r>
        <w:rPr>
          <w:rFonts w:hint="eastAsia" w:ascii="仿宋_GB2312" w:hAnsi="黑体" w:eastAsia="仿宋_GB2312" w:cs="仿宋_GB2312"/>
          <w:sz w:val="32"/>
          <w:szCs w:val="32"/>
          <w:u w:val="none"/>
          <w:lang w:val="en-US" w:eastAsia="zh-CN"/>
        </w:rPr>
        <w:t>藤寨中心小学</w:t>
      </w:r>
      <w:r>
        <w:rPr>
          <w:rFonts w:hint="eastAsia" w:ascii="仿宋_GB2312" w:hAnsi="黑体" w:eastAsia="仿宋_GB2312" w:cs="仿宋_GB2312"/>
          <w:sz w:val="32"/>
          <w:szCs w:val="32"/>
          <w:highlight w:val="none"/>
          <w:u w:val="none"/>
          <w:lang w:val="en-US" w:eastAsia="zh-CN"/>
        </w:rPr>
        <w:t>内设9个处室（科室），包括校长室、校务办公室、党委办公室、教科研中心、督查室、学生发展中心、后勤室、体卫艺室、少先队大队部。</w:t>
      </w:r>
    </w:p>
    <w:p>
      <w:pPr>
        <w:keepNext w:val="0"/>
        <w:keepLines w:val="0"/>
        <w:pageBreakBefore w:val="0"/>
        <w:numPr>
          <w:ilvl w:val="-1"/>
          <w:numId w:val="0"/>
        </w:numPr>
        <w:kinsoku/>
        <w:wordWrap/>
        <w:overflowPunct/>
        <w:topLinePunct w:val="0"/>
        <w:autoSpaceDE/>
        <w:autoSpaceDN/>
        <w:bidi w:val="0"/>
        <w:adjustRightInd/>
        <w:snapToGrid/>
        <w:spacing w:line="590" w:lineRule="exact"/>
        <w:ind w:left="0" w:firstLine="640" w:firstLineChars="200"/>
        <w:jc w:val="both"/>
        <w:textAlignment w:val="auto"/>
        <w:rPr>
          <w:rFonts w:ascii="仿宋_GB2312" w:hAnsi="黑体" w:eastAsia="仿宋_GB2312" w:cs="仿宋_GB2312"/>
          <w:sz w:val="32"/>
          <w:szCs w:val="32"/>
          <w:highlight w:val="none"/>
          <w:u w:val="none"/>
        </w:rPr>
      </w:pPr>
      <w:r>
        <w:rPr>
          <w:rFonts w:hint="eastAsia" w:ascii="仿宋_GB2312" w:hAnsi="黑体" w:eastAsia="仿宋_GB2312" w:cs="仿宋_GB2312"/>
          <w:sz w:val="32"/>
          <w:szCs w:val="32"/>
          <w:highlight w:val="none"/>
          <w:u w:val="none"/>
          <w:lang w:eastAsia="zh-CN"/>
        </w:rPr>
        <w:t>（二）</w:t>
      </w:r>
      <w:r>
        <w:rPr>
          <w:rFonts w:hint="eastAsia" w:ascii="仿宋_GB2312" w:hAnsi="黑体" w:eastAsia="仿宋_GB2312" w:cs="仿宋_GB2312"/>
          <w:sz w:val="32"/>
          <w:szCs w:val="32"/>
          <w:highlight w:val="none"/>
          <w:u w:val="none"/>
        </w:rPr>
        <w:t>纳入</w:t>
      </w:r>
      <w:r>
        <w:rPr>
          <w:rFonts w:hint="eastAsia" w:ascii="仿宋_GB2312" w:hAnsi="黑体" w:eastAsia="仿宋_GB2312" w:cs="仿宋_GB2312"/>
          <w:sz w:val="32"/>
          <w:szCs w:val="32"/>
          <w:highlight w:val="none"/>
          <w:u w:val="none"/>
          <w:lang w:val="en-US" w:eastAsia="zh-CN"/>
        </w:rPr>
        <w:t>藤寨中心小学</w:t>
      </w:r>
      <w:r>
        <w:rPr>
          <w:rFonts w:hint="eastAsia" w:ascii="仿宋_GB2312" w:hAnsi="黑体" w:eastAsia="仿宋_GB2312" w:cs="仿宋_GB2312"/>
          <w:sz w:val="32"/>
          <w:szCs w:val="32"/>
          <w:highlight w:val="none"/>
          <w:u w:val="none"/>
          <w:lang w:eastAsia="zh-CN"/>
        </w:rPr>
        <w:t>2</w:t>
      </w:r>
      <w:r>
        <w:rPr>
          <w:rFonts w:hint="eastAsia" w:ascii="仿宋_GB2312" w:hAnsi="黑体" w:eastAsia="仿宋_GB2312" w:cs="仿宋_GB2312"/>
          <w:sz w:val="32"/>
          <w:szCs w:val="32"/>
          <w:highlight w:val="none"/>
          <w:u w:val="none"/>
          <w:lang w:val="en-US" w:eastAsia="zh-CN"/>
        </w:rPr>
        <w:t>026</w:t>
      </w:r>
      <w:r>
        <w:rPr>
          <w:rFonts w:hint="eastAsia" w:ascii="仿宋_GB2312" w:hAnsi="黑体" w:eastAsia="仿宋_GB2312" w:cs="仿宋_GB2312"/>
          <w:sz w:val="32"/>
          <w:szCs w:val="32"/>
          <w:highlight w:val="none"/>
          <w:u w:val="none"/>
        </w:rPr>
        <w:t>年部门预算编制范围的二级预算单位包括：</w:t>
      </w:r>
    </w:p>
    <w:p>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highlight w:val="none"/>
          <w:u w:val="none"/>
          <w:lang w:val="en-US" w:eastAsia="zh-CN"/>
        </w:rPr>
        <w:t>1.</w:t>
      </w:r>
      <w:r>
        <w:rPr>
          <w:rFonts w:hint="eastAsia" w:ascii="仿宋_GB2312" w:hAnsi="黑体" w:eastAsia="仿宋_GB2312" w:cs="仿宋_GB2312"/>
          <w:sz w:val="32"/>
          <w:szCs w:val="32"/>
        </w:rPr>
        <w:t>屯昌县</w:t>
      </w:r>
      <w:r>
        <w:rPr>
          <w:rFonts w:hint="eastAsia" w:ascii="仿宋_GB2312" w:hAnsi="黑体" w:eastAsia="仿宋_GB2312" w:cs="仿宋_GB2312"/>
          <w:sz w:val="32"/>
          <w:szCs w:val="32"/>
          <w:lang w:val="en-US" w:eastAsia="zh-CN"/>
        </w:rPr>
        <w:t>南坤镇藤寨</w:t>
      </w:r>
      <w:r>
        <w:rPr>
          <w:rFonts w:hint="eastAsia" w:ascii="仿宋_GB2312" w:hAnsi="黑体" w:eastAsia="仿宋_GB2312" w:cs="仿宋_GB2312"/>
          <w:sz w:val="32"/>
          <w:szCs w:val="32"/>
        </w:rPr>
        <w:t>中心小学</w:t>
      </w:r>
    </w:p>
    <w:p>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lang w:val="en-US" w:eastAsia="zh-CN"/>
        </w:rPr>
        <w:t>2.</w:t>
      </w:r>
      <w:r>
        <w:rPr>
          <w:rFonts w:hint="eastAsia" w:ascii="仿宋_GB2312" w:hAnsi="黑体" w:eastAsia="仿宋_GB2312" w:cs="仿宋_GB2312"/>
          <w:sz w:val="32"/>
          <w:szCs w:val="32"/>
        </w:rPr>
        <w:t>屯昌县</w:t>
      </w:r>
      <w:r>
        <w:rPr>
          <w:rFonts w:hint="eastAsia" w:ascii="仿宋_GB2312" w:hAnsi="黑体" w:eastAsia="仿宋_GB2312" w:cs="仿宋_GB2312"/>
          <w:sz w:val="32"/>
          <w:szCs w:val="32"/>
          <w:lang w:val="en-US" w:eastAsia="zh-CN"/>
        </w:rPr>
        <w:t>南坤镇松坡</w:t>
      </w:r>
      <w:r>
        <w:rPr>
          <w:rFonts w:hint="eastAsia" w:ascii="仿宋_GB2312" w:hAnsi="黑体" w:eastAsia="仿宋_GB2312" w:cs="仿宋_GB2312"/>
          <w:sz w:val="32"/>
          <w:szCs w:val="32"/>
        </w:rPr>
        <w:t>小学</w:t>
      </w:r>
    </w:p>
    <w:p>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lang w:val="en-US" w:eastAsia="zh-CN"/>
        </w:rPr>
        <w:t>3.</w:t>
      </w:r>
      <w:r>
        <w:rPr>
          <w:rFonts w:ascii="仿宋_GB2312" w:hAnsi="黑体" w:eastAsia="仿宋_GB2312" w:cs="仿宋_GB2312"/>
          <w:sz w:val="32"/>
          <w:szCs w:val="32"/>
        </w:rPr>
        <w:t xml:space="preserve"> </w:t>
      </w:r>
      <w:r>
        <w:rPr>
          <w:rFonts w:hint="eastAsia" w:ascii="仿宋_GB2312" w:hAnsi="黑体" w:eastAsia="仿宋_GB2312" w:cs="仿宋_GB2312"/>
          <w:sz w:val="32"/>
          <w:szCs w:val="32"/>
        </w:rPr>
        <w:t>屯昌县</w:t>
      </w:r>
      <w:r>
        <w:rPr>
          <w:rFonts w:hint="eastAsia" w:ascii="仿宋_GB2312" w:hAnsi="黑体" w:eastAsia="仿宋_GB2312" w:cs="仿宋_GB2312"/>
          <w:sz w:val="32"/>
          <w:szCs w:val="32"/>
          <w:lang w:val="en-US" w:eastAsia="zh-CN"/>
        </w:rPr>
        <w:t>南坤镇岭坡</w:t>
      </w:r>
      <w:r>
        <w:rPr>
          <w:rFonts w:hint="eastAsia" w:ascii="仿宋_GB2312" w:hAnsi="黑体" w:eastAsia="仿宋_GB2312" w:cs="仿宋_GB2312"/>
          <w:sz w:val="32"/>
          <w:szCs w:val="32"/>
        </w:rPr>
        <w:t>小学</w:t>
      </w:r>
    </w:p>
    <w:p>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lang w:val="en-US" w:eastAsia="zh-CN"/>
        </w:rPr>
        <w:t>4.</w:t>
      </w:r>
      <w:r>
        <w:rPr>
          <w:rFonts w:ascii="仿宋_GB2312" w:hAnsi="黑体" w:eastAsia="仿宋_GB2312" w:cs="仿宋_GB2312"/>
          <w:sz w:val="32"/>
          <w:szCs w:val="32"/>
        </w:rPr>
        <w:t xml:space="preserve"> </w:t>
      </w:r>
      <w:r>
        <w:rPr>
          <w:rFonts w:hint="eastAsia" w:ascii="仿宋_GB2312" w:hAnsi="黑体" w:eastAsia="仿宋_GB2312" w:cs="仿宋_GB2312"/>
          <w:sz w:val="32"/>
          <w:szCs w:val="32"/>
        </w:rPr>
        <w:t>屯昌县</w:t>
      </w:r>
      <w:r>
        <w:rPr>
          <w:rFonts w:hint="eastAsia" w:ascii="仿宋_GB2312" w:hAnsi="黑体" w:eastAsia="仿宋_GB2312" w:cs="仿宋_GB2312"/>
          <w:sz w:val="32"/>
          <w:szCs w:val="32"/>
          <w:lang w:val="en-US" w:eastAsia="zh-CN"/>
        </w:rPr>
        <w:t>南坤镇岭肚</w:t>
      </w:r>
      <w:r>
        <w:rPr>
          <w:rFonts w:hint="eastAsia" w:ascii="仿宋_GB2312" w:hAnsi="黑体" w:eastAsia="仿宋_GB2312" w:cs="仿宋_GB2312"/>
          <w:sz w:val="32"/>
          <w:szCs w:val="32"/>
        </w:rPr>
        <w:t>小学</w:t>
      </w:r>
      <w:r>
        <w:rPr>
          <w:rFonts w:ascii="仿宋_GB2312" w:hAnsi="黑体" w:eastAsia="仿宋_GB2312" w:cs="仿宋_GB2312"/>
          <w:sz w:val="32"/>
          <w:szCs w:val="32"/>
        </w:rPr>
        <w:t xml:space="preserve"> </w:t>
      </w:r>
    </w:p>
    <w:p>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lang w:val="en-US" w:eastAsia="zh-CN"/>
        </w:rPr>
        <w:t>5.</w:t>
      </w:r>
      <w:r>
        <w:rPr>
          <w:rFonts w:ascii="仿宋_GB2312" w:hAnsi="黑体" w:eastAsia="仿宋_GB2312" w:cs="仿宋_GB2312"/>
          <w:sz w:val="32"/>
          <w:szCs w:val="32"/>
        </w:rPr>
        <w:t xml:space="preserve"> </w:t>
      </w:r>
      <w:r>
        <w:rPr>
          <w:rFonts w:hint="eastAsia" w:ascii="仿宋_GB2312" w:hAnsi="黑体" w:eastAsia="仿宋_GB2312" w:cs="仿宋_GB2312"/>
          <w:sz w:val="32"/>
          <w:szCs w:val="32"/>
        </w:rPr>
        <w:t>屯昌县</w:t>
      </w:r>
      <w:r>
        <w:rPr>
          <w:rFonts w:hint="eastAsia" w:ascii="仿宋_GB2312" w:hAnsi="黑体" w:eastAsia="仿宋_GB2312" w:cs="仿宋_GB2312"/>
          <w:sz w:val="32"/>
          <w:szCs w:val="32"/>
          <w:lang w:val="en-US" w:eastAsia="zh-CN"/>
        </w:rPr>
        <w:t>南坤镇周朝</w:t>
      </w:r>
      <w:r>
        <w:rPr>
          <w:rFonts w:hint="eastAsia" w:ascii="仿宋_GB2312" w:hAnsi="黑体" w:eastAsia="仿宋_GB2312" w:cs="仿宋_GB2312"/>
          <w:sz w:val="32"/>
          <w:szCs w:val="32"/>
        </w:rPr>
        <w:t>小学</w:t>
      </w:r>
      <w:r>
        <w:rPr>
          <w:rFonts w:ascii="仿宋_GB2312" w:hAnsi="黑体" w:eastAsia="仿宋_GB2312" w:cs="仿宋_GB2312"/>
          <w:sz w:val="32"/>
          <w:szCs w:val="32"/>
        </w:rPr>
        <w:t xml:space="preserve"> </w:t>
      </w:r>
    </w:p>
    <w:p>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lang w:val="en-US" w:eastAsia="zh-CN"/>
        </w:rPr>
        <w:t>6.</w:t>
      </w:r>
      <w:r>
        <w:rPr>
          <w:rFonts w:ascii="仿宋_GB2312" w:hAnsi="黑体" w:eastAsia="仿宋_GB2312" w:cs="仿宋_GB2312"/>
          <w:sz w:val="32"/>
          <w:szCs w:val="32"/>
        </w:rPr>
        <w:t xml:space="preserve"> </w:t>
      </w:r>
      <w:r>
        <w:rPr>
          <w:rFonts w:hint="eastAsia" w:ascii="仿宋_GB2312" w:hAnsi="黑体" w:eastAsia="仿宋_GB2312" w:cs="仿宋_GB2312"/>
          <w:sz w:val="32"/>
          <w:szCs w:val="32"/>
        </w:rPr>
        <w:t>屯昌县</w:t>
      </w:r>
      <w:r>
        <w:rPr>
          <w:rFonts w:hint="eastAsia" w:ascii="仿宋_GB2312" w:hAnsi="黑体" w:eastAsia="仿宋_GB2312" w:cs="仿宋_GB2312"/>
          <w:sz w:val="32"/>
          <w:szCs w:val="32"/>
          <w:lang w:val="en-US" w:eastAsia="zh-CN"/>
        </w:rPr>
        <w:t>南坤镇新村</w:t>
      </w:r>
      <w:r>
        <w:rPr>
          <w:rFonts w:hint="eastAsia" w:ascii="仿宋_GB2312" w:hAnsi="黑体" w:eastAsia="仿宋_GB2312" w:cs="仿宋_GB2312"/>
          <w:sz w:val="32"/>
          <w:szCs w:val="32"/>
        </w:rPr>
        <w:t>小学</w:t>
      </w:r>
      <w:r>
        <w:rPr>
          <w:rFonts w:ascii="仿宋_GB2312" w:hAnsi="黑体" w:eastAsia="仿宋_GB2312" w:cs="仿宋_GB2312"/>
          <w:sz w:val="32"/>
          <w:szCs w:val="32"/>
        </w:rPr>
        <w:t xml:space="preserve"> </w:t>
      </w:r>
    </w:p>
    <w:p>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lang w:val="en-US" w:eastAsia="zh-CN"/>
        </w:rPr>
        <w:t>7.</w:t>
      </w:r>
      <w:r>
        <w:rPr>
          <w:rFonts w:ascii="仿宋_GB2312" w:hAnsi="黑体" w:eastAsia="仿宋_GB2312" w:cs="仿宋_GB2312"/>
          <w:sz w:val="32"/>
          <w:szCs w:val="32"/>
        </w:rPr>
        <w:t xml:space="preserve"> </w:t>
      </w:r>
      <w:r>
        <w:rPr>
          <w:rFonts w:hint="eastAsia" w:ascii="仿宋_GB2312" w:hAnsi="黑体" w:eastAsia="仿宋_GB2312" w:cs="仿宋_GB2312"/>
          <w:sz w:val="32"/>
          <w:szCs w:val="32"/>
        </w:rPr>
        <w:t>屯昌县</w:t>
      </w:r>
      <w:r>
        <w:rPr>
          <w:rFonts w:hint="eastAsia" w:ascii="仿宋_GB2312" w:hAnsi="黑体" w:eastAsia="仿宋_GB2312" w:cs="仿宋_GB2312"/>
          <w:sz w:val="32"/>
          <w:szCs w:val="32"/>
          <w:lang w:val="en-US" w:eastAsia="zh-CN"/>
        </w:rPr>
        <w:t>南坤镇加握</w:t>
      </w:r>
      <w:r>
        <w:rPr>
          <w:rFonts w:hint="eastAsia" w:ascii="仿宋_GB2312" w:hAnsi="黑体" w:eastAsia="仿宋_GB2312" w:cs="仿宋_GB2312"/>
          <w:sz w:val="32"/>
          <w:szCs w:val="32"/>
        </w:rPr>
        <w:t>小学</w:t>
      </w:r>
      <w:r>
        <w:rPr>
          <w:rFonts w:ascii="仿宋_GB2312" w:hAnsi="黑体" w:eastAsia="仿宋_GB2312" w:cs="仿宋_GB2312"/>
          <w:sz w:val="32"/>
          <w:szCs w:val="32"/>
        </w:rPr>
        <w:t xml:space="preserve"> </w:t>
      </w:r>
    </w:p>
    <w:p>
      <w:pPr>
        <w:pStyle w:val="6"/>
        <w:keepNext w:val="0"/>
        <w:keepLines w:val="0"/>
        <w:pageBreakBefore w:val="0"/>
        <w:numPr>
          <w:ilvl w:val="-1"/>
          <w:numId w:val="0"/>
        </w:numPr>
        <w:kinsoku/>
        <w:wordWrap/>
        <w:overflowPunct/>
        <w:topLinePunct w:val="0"/>
        <w:autoSpaceDE/>
        <w:autoSpaceDN/>
        <w:bidi w:val="0"/>
        <w:adjustRightInd/>
        <w:snapToGrid/>
        <w:spacing w:line="590" w:lineRule="exact"/>
        <w:ind w:left="800" w:firstLine="0" w:firstLineChars="0"/>
        <w:jc w:val="both"/>
        <w:textAlignment w:val="auto"/>
        <w:rPr>
          <w:rFonts w:ascii="仿宋_GB2312" w:hAnsi="黑体" w:eastAsia="仿宋_GB2312" w:cs="仿宋_GB2312"/>
          <w:sz w:val="32"/>
          <w:szCs w:val="32"/>
          <w:highlight w:val="yellow"/>
          <w:u w:val="none"/>
        </w:rPr>
      </w:pPr>
    </w:p>
    <w:p>
      <w:pPr>
        <w:pStyle w:val="6"/>
        <w:keepNext w:val="0"/>
        <w:keepLines w:val="0"/>
        <w:pageBreakBefore w:val="0"/>
        <w:numPr>
          <w:ilvl w:val="0"/>
          <w:numId w:val="0"/>
        </w:numPr>
        <w:kinsoku/>
        <w:wordWrap/>
        <w:overflowPunct/>
        <w:topLinePunct w:val="0"/>
        <w:autoSpaceDE/>
        <w:autoSpaceDN/>
        <w:bidi w:val="0"/>
        <w:adjustRightInd/>
        <w:snapToGrid/>
        <w:spacing w:line="590" w:lineRule="exact"/>
        <w:jc w:val="center"/>
        <w:textAlignment w:val="auto"/>
        <w:rPr>
          <w:rFonts w:ascii="黑体" w:hAnsi="黑体" w:eastAsia="黑体"/>
          <w:sz w:val="32"/>
          <w:szCs w:val="32"/>
          <w:u w:val="none"/>
        </w:rPr>
      </w:pPr>
      <w:r>
        <w:rPr>
          <w:rFonts w:hint="eastAsia" w:ascii="方正黑体_GBK" w:hAnsi="方正黑体_GBK" w:eastAsia="方正黑体_GBK" w:cs="方正黑体_GBK"/>
          <w:b w:val="0"/>
          <w:bCs/>
          <w:sz w:val="32"/>
          <w:szCs w:val="32"/>
          <w:u w:val="none"/>
          <w:lang w:eastAsia="zh-CN"/>
        </w:rPr>
        <w:t>第二部分</w:t>
      </w:r>
      <w:r>
        <w:rPr>
          <w:rFonts w:hint="eastAsia" w:ascii="方正黑体_GBK" w:hAnsi="方正黑体_GBK" w:eastAsia="方正黑体_GBK" w:cs="方正黑体_GBK"/>
          <w:b w:val="0"/>
          <w:bCs/>
          <w:sz w:val="32"/>
          <w:szCs w:val="32"/>
          <w:u w:val="none"/>
          <w:lang w:val="en-US" w:eastAsia="zh-CN"/>
        </w:rPr>
        <w:t xml:space="preserve">  屯昌县南坤镇藤寨中心小学2026</w:t>
      </w:r>
      <w:r>
        <w:rPr>
          <w:rFonts w:hint="eastAsia" w:ascii="方正黑体_GBK" w:hAnsi="方正黑体_GBK" w:eastAsia="方正黑体_GBK" w:cs="方正黑体_GBK"/>
          <w:b w:val="0"/>
          <w:bCs/>
          <w:sz w:val="32"/>
          <w:szCs w:val="32"/>
          <w:u w:val="none"/>
        </w:rPr>
        <w:t>年</w:t>
      </w:r>
      <w:r>
        <w:rPr>
          <w:rFonts w:hint="eastAsia" w:ascii="方正黑体_GBK" w:hAnsi="方正黑体_GBK" w:eastAsia="方正黑体_GBK" w:cs="方正黑体_GBK"/>
          <w:b w:val="0"/>
          <w:bCs/>
          <w:sz w:val="32"/>
          <w:szCs w:val="32"/>
          <w:u w:val="none"/>
          <w:lang w:eastAsia="zh-CN"/>
        </w:rPr>
        <w:t>单位</w:t>
      </w:r>
      <w:r>
        <w:rPr>
          <w:rFonts w:hint="eastAsia" w:ascii="方正黑体_GBK" w:hAnsi="方正黑体_GBK" w:eastAsia="方正黑体_GBK" w:cs="方正黑体_GBK"/>
          <w:b w:val="0"/>
          <w:bCs/>
          <w:sz w:val="32"/>
          <w:szCs w:val="32"/>
          <w:u w:val="none"/>
        </w:rPr>
        <w:t>预算表</w:t>
      </w:r>
    </w:p>
    <w:p>
      <w:pPr>
        <w:keepNext w:val="0"/>
        <w:keepLines w:val="0"/>
        <w:pageBreakBefore w:val="0"/>
        <w:kinsoku/>
        <w:wordWrap/>
        <w:overflowPunct/>
        <w:topLinePunct w:val="0"/>
        <w:autoSpaceDE/>
        <w:autoSpaceDN/>
        <w:bidi w:val="0"/>
        <w:adjustRightInd/>
        <w:snapToGrid/>
        <w:spacing w:line="590" w:lineRule="exact"/>
        <w:ind w:left="0"/>
        <w:jc w:val="both"/>
        <w:textAlignment w:val="auto"/>
        <w:rPr>
          <w:rFonts w:hint="eastAsia" w:ascii="仿宋_GB2312" w:hAnsi="黑体" w:eastAsia="仿宋_GB2312"/>
          <w:b/>
          <w:sz w:val="32"/>
          <w:szCs w:val="32"/>
          <w:u w:val="none"/>
        </w:rPr>
      </w:pPr>
    </w:p>
    <w:p>
      <w:pPr>
        <w:keepNext w:val="0"/>
        <w:keepLines w:val="0"/>
        <w:pageBreakBefore w:val="0"/>
        <w:kinsoku/>
        <w:wordWrap/>
        <w:overflowPunct/>
        <w:topLinePunct w:val="0"/>
        <w:autoSpaceDE/>
        <w:autoSpaceDN/>
        <w:bidi w:val="0"/>
        <w:adjustRightInd/>
        <w:snapToGrid/>
        <w:spacing w:line="590" w:lineRule="exact"/>
        <w:ind w:left="0"/>
        <w:jc w:val="center"/>
        <w:textAlignment w:val="auto"/>
        <w:rPr>
          <w:rFonts w:hint="eastAsia" w:ascii="仿宋_GB2312" w:hAnsi="黑体" w:eastAsia="仿宋_GB2312"/>
          <w:b/>
          <w:bCs w:val="0"/>
          <w:sz w:val="32"/>
          <w:szCs w:val="32"/>
          <w:u w:val="none"/>
        </w:rPr>
      </w:pPr>
      <w:r>
        <w:rPr>
          <w:rFonts w:hint="eastAsia" w:ascii="仿宋_GB2312" w:hAnsi="黑体" w:eastAsia="仿宋_GB2312"/>
          <w:b/>
          <w:bCs w:val="0"/>
          <w:sz w:val="32"/>
          <w:szCs w:val="32"/>
          <w:u w:val="none"/>
        </w:rPr>
        <w:t>（此部分内容即为单位预算公开表）</w:t>
      </w:r>
    </w:p>
    <w:p>
      <w:pPr>
        <w:keepNext w:val="0"/>
        <w:keepLines w:val="0"/>
        <w:pageBreakBefore w:val="0"/>
        <w:kinsoku/>
        <w:wordWrap/>
        <w:overflowPunct/>
        <w:topLinePunct w:val="0"/>
        <w:autoSpaceDE/>
        <w:autoSpaceDN/>
        <w:bidi w:val="0"/>
        <w:adjustRightInd/>
        <w:snapToGrid/>
        <w:spacing w:line="590" w:lineRule="exact"/>
        <w:ind w:left="800"/>
        <w:jc w:val="both"/>
        <w:textAlignment w:val="auto"/>
        <w:rPr>
          <w:rFonts w:hint="eastAsia" w:ascii="仿宋_GB2312" w:hAnsi="黑体" w:eastAsia="仿宋_GB2312"/>
          <w:b/>
          <w:sz w:val="32"/>
          <w:szCs w:val="32"/>
          <w:u w:val="none"/>
        </w:rPr>
      </w:pPr>
    </w:p>
    <w:p>
      <w:pPr>
        <w:keepNext w:val="0"/>
        <w:keepLines w:val="0"/>
        <w:pageBreakBefore w:val="0"/>
        <w:kinsoku/>
        <w:wordWrap/>
        <w:overflowPunct/>
        <w:topLinePunct w:val="0"/>
        <w:autoSpaceDE/>
        <w:autoSpaceDN/>
        <w:bidi w:val="0"/>
        <w:adjustRightInd/>
        <w:snapToGrid/>
        <w:spacing w:line="590" w:lineRule="exact"/>
        <w:ind w:firstLine="0" w:firstLineChars="0"/>
        <w:jc w:val="center"/>
        <w:textAlignment w:val="auto"/>
        <w:rPr>
          <w:rFonts w:ascii="黑体" w:hAnsi="黑体" w:eastAsia="黑体"/>
          <w:sz w:val="32"/>
          <w:szCs w:val="32"/>
          <w:u w:val="none"/>
        </w:rPr>
      </w:pPr>
      <w:r>
        <w:rPr>
          <w:rFonts w:hint="eastAsia" w:ascii="黑体" w:hAnsi="黑体" w:eastAsia="黑体"/>
          <w:sz w:val="32"/>
          <w:szCs w:val="32"/>
          <w:u w:val="none"/>
          <w:lang w:eastAsia="zh-CN"/>
        </w:rPr>
        <w:t>第三部分</w:t>
      </w:r>
      <w:r>
        <w:rPr>
          <w:rFonts w:hint="eastAsia" w:ascii="黑体" w:hAnsi="黑体" w:eastAsia="黑体"/>
          <w:sz w:val="32"/>
          <w:szCs w:val="32"/>
          <w:u w:val="none"/>
          <w:lang w:val="en-US" w:eastAsia="zh-CN"/>
        </w:rPr>
        <w:t xml:space="preserve">  屯昌县南坤镇藤寨中心小学2026</w:t>
      </w:r>
      <w:r>
        <w:rPr>
          <w:rFonts w:hint="eastAsia" w:ascii="黑体" w:hAnsi="黑体" w:eastAsia="黑体"/>
          <w:sz w:val="32"/>
          <w:szCs w:val="32"/>
          <w:u w:val="none"/>
        </w:rPr>
        <w:t>年</w:t>
      </w:r>
      <w:r>
        <w:rPr>
          <w:rFonts w:hint="eastAsia" w:ascii="黑体" w:hAnsi="黑体" w:eastAsia="黑体"/>
          <w:sz w:val="32"/>
          <w:szCs w:val="32"/>
          <w:u w:val="none"/>
          <w:lang w:eastAsia="zh-CN"/>
        </w:rPr>
        <w:t>单位</w:t>
      </w:r>
      <w:r>
        <w:rPr>
          <w:rFonts w:hint="eastAsia" w:ascii="黑体" w:hAnsi="黑体" w:eastAsia="黑体"/>
          <w:sz w:val="32"/>
          <w:szCs w:val="32"/>
          <w:u w:val="none"/>
        </w:rPr>
        <w:t>预算情况说明</w:t>
      </w:r>
    </w:p>
    <w:p>
      <w:pPr>
        <w:keepNext w:val="0"/>
        <w:keepLines w:val="0"/>
        <w:pageBreakBefore w:val="0"/>
        <w:kinsoku/>
        <w:wordWrap/>
        <w:overflowPunct/>
        <w:topLinePunct w:val="0"/>
        <w:autoSpaceDE/>
        <w:autoSpaceDN/>
        <w:bidi w:val="0"/>
        <w:adjustRightInd/>
        <w:snapToGrid/>
        <w:spacing w:line="590" w:lineRule="exact"/>
        <w:jc w:val="both"/>
        <w:textAlignment w:val="auto"/>
        <w:rPr>
          <w:rFonts w:ascii="黑体" w:hAnsi="黑体" w:eastAsia="黑体"/>
          <w:sz w:val="32"/>
          <w:szCs w:val="32"/>
          <w:u w:val="none"/>
        </w:rPr>
      </w:pP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方正黑体_GBK" w:hAnsi="方正黑体_GBK" w:eastAsia="方正黑体_GBK" w:cs="方正黑体_GBK"/>
          <w:sz w:val="32"/>
          <w:szCs w:val="32"/>
          <w:u w:val="none"/>
        </w:rPr>
      </w:pPr>
      <w:r>
        <w:rPr>
          <w:rFonts w:hint="eastAsia" w:ascii="方正黑体_GBK" w:hAnsi="方正黑体_GBK" w:eastAsia="方正黑体_GBK" w:cs="方正黑体_GBK"/>
          <w:sz w:val="32"/>
          <w:szCs w:val="32"/>
          <w:u w:val="none"/>
        </w:rPr>
        <w:t>一、</w:t>
      </w:r>
      <w:r>
        <w:rPr>
          <w:rFonts w:hint="eastAsia" w:ascii="方正黑体_GBK" w:hAnsi="方正黑体_GBK" w:eastAsia="方正黑体_GBK" w:cs="方正黑体_GBK"/>
          <w:sz w:val="32"/>
          <w:szCs w:val="32"/>
          <w:u w:val="none"/>
          <w:lang w:val="en-US" w:eastAsia="zh-CN"/>
        </w:rPr>
        <w:t>关于屯昌县南坤镇藤寨中心小学</w:t>
      </w:r>
      <w:r>
        <w:rPr>
          <w:rFonts w:hint="eastAsia" w:ascii="方正黑体_GBK" w:hAnsi="方正黑体_GBK" w:eastAsia="方正黑体_GBK" w:cs="方正黑体_GBK"/>
          <w:sz w:val="32"/>
          <w:szCs w:val="32"/>
          <w:u w:val="none"/>
        </w:rPr>
        <w:t>财政拨款收支预算</w:t>
      </w:r>
      <w:r>
        <w:rPr>
          <w:rFonts w:hint="eastAsia" w:ascii="方正黑体_GBK" w:hAnsi="方正黑体_GBK" w:eastAsia="方正黑体_GBK" w:cs="方正黑体_GBK"/>
          <w:sz w:val="32"/>
          <w:szCs w:val="32"/>
          <w:u w:val="none"/>
          <w:lang w:eastAsia="zh-CN"/>
        </w:rPr>
        <w:t>总体</w:t>
      </w:r>
      <w:r>
        <w:rPr>
          <w:rFonts w:hint="eastAsia" w:ascii="方正黑体_GBK" w:hAnsi="方正黑体_GBK" w:eastAsia="方正黑体_GBK" w:cs="方正黑体_GBK"/>
          <w:sz w:val="32"/>
          <w:szCs w:val="32"/>
          <w:u w:val="none"/>
        </w:rPr>
        <w:t>情况说明</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黑体" w:eastAsia="仿宋_GB2312"/>
          <w:sz w:val="32"/>
          <w:szCs w:val="32"/>
          <w:u w:val="none"/>
        </w:rPr>
      </w:pPr>
      <w:r>
        <w:rPr>
          <w:rFonts w:hint="eastAsia" w:ascii="仿宋_GB2312" w:hAnsi="黑体" w:eastAsia="仿宋_GB2312"/>
          <w:sz w:val="32"/>
          <w:szCs w:val="32"/>
          <w:u w:val="none"/>
          <w:lang w:val="en-US" w:eastAsia="zh-CN"/>
        </w:rPr>
        <w:t>屯昌县南坤镇藤寨中心小学2</w:t>
      </w:r>
      <w:r>
        <w:rPr>
          <w:rFonts w:hint="eastAsia" w:ascii="仿宋_GB2312" w:hAnsi="黑体" w:eastAsia="仿宋_GB2312" w:cs="仿宋_GB2312"/>
          <w:sz w:val="32"/>
          <w:szCs w:val="32"/>
          <w:u w:val="none"/>
          <w:lang w:val="en-US" w:eastAsia="zh-CN"/>
        </w:rPr>
        <w:t>026</w:t>
      </w:r>
      <w:r>
        <w:rPr>
          <w:rFonts w:hint="eastAsia" w:ascii="仿宋_GB2312" w:hAnsi="黑体" w:eastAsia="仿宋_GB2312"/>
          <w:sz w:val="32"/>
          <w:szCs w:val="32"/>
          <w:u w:val="none"/>
        </w:rPr>
        <w:t>年财政拨款收支总预算</w:t>
      </w:r>
      <w:r>
        <w:rPr>
          <w:rFonts w:hint="eastAsia" w:ascii="仿宋_GB2312" w:hAnsi="黑体" w:eastAsia="仿宋_GB2312"/>
          <w:sz w:val="32"/>
          <w:szCs w:val="32"/>
          <w:u w:val="none"/>
          <w:lang w:val="en-US" w:eastAsia="zh-CN"/>
        </w:rPr>
        <w:t>1887.59</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减少</w:t>
      </w:r>
      <w:r>
        <w:rPr>
          <w:rFonts w:hint="eastAsia" w:ascii="仿宋_GB2312" w:hAnsi="黑体" w:eastAsia="仿宋_GB2312" w:cs="仿宋_GB2312"/>
          <w:sz w:val="32"/>
          <w:szCs w:val="32"/>
          <w:u w:val="none"/>
          <w:lang w:val="en-US" w:eastAsia="zh-CN"/>
        </w:rPr>
        <w:t>459.36</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主要是</w:t>
      </w:r>
      <w:r>
        <w:rPr>
          <w:rFonts w:hint="eastAsia" w:ascii="仿宋_GB2312" w:hAnsi="黑体" w:eastAsia="仿宋_GB2312"/>
          <w:sz w:val="32"/>
          <w:szCs w:val="32"/>
          <w:u w:val="none"/>
          <w:lang w:val="en-US" w:eastAsia="zh-CN"/>
        </w:rPr>
        <w:t>教师编制人数减少</w:t>
      </w:r>
      <w:r>
        <w:rPr>
          <w:rFonts w:hint="eastAsia" w:ascii="仿宋_GB2312" w:hAnsi="黑体" w:eastAsia="仿宋_GB2312"/>
          <w:color w:val="auto"/>
          <w:sz w:val="32"/>
          <w:szCs w:val="32"/>
          <w:highlight w:val="none"/>
          <w:u w:val="none"/>
        </w:rPr>
        <w:t>。其中，收入总计</w:t>
      </w:r>
      <w:r>
        <w:rPr>
          <w:rFonts w:hint="eastAsia" w:ascii="仿宋_GB2312" w:hAnsi="黑体" w:eastAsia="仿宋_GB2312"/>
          <w:color w:val="auto"/>
          <w:sz w:val="32"/>
          <w:szCs w:val="32"/>
          <w:highlight w:val="none"/>
          <w:u w:val="none"/>
          <w:lang w:val="en-US" w:eastAsia="zh-CN"/>
        </w:rPr>
        <w:t>1887.59</w:t>
      </w:r>
      <w:r>
        <w:rPr>
          <w:rFonts w:hint="eastAsia" w:ascii="仿宋_GB2312" w:hAnsi="黑体" w:eastAsia="仿宋_GB2312"/>
          <w:color w:val="auto"/>
          <w:sz w:val="32"/>
          <w:szCs w:val="32"/>
          <w:highlight w:val="none"/>
          <w:u w:val="none"/>
        </w:rPr>
        <w:t>万元，包括一般公共预算本年收入</w:t>
      </w:r>
      <w:r>
        <w:rPr>
          <w:rFonts w:hint="eastAsia" w:ascii="仿宋_GB2312" w:hAnsi="黑体" w:eastAsia="仿宋_GB2312"/>
          <w:color w:val="auto"/>
          <w:sz w:val="32"/>
          <w:szCs w:val="32"/>
          <w:highlight w:val="none"/>
          <w:u w:val="none"/>
          <w:lang w:val="en-US" w:eastAsia="zh-CN"/>
        </w:rPr>
        <w:t>1887.59</w:t>
      </w:r>
      <w:r>
        <w:rPr>
          <w:rFonts w:hint="eastAsia" w:ascii="仿宋_GB2312" w:hAnsi="黑体" w:eastAsia="仿宋_GB2312"/>
          <w:color w:val="auto"/>
          <w:sz w:val="32"/>
          <w:szCs w:val="32"/>
          <w:highlight w:val="none"/>
          <w:u w:val="none"/>
        </w:rPr>
        <w:t>万元、</w:t>
      </w:r>
      <w:r>
        <w:rPr>
          <w:rFonts w:hint="eastAsia" w:ascii="仿宋_GB2312" w:hAnsi="黑体" w:eastAsia="仿宋_GB2312"/>
          <w:color w:val="000000" w:themeColor="text1"/>
          <w:sz w:val="32"/>
          <w:szCs w:val="32"/>
          <w:highlight w:val="none"/>
          <w:u w:val="none"/>
          <w14:textFill>
            <w14:solidFill>
              <w14:schemeClr w14:val="tx1"/>
            </w14:solidFill>
          </w14:textFill>
        </w:rPr>
        <w:t>上年结转</w:t>
      </w:r>
      <w:r>
        <w:rPr>
          <w:rFonts w:hint="eastAsia" w:ascii="仿宋_GB2312" w:hAnsi="黑体" w:eastAsia="仿宋_GB2312"/>
          <w:color w:val="000000" w:themeColor="text1"/>
          <w:sz w:val="32"/>
          <w:szCs w:val="32"/>
          <w:highlight w:val="none"/>
          <w:u w:val="none"/>
          <w:lang w:val="en-US" w:eastAsia="zh-CN"/>
          <w14:textFill>
            <w14:solidFill>
              <w14:schemeClr w14:val="tx1"/>
            </w14:solidFill>
          </w14:textFill>
        </w:rPr>
        <w:t>0</w:t>
      </w:r>
      <w:r>
        <w:rPr>
          <w:rFonts w:hint="eastAsia" w:ascii="仿宋_GB2312" w:hAnsi="黑体" w:eastAsia="仿宋_GB2312"/>
          <w:color w:val="000000" w:themeColor="text1"/>
          <w:sz w:val="32"/>
          <w:szCs w:val="32"/>
          <w:highlight w:val="none"/>
          <w:u w:val="none"/>
          <w14:textFill>
            <w14:solidFill>
              <w14:schemeClr w14:val="tx1"/>
            </w14:solidFill>
          </w14:textFill>
        </w:rPr>
        <w:t>万元，</w:t>
      </w:r>
      <w:r>
        <w:rPr>
          <w:rFonts w:hint="eastAsia" w:ascii="仿宋_GB2312" w:hAnsi="黑体" w:eastAsia="仿宋_GB2312"/>
          <w:color w:val="auto"/>
          <w:sz w:val="32"/>
          <w:szCs w:val="32"/>
          <w:highlight w:val="none"/>
          <w:u w:val="none"/>
        </w:rPr>
        <w:t>政府性基金预算本年收入</w:t>
      </w:r>
      <w:r>
        <w:rPr>
          <w:rFonts w:hint="eastAsia" w:ascii="仿宋_GB2312" w:hAnsi="黑体" w:eastAsia="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万元、上年结转</w:t>
      </w:r>
      <w:r>
        <w:rPr>
          <w:rFonts w:hint="eastAsia" w:ascii="仿宋_GB2312" w:hAnsi="黑体" w:eastAsia="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，国有资本经营预算本年收入</w:t>
      </w:r>
      <w:r>
        <w:rPr>
          <w:rFonts w:hint="eastAsia" w:ascii="仿宋_GB2312" w:hAnsi="黑体" w:eastAsia="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万元、上年结转</w:t>
      </w:r>
      <w:r>
        <w:rPr>
          <w:rFonts w:hint="eastAsia" w:ascii="仿宋_GB2312" w:hAnsi="黑体" w:eastAsia="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w:t>
      </w:r>
      <w:r>
        <w:rPr>
          <w:rFonts w:hint="eastAsia" w:ascii="仿宋_GB2312" w:hAnsi="黑体" w:eastAsia="仿宋_GB2312"/>
          <w:color w:val="auto"/>
          <w:sz w:val="32"/>
          <w:szCs w:val="32"/>
          <w:highlight w:val="none"/>
          <w:u w:val="none"/>
        </w:rPr>
        <w:t>支出总计</w:t>
      </w:r>
      <w:r>
        <w:rPr>
          <w:rFonts w:hint="eastAsia" w:ascii="仿宋_GB2312" w:hAnsi="黑体" w:eastAsia="仿宋_GB2312"/>
          <w:color w:val="auto"/>
          <w:sz w:val="32"/>
          <w:szCs w:val="32"/>
          <w:highlight w:val="none"/>
          <w:u w:val="none"/>
          <w:lang w:val="en-US" w:eastAsia="zh-CN"/>
        </w:rPr>
        <w:t>1887.59</w:t>
      </w:r>
      <w:r>
        <w:rPr>
          <w:rFonts w:hint="eastAsia" w:ascii="仿宋_GB2312" w:hAnsi="黑体" w:eastAsia="仿宋_GB2312"/>
          <w:color w:val="auto"/>
          <w:sz w:val="32"/>
          <w:szCs w:val="32"/>
          <w:u w:val="none"/>
        </w:rPr>
        <w:t>万元，</w:t>
      </w:r>
      <w:r>
        <w:rPr>
          <w:rFonts w:hint="eastAsia" w:ascii="仿宋_GB2312" w:hAnsi="黑体" w:eastAsia="仿宋_GB2312" w:cs="仿宋_GB2312"/>
          <w:sz w:val="32"/>
          <w:szCs w:val="32"/>
        </w:rPr>
        <w:t>包括一般公共服务支出</w:t>
      </w:r>
      <w:r>
        <w:rPr>
          <w:rFonts w:hint="eastAsia" w:ascii="仿宋_GB2312" w:hAnsi="黑体" w:eastAsia="仿宋_GB2312" w:cs="仿宋_GB2312"/>
          <w:sz w:val="32"/>
          <w:szCs w:val="32"/>
          <w:lang w:val="en-US" w:eastAsia="zh-CN"/>
        </w:rPr>
        <w:t>1880.17</w:t>
      </w:r>
      <w:r>
        <w:rPr>
          <w:rFonts w:hint="eastAsia" w:ascii="仿宋_GB2312" w:hAnsi="黑体" w:eastAsia="仿宋_GB2312" w:cs="仿宋_GB2312"/>
          <w:sz w:val="32"/>
          <w:szCs w:val="32"/>
        </w:rPr>
        <w:t>万元、教育支出</w:t>
      </w:r>
      <w:r>
        <w:rPr>
          <w:rFonts w:hint="eastAsia" w:ascii="仿宋_GB2312" w:hAnsi="黑体" w:eastAsia="仿宋_GB2312" w:cs="仿宋_GB2312"/>
          <w:sz w:val="32"/>
          <w:szCs w:val="32"/>
          <w:lang w:val="en-US" w:eastAsia="zh-CN"/>
        </w:rPr>
        <w:t>1226.86</w:t>
      </w:r>
      <w:r>
        <w:rPr>
          <w:rFonts w:hint="eastAsia" w:ascii="仿宋_GB2312" w:hAnsi="黑体" w:eastAsia="仿宋_GB2312" w:cs="仿宋_GB2312"/>
          <w:sz w:val="32"/>
          <w:szCs w:val="32"/>
        </w:rPr>
        <w:t>万元、社会保障和就业支出</w:t>
      </w:r>
      <w:r>
        <w:rPr>
          <w:rFonts w:hint="eastAsia" w:ascii="仿宋_GB2312" w:hAnsi="黑体" w:eastAsia="仿宋_GB2312" w:cs="仿宋_GB2312"/>
          <w:sz w:val="32"/>
          <w:szCs w:val="32"/>
          <w:lang w:val="en-US" w:eastAsia="zh-CN"/>
        </w:rPr>
        <w:t>258.8</w:t>
      </w:r>
      <w:r>
        <w:rPr>
          <w:rFonts w:hint="eastAsia" w:ascii="仿宋_GB2312" w:hAnsi="黑体" w:eastAsia="仿宋_GB2312" w:cs="仿宋_GB2312"/>
          <w:sz w:val="32"/>
          <w:szCs w:val="32"/>
        </w:rPr>
        <w:t>万元、卫生健康支出</w:t>
      </w:r>
      <w:r>
        <w:rPr>
          <w:rFonts w:hint="eastAsia" w:ascii="仿宋_GB2312" w:hAnsi="黑体" w:eastAsia="仿宋_GB2312" w:cs="仿宋_GB2312"/>
          <w:sz w:val="32"/>
          <w:szCs w:val="32"/>
          <w:lang w:val="en-US" w:eastAsia="zh-CN"/>
        </w:rPr>
        <w:t>278.09</w:t>
      </w:r>
      <w:r>
        <w:rPr>
          <w:rFonts w:hint="eastAsia" w:ascii="仿宋_GB2312" w:hAnsi="黑体" w:eastAsia="仿宋_GB2312" w:cs="仿宋_GB2312"/>
          <w:sz w:val="32"/>
          <w:szCs w:val="32"/>
        </w:rPr>
        <w:t>万元、住房保障支出</w:t>
      </w:r>
      <w:r>
        <w:rPr>
          <w:rFonts w:hint="eastAsia" w:ascii="仿宋_GB2312" w:hAnsi="黑体" w:eastAsia="仿宋_GB2312" w:cs="仿宋_GB2312"/>
          <w:sz w:val="32"/>
          <w:szCs w:val="32"/>
          <w:lang w:val="en-US" w:eastAsia="zh-CN"/>
        </w:rPr>
        <w:t>123.83</w:t>
      </w:r>
      <w:r>
        <w:rPr>
          <w:rFonts w:hint="eastAsia" w:ascii="仿宋_GB2312" w:hAnsi="黑体" w:eastAsia="仿宋_GB2312" w:cs="仿宋_GB2312"/>
          <w:sz w:val="32"/>
          <w:szCs w:val="32"/>
        </w:rPr>
        <w:t>万元，结转下年0万元。</w:t>
      </w:r>
    </w:p>
    <w:p>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黑体" w:hAnsi="黑体" w:eastAsia="黑体"/>
          <w:sz w:val="32"/>
          <w:szCs w:val="32"/>
          <w:u w:val="none"/>
        </w:rPr>
      </w:pPr>
      <w:r>
        <w:rPr>
          <w:rFonts w:hint="eastAsia" w:ascii="黑体" w:hAnsi="黑体" w:eastAsia="黑体"/>
          <w:sz w:val="32"/>
          <w:szCs w:val="32"/>
          <w:u w:val="none"/>
        </w:rPr>
        <w:t>二、</w:t>
      </w:r>
      <w:r>
        <w:rPr>
          <w:rFonts w:hint="eastAsia" w:ascii="黑体" w:hAnsi="黑体" w:eastAsia="黑体"/>
          <w:sz w:val="32"/>
          <w:szCs w:val="32"/>
          <w:u w:val="none"/>
          <w:lang w:val="en-US" w:eastAsia="zh-CN"/>
        </w:rPr>
        <w:t>关于屯昌县南坤镇藤寨中心小学</w:t>
      </w:r>
      <w:r>
        <w:rPr>
          <w:rFonts w:hint="eastAsia" w:ascii="黑体" w:hAnsi="黑体" w:eastAsia="黑体"/>
          <w:sz w:val="32"/>
          <w:szCs w:val="32"/>
          <w:u w:val="none"/>
        </w:rPr>
        <w:t>一般公共预算当年拨款情况说明</w:t>
      </w:r>
    </w:p>
    <w:p>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楷体" w:hAnsi="楷体" w:eastAsia="楷体"/>
          <w:sz w:val="32"/>
          <w:szCs w:val="32"/>
          <w:u w:val="none"/>
        </w:rPr>
      </w:pPr>
      <w:r>
        <w:rPr>
          <w:rFonts w:hint="eastAsia" w:ascii="楷体" w:hAnsi="楷体" w:eastAsia="楷体"/>
          <w:sz w:val="32"/>
          <w:szCs w:val="32"/>
          <w:u w:val="none"/>
        </w:rPr>
        <w:t>（一）一般公共预算当年规模变化情况</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黑体" w:eastAsia="仿宋_GB2312"/>
          <w:sz w:val="32"/>
          <w:szCs w:val="32"/>
          <w:u w:val="none"/>
        </w:rPr>
      </w:pPr>
      <w:r>
        <w:rPr>
          <w:rFonts w:hint="eastAsia" w:ascii="仿宋_GB2312" w:hAnsi="黑体" w:eastAsia="仿宋_GB2312" w:cs="仿宋_GB2312"/>
          <w:sz w:val="32"/>
          <w:szCs w:val="32"/>
          <w:u w:val="none"/>
          <w:lang w:val="en-US" w:eastAsia="zh-CN"/>
        </w:rPr>
        <w:t>屯昌县南坤镇藤寨中心小学2026</w:t>
      </w:r>
      <w:r>
        <w:rPr>
          <w:rFonts w:hint="eastAsia" w:ascii="仿宋_GB2312" w:hAnsi="黑体" w:eastAsia="仿宋_GB2312"/>
          <w:sz w:val="32"/>
          <w:szCs w:val="32"/>
          <w:u w:val="none"/>
        </w:rPr>
        <w:t>年一般公共预算当年拨款</w:t>
      </w:r>
      <w:r>
        <w:rPr>
          <w:rFonts w:hint="eastAsia" w:ascii="仿宋_GB2312" w:hAnsi="黑体" w:eastAsia="仿宋_GB2312"/>
          <w:sz w:val="32"/>
          <w:szCs w:val="32"/>
          <w:u w:val="none"/>
          <w:lang w:val="en-US" w:eastAsia="zh-CN"/>
        </w:rPr>
        <w:t>1887.59</w:t>
      </w:r>
      <w:r>
        <w:rPr>
          <w:rFonts w:hint="eastAsia" w:ascii="仿宋_GB2312" w:hAnsi="黑体" w:eastAsia="仿宋_GB2312"/>
          <w:sz w:val="32"/>
          <w:szCs w:val="32"/>
          <w:u w:val="none"/>
        </w:rPr>
        <w:t>万元，比上年预算数</w:t>
      </w:r>
      <w:r>
        <w:rPr>
          <w:rFonts w:hint="eastAsia" w:ascii="仿宋_GB2312" w:hAnsi="黑体" w:eastAsia="仿宋_GB2312" w:cs="仿宋_GB2312"/>
          <w:sz w:val="32"/>
          <w:szCs w:val="32"/>
          <w:u w:val="none"/>
        </w:rPr>
        <w:t>减少</w:t>
      </w:r>
      <w:r>
        <w:rPr>
          <w:rFonts w:hint="eastAsia" w:ascii="仿宋_GB2312" w:hAnsi="黑体" w:eastAsia="仿宋_GB2312" w:cs="仿宋_GB2312"/>
          <w:sz w:val="32"/>
          <w:szCs w:val="32"/>
          <w:u w:val="none"/>
          <w:lang w:val="en-US" w:eastAsia="zh-CN"/>
        </w:rPr>
        <w:t>459.36</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val="en-US" w:eastAsia="zh-CN"/>
        </w:rPr>
        <w:t>教师编制人数减少</w:t>
      </w:r>
      <w:r>
        <w:rPr>
          <w:rFonts w:hint="eastAsia" w:ascii="仿宋_GB2312" w:hAnsi="黑体" w:eastAsia="仿宋_GB2312"/>
          <w:color w:val="auto"/>
          <w:sz w:val="32"/>
          <w:szCs w:val="32"/>
          <w:highlight w:val="none"/>
          <w:u w:val="none"/>
        </w:rPr>
        <w:t>。</w:t>
      </w:r>
    </w:p>
    <w:p>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楷体" w:hAnsi="楷体" w:eastAsia="楷体"/>
          <w:color w:val="000000" w:themeColor="text1"/>
          <w:sz w:val="32"/>
          <w:szCs w:val="32"/>
          <w:u w:val="none"/>
          <w14:textFill>
            <w14:solidFill>
              <w14:schemeClr w14:val="tx1"/>
            </w14:solidFill>
          </w14:textFill>
        </w:rPr>
      </w:pPr>
      <w:r>
        <w:rPr>
          <w:rFonts w:hint="eastAsia" w:ascii="楷体" w:hAnsi="楷体" w:eastAsia="楷体"/>
          <w:color w:val="000000" w:themeColor="text1"/>
          <w:sz w:val="32"/>
          <w:szCs w:val="32"/>
          <w:u w:val="none"/>
          <w14:textFill>
            <w14:solidFill>
              <w14:schemeClr w14:val="tx1"/>
            </w14:solidFill>
          </w14:textFill>
        </w:rPr>
        <w:t>（二）一般公共预算当年拨款结构情况</w:t>
      </w:r>
    </w:p>
    <w:p>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教育支出（类）支出</w:t>
      </w:r>
      <w:r>
        <w:rPr>
          <w:rFonts w:hint="eastAsia" w:ascii="仿宋_GB2312" w:hAnsi="黑体" w:eastAsia="仿宋_GB2312" w:cs="仿宋_GB2312"/>
          <w:sz w:val="32"/>
          <w:szCs w:val="32"/>
          <w:lang w:val="en-US" w:eastAsia="zh-CN"/>
        </w:rPr>
        <w:t>1226.86</w:t>
      </w:r>
      <w:r>
        <w:rPr>
          <w:rFonts w:hint="eastAsia" w:ascii="仿宋_GB2312" w:hAnsi="黑体" w:eastAsia="仿宋_GB2312" w:cs="仿宋_GB2312"/>
          <w:sz w:val="32"/>
          <w:szCs w:val="32"/>
        </w:rPr>
        <w:t>万元，占</w:t>
      </w:r>
      <w:r>
        <w:rPr>
          <w:rFonts w:hint="eastAsia" w:ascii="仿宋_GB2312" w:hAnsi="黑体" w:eastAsia="仿宋_GB2312" w:cs="仿宋_GB2312"/>
          <w:sz w:val="32"/>
          <w:szCs w:val="32"/>
          <w:lang w:val="en-US" w:eastAsia="zh-CN"/>
        </w:rPr>
        <w:t>65.1</w:t>
      </w:r>
      <w:r>
        <w:rPr>
          <w:rFonts w:ascii="仿宋_GB2312" w:hAnsi="黑体" w:eastAsia="仿宋_GB2312" w:cs="仿宋_GB2312"/>
          <w:sz w:val="32"/>
          <w:szCs w:val="32"/>
        </w:rPr>
        <w:t>%</w:t>
      </w:r>
      <w:r>
        <w:rPr>
          <w:rFonts w:hint="eastAsia" w:ascii="仿宋_GB2312" w:hAnsi="黑体" w:eastAsia="仿宋_GB2312" w:cs="仿宋_GB2312"/>
          <w:sz w:val="32"/>
          <w:szCs w:val="32"/>
        </w:rPr>
        <w:t>；社会保障和就业支出（类）</w:t>
      </w:r>
      <w:r>
        <w:rPr>
          <w:rFonts w:hint="eastAsia" w:ascii="仿宋_GB2312" w:hAnsi="黑体" w:eastAsia="仿宋_GB2312" w:cs="仿宋_GB2312"/>
          <w:sz w:val="32"/>
          <w:szCs w:val="32"/>
          <w:lang w:val="en-US" w:eastAsia="zh-CN"/>
        </w:rPr>
        <w:t>258.8</w:t>
      </w:r>
      <w:r>
        <w:rPr>
          <w:rFonts w:hint="eastAsia" w:ascii="仿宋_GB2312" w:hAnsi="黑体" w:eastAsia="仿宋_GB2312" w:cs="仿宋_GB2312"/>
          <w:sz w:val="32"/>
          <w:szCs w:val="32"/>
        </w:rPr>
        <w:t>万元，</w:t>
      </w:r>
      <w:r>
        <w:rPr>
          <w:rFonts w:hint="eastAsia" w:ascii="仿宋_GB2312" w:hAnsi="黑体" w:eastAsia="仿宋_GB2312" w:cs="仿宋_GB2312"/>
          <w:sz w:val="32"/>
          <w:szCs w:val="32"/>
          <w:lang w:val="en-US" w:eastAsia="zh-CN"/>
        </w:rPr>
        <w:t>占13.71</w:t>
      </w:r>
      <w:r>
        <w:rPr>
          <w:rFonts w:ascii="仿宋_GB2312" w:hAnsi="黑体" w:eastAsia="仿宋_GB2312" w:cs="仿宋_GB2312"/>
          <w:sz w:val="32"/>
          <w:szCs w:val="32"/>
        </w:rPr>
        <w:t>%</w:t>
      </w:r>
      <w:r>
        <w:rPr>
          <w:rFonts w:hint="eastAsia" w:ascii="仿宋_GB2312" w:hAnsi="黑体" w:eastAsia="仿宋_GB2312" w:cs="仿宋_GB2312"/>
          <w:sz w:val="32"/>
          <w:szCs w:val="32"/>
        </w:rPr>
        <w:t>；卫生健康支出（类）</w:t>
      </w:r>
      <w:r>
        <w:rPr>
          <w:rFonts w:hint="eastAsia" w:ascii="仿宋_GB2312" w:hAnsi="黑体" w:eastAsia="仿宋_GB2312" w:cs="仿宋_GB2312"/>
          <w:sz w:val="32"/>
          <w:szCs w:val="32"/>
          <w:lang w:val="en-US" w:eastAsia="zh-CN"/>
        </w:rPr>
        <w:t>278.09</w:t>
      </w:r>
      <w:r>
        <w:rPr>
          <w:rFonts w:hint="eastAsia" w:ascii="仿宋_GB2312" w:hAnsi="黑体" w:eastAsia="仿宋_GB2312" w:cs="仿宋_GB2312"/>
          <w:sz w:val="32"/>
          <w:szCs w:val="32"/>
        </w:rPr>
        <w:t>万元，占</w:t>
      </w:r>
      <w:r>
        <w:rPr>
          <w:rFonts w:hint="eastAsia" w:ascii="仿宋_GB2312" w:hAnsi="黑体" w:eastAsia="仿宋_GB2312" w:cs="仿宋_GB2312"/>
          <w:sz w:val="32"/>
          <w:szCs w:val="32"/>
          <w:lang w:val="en-US" w:eastAsia="zh-CN"/>
        </w:rPr>
        <w:t>14.73</w:t>
      </w:r>
      <w:r>
        <w:rPr>
          <w:rFonts w:ascii="仿宋_GB2312" w:hAnsi="黑体" w:eastAsia="仿宋_GB2312" w:cs="仿宋_GB2312"/>
          <w:sz w:val="32"/>
          <w:szCs w:val="32"/>
        </w:rPr>
        <w:t>%</w:t>
      </w:r>
      <w:r>
        <w:rPr>
          <w:rFonts w:hint="eastAsia" w:ascii="仿宋_GB2312" w:hAnsi="黑体" w:eastAsia="仿宋_GB2312" w:cs="仿宋_GB2312"/>
          <w:sz w:val="32"/>
          <w:szCs w:val="32"/>
        </w:rPr>
        <w:t>；住房保障支出（类）</w:t>
      </w:r>
      <w:r>
        <w:rPr>
          <w:rFonts w:hint="eastAsia" w:ascii="仿宋_GB2312" w:hAnsi="黑体" w:eastAsia="仿宋_GB2312" w:cs="仿宋_GB2312"/>
          <w:sz w:val="32"/>
          <w:szCs w:val="32"/>
          <w:lang w:val="en-US" w:eastAsia="zh-CN"/>
        </w:rPr>
        <w:t>123.83</w:t>
      </w:r>
      <w:r>
        <w:rPr>
          <w:rFonts w:hint="eastAsia" w:ascii="仿宋_GB2312" w:hAnsi="黑体" w:eastAsia="仿宋_GB2312" w:cs="仿宋_GB2312"/>
          <w:sz w:val="32"/>
          <w:szCs w:val="32"/>
        </w:rPr>
        <w:t>万元，占</w:t>
      </w:r>
      <w:r>
        <w:rPr>
          <w:rFonts w:hint="eastAsia" w:ascii="仿宋_GB2312" w:hAnsi="黑体" w:eastAsia="仿宋_GB2312" w:cs="仿宋_GB2312"/>
          <w:sz w:val="32"/>
          <w:szCs w:val="32"/>
          <w:lang w:val="en-US" w:eastAsia="zh-CN"/>
        </w:rPr>
        <w:t>6.56</w:t>
      </w:r>
      <w:r>
        <w:rPr>
          <w:rFonts w:ascii="仿宋_GB2312" w:hAnsi="黑体" w:eastAsia="仿宋_GB2312" w:cs="仿宋_GB2312"/>
          <w:sz w:val="32"/>
          <w:szCs w:val="32"/>
        </w:rPr>
        <w:t>%</w:t>
      </w:r>
      <w:r>
        <w:rPr>
          <w:rFonts w:hint="eastAsia" w:ascii="仿宋_GB2312" w:hAnsi="黑体" w:eastAsia="仿宋_GB2312" w:cs="仿宋_GB2312"/>
          <w:sz w:val="32"/>
          <w:szCs w:val="32"/>
        </w:rPr>
        <w:t>。</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楷体" w:hAnsi="楷体" w:eastAsia="楷体"/>
          <w:sz w:val="32"/>
          <w:szCs w:val="32"/>
          <w:u w:val="none"/>
        </w:rPr>
      </w:pPr>
      <w:r>
        <w:rPr>
          <w:rFonts w:hint="eastAsia" w:ascii="楷体" w:hAnsi="楷体" w:eastAsia="楷体"/>
          <w:sz w:val="32"/>
          <w:szCs w:val="32"/>
          <w:u w:val="none"/>
        </w:rPr>
        <w:t>（三）一般公共预算当年拨款具体使用情况</w:t>
      </w:r>
    </w:p>
    <w:p>
      <w:pPr>
        <w:keepNext w:val="0"/>
        <w:keepLines w:val="0"/>
        <w:pageBreakBefore w:val="0"/>
        <w:kinsoku/>
        <w:wordWrap/>
        <w:overflowPunct/>
        <w:topLinePunct w:val="0"/>
        <w:autoSpaceDE/>
        <w:autoSpaceDN/>
        <w:bidi w:val="0"/>
        <w:adjustRightInd/>
        <w:snapToGrid/>
        <w:spacing w:line="590" w:lineRule="exact"/>
        <w:ind w:firstLine="800" w:firstLineChars="250"/>
        <w:jc w:val="both"/>
        <w:textAlignment w:val="auto"/>
        <w:rPr>
          <w:rFonts w:hint="eastAsia" w:ascii="仿宋_GB2312" w:hAnsi="黑体" w:eastAsia="仿宋_GB2312"/>
          <w:sz w:val="32"/>
          <w:szCs w:val="32"/>
          <w:u w:val="none"/>
        </w:rPr>
      </w:pPr>
      <w:r>
        <w:rPr>
          <w:rFonts w:hint="eastAsia" w:ascii="仿宋_GB2312" w:hAnsi="黑体" w:eastAsia="仿宋_GB2312"/>
          <w:sz w:val="32"/>
          <w:szCs w:val="32"/>
          <w:u w:val="none"/>
        </w:rPr>
        <w:t>1.</w:t>
      </w:r>
      <w:r>
        <w:rPr>
          <w:rFonts w:hint="eastAsia" w:ascii="仿宋_GB2312" w:hAnsi="黑体" w:eastAsia="仿宋_GB2312"/>
          <w:sz w:val="32"/>
          <w:szCs w:val="32"/>
          <w:u w:val="none"/>
          <w:lang w:val="en-US" w:eastAsia="zh-CN"/>
        </w:rPr>
        <w:t>教育支出</w:t>
      </w:r>
      <w:r>
        <w:rPr>
          <w:rFonts w:hint="eastAsia" w:ascii="仿宋_GB2312" w:hAnsi="黑体" w:eastAsia="仿宋_GB2312"/>
          <w:sz w:val="32"/>
          <w:szCs w:val="32"/>
          <w:u w:val="none"/>
        </w:rPr>
        <w:t>（类）</w:t>
      </w:r>
      <w:r>
        <w:rPr>
          <w:rFonts w:hint="eastAsia" w:ascii="仿宋_GB2312" w:hAnsi="黑体" w:eastAsia="仿宋_GB2312"/>
          <w:sz w:val="32"/>
          <w:szCs w:val="32"/>
          <w:u w:val="none"/>
          <w:lang w:val="en-US" w:eastAsia="zh-CN"/>
        </w:rPr>
        <w:t>普通教育款</w:t>
      </w:r>
      <w:r>
        <w:rPr>
          <w:rFonts w:hint="eastAsia" w:ascii="仿宋_GB2312" w:hAnsi="黑体" w:eastAsia="仿宋_GB2312"/>
          <w:sz w:val="32"/>
          <w:szCs w:val="32"/>
          <w:u w:val="none"/>
        </w:rPr>
        <w:t>（款）</w:t>
      </w:r>
      <w:r>
        <w:rPr>
          <w:rFonts w:hint="eastAsia" w:ascii="仿宋_GB2312" w:hAnsi="黑体" w:eastAsia="仿宋_GB2312"/>
          <w:sz w:val="32"/>
          <w:szCs w:val="32"/>
          <w:u w:val="none"/>
          <w:lang w:val="en-US" w:eastAsia="zh-CN"/>
        </w:rPr>
        <w:t>小学教育</w:t>
      </w:r>
      <w:r>
        <w:rPr>
          <w:rFonts w:hint="eastAsia" w:ascii="仿宋_GB2312" w:hAnsi="黑体" w:eastAsia="仿宋_GB2312"/>
          <w:sz w:val="32"/>
          <w:szCs w:val="32"/>
          <w:u w:val="none"/>
        </w:rPr>
        <w:t>（项）</w:t>
      </w:r>
      <w:r>
        <w:rPr>
          <w:rFonts w:hint="eastAsia" w:ascii="仿宋_GB2312" w:hAnsi="黑体" w:eastAsia="仿宋_GB2312"/>
          <w:sz w:val="32"/>
          <w:szCs w:val="32"/>
          <w:u w:val="none"/>
          <w:lang w:val="en-US" w:eastAsia="zh-CN"/>
        </w:rPr>
        <w:t>2026</w:t>
      </w:r>
      <w:r>
        <w:rPr>
          <w:rFonts w:hint="eastAsia" w:ascii="仿宋_GB2312" w:hAnsi="黑体" w:eastAsia="仿宋_GB2312"/>
          <w:sz w:val="32"/>
          <w:szCs w:val="32"/>
          <w:u w:val="none"/>
        </w:rPr>
        <w:t>年预算数为</w:t>
      </w:r>
      <w:r>
        <w:rPr>
          <w:rFonts w:hint="eastAsia" w:ascii="仿宋_GB2312" w:hAnsi="黑体" w:eastAsia="仿宋_GB2312"/>
          <w:sz w:val="32"/>
          <w:szCs w:val="32"/>
          <w:u w:val="none"/>
          <w:lang w:val="en-US" w:eastAsia="zh-CN"/>
        </w:rPr>
        <w:t>1226.86</w:t>
      </w:r>
      <w:r>
        <w:rPr>
          <w:rFonts w:hint="eastAsia" w:ascii="仿宋_GB2312" w:hAnsi="黑体" w:eastAsia="仿宋_GB2312"/>
          <w:sz w:val="32"/>
          <w:szCs w:val="32"/>
          <w:u w:val="none"/>
        </w:rPr>
        <w:t>万元，比上年预算数减少</w:t>
      </w:r>
      <w:r>
        <w:rPr>
          <w:rFonts w:hint="eastAsia" w:ascii="仿宋_GB2312" w:hAnsi="黑体" w:eastAsia="仿宋_GB2312"/>
          <w:sz w:val="32"/>
          <w:szCs w:val="32"/>
          <w:u w:val="none"/>
          <w:lang w:val="en-US" w:eastAsia="zh-CN"/>
        </w:rPr>
        <w:t>352.33</w:t>
      </w:r>
      <w:r>
        <w:rPr>
          <w:rFonts w:hint="eastAsia" w:ascii="仿宋_GB2312" w:hAnsi="黑体" w:eastAsia="仿宋_GB2312"/>
          <w:sz w:val="32"/>
          <w:szCs w:val="32"/>
          <w:u w:val="none"/>
        </w:rPr>
        <w:t>万元，主要是</w:t>
      </w:r>
      <w:r>
        <w:rPr>
          <w:rFonts w:hint="eastAsia" w:ascii="仿宋_GB2312" w:hAnsi="黑体" w:eastAsia="仿宋_GB2312"/>
          <w:sz w:val="32"/>
          <w:szCs w:val="32"/>
          <w:u w:val="none"/>
          <w:lang w:val="en-US" w:eastAsia="zh-CN"/>
        </w:rPr>
        <w:t>教师编制人员减少</w:t>
      </w:r>
      <w:r>
        <w:rPr>
          <w:rFonts w:hint="eastAsia" w:ascii="仿宋_GB2312" w:hAnsi="黑体" w:eastAsia="仿宋_GB2312"/>
          <w:sz w:val="32"/>
          <w:szCs w:val="32"/>
          <w:u w:val="none"/>
          <w:lang w:eastAsia="zh-CN"/>
        </w:rPr>
        <w:t>。</w:t>
      </w:r>
    </w:p>
    <w:p>
      <w:pPr>
        <w:ind w:firstLine="640" w:firstLineChars="200"/>
        <w:rPr>
          <w:rFonts w:hint="eastAsia" w:ascii="仿宋_GB2312" w:hAnsi="黑体" w:eastAsia="仿宋_GB2312" w:cs="仿宋_GB2312"/>
          <w:sz w:val="32"/>
          <w:szCs w:val="32"/>
          <w:lang w:val="en-US" w:eastAsia="zh-CN"/>
        </w:rPr>
      </w:pPr>
      <w:r>
        <w:rPr>
          <w:rFonts w:ascii="仿宋_GB2312" w:hAnsi="黑体" w:eastAsia="仿宋_GB2312" w:cs="仿宋_GB2312"/>
          <w:sz w:val="32"/>
          <w:szCs w:val="32"/>
        </w:rPr>
        <w:t xml:space="preserve">2. </w:t>
      </w:r>
      <w:r>
        <w:rPr>
          <w:rFonts w:hint="eastAsia" w:ascii="仿宋_GB2312" w:hAnsi="黑体" w:eastAsia="仿宋_GB2312" w:cs="仿宋_GB2312"/>
          <w:sz w:val="32"/>
          <w:szCs w:val="32"/>
        </w:rPr>
        <w:t>社会保障和就业支出（类）行政事业单位离退休（款）机关事业单位基本养老保险缴费支出（项）</w:t>
      </w:r>
      <w:r>
        <w:rPr>
          <w:rFonts w:hint="eastAsia" w:ascii="仿宋_GB2312" w:hAnsi="黑体" w:eastAsia="仿宋_GB2312" w:cs="仿宋_GB2312"/>
          <w:sz w:val="32"/>
          <w:szCs w:val="32"/>
          <w:lang w:eastAsia="zh-CN"/>
        </w:rPr>
        <w:t>202</w:t>
      </w:r>
      <w:r>
        <w:rPr>
          <w:rFonts w:hint="eastAsia" w:ascii="仿宋_GB2312" w:hAnsi="黑体" w:eastAsia="仿宋_GB2312" w:cs="仿宋_GB2312"/>
          <w:sz w:val="32"/>
          <w:szCs w:val="32"/>
          <w:lang w:val="en-US" w:eastAsia="zh-CN"/>
        </w:rPr>
        <w:t>6</w:t>
      </w:r>
      <w:r>
        <w:rPr>
          <w:rFonts w:hint="eastAsia" w:ascii="仿宋_GB2312" w:hAnsi="黑体" w:eastAsia="仿宋_GB2312" w:cs="仿宋_GB2312"/>
          <w:sz w:val="32"/>
          <w:szCs w:val="32"/>
        </w:rPr>
        <w:t>年预算数为</w:t>
      </w:r>
      <w:r>
        <w:rPr>
          <w:rFonts w:hint="eastAsia" w:ascii="仿宋_GB2312" w:hAnsi="黑体" w:eastAsia="仿宋_GB2312" w:cs="仿宋_GB2312"/>
          <w:sz w:val="32"/>
          <w:szCs w:val="32"/>
          <w:lang w:val="en-US" w:eastAsia="zh-CN"/>
        </w:rPr>
        <w:t>170.45</w:t>
      </w:r>
      <w:r>
        <w:rPr>
          <w:rFonts w:hint="eastAsia" w:ascii="仿宋_GB2312" w:hAnsi="黑体" w:eastAsia="仿宋_GB2312" w:cs="仿宋_GB2312"/>
          <w:sz w:val="32"/>
          <w:szCs w:val="32"/>
        </w:rPr>
        <w:t>万元，比上年预算数</w:t>
      </w:r>
      <w:r>
        <w:rPr>
          <w:rFonts w:hint="eastAsia" w:ascii="仿宋_GB2312" w:hAnsi="黑体" w:eastAsia="仿宋_GB2312" w:cs="仿宋_GB2312"/>
          <w:sz w:val="32"/>
          <w:szCs w:val="32"/>
          <w:lang w:val="en-US" w:eastAsia="zh-CN"/>
        </w:rPr>
        <w:t>减少122.95</w:t>
      </w:r>
      <w:r>
        <w:rPr>
          <w:rFonts w:hint="eastAsia" w:ascii="仿宋_GB2312" w:hAnsi="黑体" w:eastAsia="仿宋_GB2312" w:cs="仿宋_GB2312"/>
          <w:sz w:val="32"/>
          <w:szCs w:val="32"/>
        </w:rPr>
        <w:t>万元，主要是</w:t>
      </w:r>
      <w:r>
        <w:rPr>
          <w:rFonts w:hint="eastAsia" w:ascii="仿宋_GB2312" w:hAnsi="黑体" w:eastAsia="仿宋_GB2312" w:cs="仿宋_GB2312"/>
          <w:sz w:val="32"/>
          <w:szCs w:val="32"/>
          <w:lang w:val="en-US" w:eastAsia="zh-CN"/>
        </w:rPr>
        <w:t>编制</w:t>
      </w:r>
      <w:r>
        <w:rPr>
          <w:rFonts w:hint="eastAsia" w:ascii="仿宋_GB2312" w:hAnsi="黑体" w:eastAsia="仿宋_GB2312" w:cs="仿宋_GB2312"/>
          <w:sz w:val="32"/>
          <w:szCs w:val="32"/>
        </w:rPr>
        <w:t>人员</w:t>
      </w:r>
      <w:r>
        <w:rPr>
          <w:rFonts w:hint="eastAsia" w:ascii="仿宋_GB2312" w:hAnsi="黑体" w:eastAsia="仿宋_GB2312" w:cs="仿宋_GB2312"/>
          <w:sz w:val="32"/>
          <w:szCs w:val="32"/>
          <w:lang w:val="en-US" w:eastAsia="zh-CN"/>
        </w:rPr>
        <w:t>减少。</w:t>
      </w:r>
    </w:p>
    <w:p>
      <w:pPr>
        <w:ind w:firstLine="640" w:firstLineChars="200"/>
        <w:rPr>
          <w:rFonts w:hint="eastAsia" w:ascii="仿宋_GB2312" w:hAnsi="黑体" w:eastAsia="仿宋_GB2312" w:cs="仿宋_GB2312"/>
          <w:sz w:val="32"/>
          <w:szCs w:val="32"/>
        </w:rPr>
      </w:pPr>
      <w:r>
        <w:rPr>
          <w:rFonts w:ascii="仿宋_GB2312" w:hAnsi="黑体" w:eastAsia="仿宋_GB2312" w:cs="仿宋_GB2312"/>
          <w:sz w:val="32"/>
          <w:szCs w:val="32"/>
        </w:rPr>
        <w:t xml:space="preserve">3. </w:t>
      </w:r>
      <w:r>
        <w:rPr>
          <w:rFonts w:hint="eastAsia" w:ascii="仿宋_GB2312" w:hAnsi="黑体" w:eastAsia="仿宋_GB2312" w:cs="仿宋_GB2312"/>
          <w:sz w:val="32"/>
          <w:szCs w:val="32"/>
        </w:rPr>
        <w:t>社会保障和就业支出（类）抚恤（款）其他优抚支出（项）</w:t>
      </w:r>
      <w:r>
        <w:rPr>
          <w:rFonts w:hint="eastAsia" w:ascii="仿宋_GB2312" w:hAnsi="黑体" w:eastAsia="仿宋_GB2312" w:cs="仿宋_GB2312"/>
          <w:sz w:val="32"/>
          <w:szCs w:val="32"/>
          <w:lang w:eastAsia="zh-CN"/>
        </w:rPr>
        <w:t>202</w:t>
      </w:r>
      <w:r>
        <w:rPr>
          <w:rFonts w:hint="eastAsia" w:ascii="仿宋_GB2312" w:hAnsi="黑体" w:eastAsia="仿宋_GB2312" w:cs="仿宋_GB2312"/>
          <w:sz w:val="32"/>
          <w:szCs w:val="32"/>
          <w:lang w:val="en-US" w:eastAsia="zh-CN"/>
        </w:rPr>
        <w:t>6</w:t>
      </w:r>
      <w:r>
        <w:rPr>
          <w:rFonts w:hint="eastAsia" w:ascii="仿宋_GB2312" w:hAnsi="黑体" w:eastAsia="仿宋_GB2312" w:cs="仿宋_GB2312"/>
          <w:sz w:val="32"/>
          <w:szCs w:val="32"/>
        </w:rPr>
        <w:t>年预算数为</w:t>
      </w:r>
      <w:r>
        <w:rPr>
          <w:rFonts w:hint="eastAsia" w:ascii="仿宋_GB2312" w:hAnsi="黑体" w:eastAsia="仿宋_GB2312" w:cs="仿宋_GB2312"/>
          <w:sz w:val="32"/>
          <w:szCs w:val="32"/>
          <w:lang w:val="en-US" w:eastAsia="zh-CN"/>
        </w:rPr>
        <w:t>5.57</w:t>
      </w:r>
      <w:r>
        <w:rPr>
          <w:rFonts w:hint="eastAsia" w:ascii="仿宋_GB2312" w:hAnsi="黑体" w:eastAsia="仿宋_GB2312" w:cs="仿宋_GB2312"/>
          <w:sz w:val="32"/>
          <w:szCs w:val="32"/>
        </w:rPr>
        <w:t>万元，比上年预算数</w:t>
      </w:r>
      <w:r>
        <w:rPr>
          <w:rFonts w:hint="eastAsia" w:ascii="仿宋_GB2312" w:hAnsi="黑体" w:eastAsia="仿宋_GB2312" w:cs="仿宋_GB2312"/>
          <w:sz w:val="32"/>
          <w:szCs w:val="32"/>
          <w:lang w:val="en-US" w:eastAsia="zh-CN"/>
        </w:rPr>
        <w:t>增加0.53</w:t>
      </w:r>
      <w:r>
        <w:rPr>
          <w:rFonts w:hint="eastAsia" w:ascii="仿宋_GB2312" w:hAnsi="黑体" w:eastAsia="仿宋_GB2312" w:cs="仿宋_GB2312"/>
          <w:sz w:val="32"/>
          <w:szCs w:val="32"/>
        </w:rPr>
        <w:t>万元，主要是财政抚养人员</w:t>
      </w:r>
      <w:r>
        <w:rPr>
          <w:rFonts w:hint="eastAsia" w:ascii="仿宋_GB2312" w:hAnsi="黑体" w:eastAsia="仿宋_GB2312" w:cs="仿宋_GB2312"/>
          <w:sz w:val="32"/>
          <w:szCs w:val="32"/>
          <w:lang w:val="en-US" w:eastAsia="zh-CN"/>
        </w:rPr>
        <w:t>增加</w:t>
      </w:r>
      <w:r>
        <w:rPr>
          <w:rFonts w:hint="eastAsia" w:ascii="仿宋_GB2312" w:hAnsi="黑体" w:eastAsia="仿宋_GB2312" w:cs="仿宋_GB2312"/>
          <w:sz w:val="32"/>
          <w:szCs w:val="32"/>
        </w:rPr>
        <w:t>。</w:t>
      </w:r>
    </w:p>
    <w:p>
      <w:pPr>
        <w:ind w:firstLine="640"/>
        <w:rPr>
          <w:rFonts w:hint="eastAsia" w:ascii="仿宋_GB2312" w:hAnsi="黑体" w:eastAsia="仿宋_GB2312" w:cs="仿宋_GB2312"/>
          <w:sz w:val="32"/>
          <w:szCs w:val="32"/>
        </w:rPr>
      </w:pPr>
      <w:r>
        <w:rPr>
          <w:rFonts w:hint="eastAsia" w:ascii="仿宋_GB2312" w:hAnsi="黑体" w:eastAsia="仿宋_GB2312"/>
          <w:sz w:val="32"/>
          <w:szCs w:val="32"/>
          <w:lang w:val="en-US" w:eastAsia="zh-CN"/>
        </w:rPr>
        <w:t>4</w:t>
      </w:r>
      <w:r>
        <w:rPr>
          <w:rFonts w:hint="eastAsia" w:ascii="仿宋_GB2312" w:hAnsi="黑体" w:eastAsia="仿宋_GB2312"/>
          <w:sz w:val="32"/>
          <w:szCs w:val="32"/>
        </w:rPr>
        <w:t>.一般公共服务卫生健康支出（类）行政事业单位医疗（款）事业单位医疗（项）</w:t>
      </w:r>
      <w:r>
        <w:rPr>
          <w:rFonts w:hint="eastAsia" w:ascii="仿宋_GB2312" w:hAnsi="黑体" w:eastAsia="仿宋_GB2312"/>
          <w:sz w:val="32"/>
          <w:szCs w:val="32"/>
          <w:lang w:eastAsia="zh-CN"/>
        </w:rPr>
        <w:t>202</w:t>
      </w:r>
      <w:r>
        <w:rPr>
          <w:rFonts w:hint="eastAsia" w:ascii="仿宋_GB2312" w:hAnsi="黑体" w:eastAsia="仿宋_GB2312"/>
          <w:sz w:val="32"/>
          <w:szCs w:val="32"/>
          <w:lang w:val="en-US" w:eastAsia="zh-CN"/>
        </w:rPr>
        <w:t>6</w:t>
      </w:r>
      <w:r>
        <w:rPr>
          <w:rFonts w:hint="eastAsia" w:ascii="仿宋_GB2312" w:hAnsi="黑体" w:eastAsia="仿宋_GB2312"/>
          <w:sz w:val="32"/>
          <w:szCs w:val="32"/>
        </w:rPr>
        <w:t>年预算数</w:t>
      </w:r>
      <w:r>
        <w:rPr>
          <w:rFonts w:hint="eastAsia" w:ascii="仿宋_GB2312" w:hAnsi="黑体" w:eastAsia="仿宋_GB2312"/>
          <w:sz w:val="32"/>
          <w:szCs w:val="32"/>
          <w:lang w:val="en-US" w:eastAsia="zh-CN"/>
        </w:rPr>
        <w:t>278.09</w:t>
      </w:r>
      <w:r>
        <w:rPr>
          <w:rFonts w:hint="eastAsia" w:ascii="仿宋_GB2312" w:hAnsi="黑体" w:eastAsia="仿宋_GB2312"/>
          <w:sz w:val="32"/>
          <w:szCs w:val="32"/>
        </w:rPr>
        <w:t>万元，其中事业单位医疗费</w:t>
      </w:r>
      <w:r>
        <w:rPr>
          <w:rFonts w:hint="eastAsia" w:ascii="仿宋_GB2312" w:hAnsi="黑体" w:eastAsia="仿宋_GB2312"/>
          <w:sz w:val="32"/>
          <w:szCs w:val="32"/>
          <w:lang w:val="en-US" w:eastAsia="zh-CN"/>
        </w:rPr>
        <w:t>57.33</w:t>
      </w:r>
      <w:r>
        <w:rPr>
          <w:rFonts w:hint="eastAsia" w:ascii="仿宋_GB2312" w:hAnsi="黑体" w:eastAsia="仿宋_GB2312"/>
          <w:sz w:val="32"/>
          <w:szCs w:val="32"/>
        </w:rPr>
        <w:t>万元；公务员医疗补助费</w:t>
      </w:r>
      <w:r>
        <w:rPr>
          <w:rFonts w:hint="eastAsia" w:ascii="仿宋_GB2312" w:hAnsi="黑体" w:eastAsia="仿宋_GB2312"/>
          <w:sz w:val="32"/>
          <w:szCs w:val="32"/>
          <w:lang w:val="en-US" w:eastAsia="zh-CN"/>
        </w:rPr>
        <w:t>211.12</w:t>
      </w:r>
      <w:r>
        <w:rPr>
          <w:rFonts w:hint="eastAsia" w:ascii="仿宋_GB2312" w:hAnsi="黑体" w:eastAsia="仿宋_GB2312"/>
          <w:sz w:val="32"/>
          <w:szCs w:val="32"/>
        </w:rPr>
        <w:t>万元；其他行政事业单位医疗支出9.</w:t>
      </w:r>
      <w:r>
        <w:rPr>
          <w:rFonts w:hint="eastAsia" w:ascii="仿宋_GB2312" w:hAnsi="黑体" w:eastAsia="仿宋_GB2312"/>
          <w:sz w:val="32"/>
          <w:szCs w:val="32"/>
          <w:lang w:val="en-US" w:eastAsia="zh-CN"/>
        </w:rPr>
        <w:t>64</w:t>
      </w:r>
      <w:r>
        <w:rPr>
          <w:rFonts w:hint="eastAsia" w:ascii="仿宋_GB2312" w:hAnsi="黑体" w:eastAsia="仿宋_GB2312"/>
          <w:sz w:val="32"/>
          <w:szCs w:val="32"/>
        </w:rPr>
        <w:t>万元，比上年预算</w:t>
      </w:r>
      <w:r>
        <w:rPr>
          <w:rFonts w:hint="eastAsia" w:ascii="仿宋_GB2312" w:hAnsi="黑体" w:eastAsia="仿宋_GB2312"/>
          <w:sz w:val="32"/>
          <w:szCs w:val="32"/>
          <w:lang w:val="en-US" w:eastAsia="zh-CN"/>
        </w:rPr>
        <w:t>减少16.8</w:t>
      </w:r>
      <w:r>
        <w:rPr>
          <w:rFonts w:hint="eastAsia" w:ascii="仿宋_GB2312" w:hAnsi="黑体" w:eastAsia="仿宋_GB2312"/>
          <w:sz w:val="32"/>
          <w:szCs w:val="32"/>
        </w:rPr>
        <w:t>万元，主要是人员</w:t>
      </w:r>
      <w:r>
        <w:rPr>
          <w:rFonts w:hint="eastAsia" w:ascii="仿宋_GB2312" w:hAnsi="黑体" w:eastAsia="仿宋_GB2312"/>
          <w:sz w:val="32"/>
          <w:szCs w:val="32"/>
          <w:lang w:val="en-US" w:eastAsia="zh-CN"/>
        </w:rPr>
        <w:t>减少</w:t>
      </w:r>
      <w:r>
        <w:rPr>
          <w:rFonts w:hint="eastAsia" w:ascii="仿宋_GB2312" w:hAnsi="黑体" w:eastAsia="仿宋_GB2312"/>
          <w:sz w:val="32"/>
          <w:szCs w:val="32"/>
          <w:lang w:eastAsia="zh-CN"/>
        </w:rPr>
        <w:t>，</w:t>
      </w:r>
      <w:r>
        <w:rPr>
          <w:rFonts w:hint="eastAsia" w:ascii="仿宋_GB2312" w:hAnsi="黑体" w:eastAsia="仿宋_GB2312"/>
          <w:sz w:val="32"/>
          <w:szCs w:val="32"/>
        </w:rPr>
        <w:t>医疗补助</w:t>
      </w:r>
      <w:r>
        <w:rPr>
          <w:rFonts w:hint="eastAsia" w:ascii="仿宋_GB2312" w:hAnsi="黑体" w:eastAsia="仿宋_GB2312"/>
          <w:sz w:val="32"/>
          <w:szCs w:val="32"/>
          <w:lang w:eastAsia="zh-CN"/>
        </w:rPr>
        <w:t>费也</w:t>
      </w:r>
      <w:r>
        <w:rPr>
          <w:rFonts w:hint="eastAsia" w:ascii="仿宋_GB2312" w:hAnsi="黑体" w:eastAsia="仿宋_GB2312" w:cs="仿宋_GB2312"/>
          <w:sz w:val="32"/>
          <w:szCs w:val="32"/>
        </w:rPr>
        <w:t>随之</w:t>
      </w:r>
      <w:r>
        <w:rPr>
          <w:rFonts w:hint="eastAsia" w:ascii="仿宋_GB2312" w:hAnsi="黑体" w:eastAsia="仿宋_GB2312" w:cs="仿宋_GB2312"/>
          <w:sz w:val="32"/>
          <w:szCs w:val="32"/>
          <w:lang w:val="en-US" w:eastAsia="zh-CN"/>
        </w:rPr>
        <w:t>减少</w:t>
      </w:r>
      <w:r>
        <w:rPr>
          <w:rFonts w:hint="eastAsia" w:ascii="仿宋_GB2312" w:hAnsi="黑体" w:eastAsia="仿宋_GB2312"/>
          <w:sz w:val="32"/>
          <w:szCs w:val="32"/>
        </w:rPr>
        <w:t>。</w:t>
      </w:r>
    </w:p>
    <w:p>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lang w:val="en-US" w:eastAsia="zh-CN"/>
        </w:rPr>
        <w:t>5</w:t>
      </w:r>
      <w:r>
        <w:rPr>
          <w:rFonts w:ascii="仿宋_GB2312" w:hAnsi="黑体" w:eastAsia="仿宋_GB2312" w:cs="仿宋_GB2312"/>
          <w:sz w:val="32"/>
          <w:szCs w:val="32"/>
        </w:rPr>
        <w:t xml:space="preserve">. </w:t>
      </w:r>
      <w:r>
        <w:rPr>
          <w:rFonts w:hint="eastAsia" w:ascii="仿宋_GB2312" w:hAnsi="黑体" w:eastAsia="仿宋_GB2312" w:cs="仿宋_GB2312"/>
          <w:sz w:val="32"/>
          <w:szCs w:val="32"/>
        </w:rPr>
        <w:t>住房保障支出（类）住房改革支出（款）住房公积金（项）</w:t>
      </w:r>
      <w:r>
        <w:rPr>
          <w:rFonts w:hint="eastAsia" w:ascii="仿宋_GB2312" w:hAnsi="黑体" w:eastAsia="仿宋_GB2312" w:cs="仿宋_GB2312"/>
          <w:sz w:val="32"/>
          <w:szCs w:val="32"/>
          <w:lang w:eastAsia="zh-CN"/>
        </w:rPr>
        <w:t>202</w:t>
      </w:r>
      <w:r>
        <w:rPr>
          <w:rFonts w:hint="eastAsia" w:ascii="仿宋_GB2312" w:hAnsi="黑体" w:eastAsia="仿宋_GB2312" w:cs="仿宋_GB2312"/>
          <w:sz w:val="32"/>
          <w:szCs w:val="32"/>
          <w:lang w:val="en-US" w:eastAsia="zh-CN"/>
        </w:rPr>
        <w:t>5</w:t>
      </w:r>
      <w:r>
        <w:rPr>
          <w:rFonts w:hint="eastAsia" w:ascii="仿宋_GB2312" w:hAnsi="黑体" w:eastAsia="仿宋_GB2312" w:cs="仿宋_GB2312"/>
          <w:sz w:val="32"/>
          <w:szCs w:val="32"/>
        </w:rPr>
        <w:t>年预算数为</w:t>
      </w:r>
      <w:r>
        <w:rPr>
          <w:rFonts w:hint="eastAsia" w:ascii="仿宋_GB2312" w:hAnsi="黑体" w:eastAsia="仿宋_GB2312" w:cs="仿宋_GB2312"/>
          <w:sz w:val="32"/>
          <w:szCs w:val="32"/>
          <w:lang w:val="en-US" w:eastAsia="zh-CN"/>
        </w:rPr>
        <w:t>123.83</w:t>
      </w:r>
      <w:r>
        <w:rPr>
          <w:rFonts w:hint="eastAsia" w:ascii="仿宋_GB2312" w:hAnsi="黑体" w:eastAsia="仿宋_GB2312" w:cs="仿宋_GB2312"/>
          <w:sz w:val="32"/>
          <w:szCs w:val="32"/>
        </w:rPr>
        <w:t>万元，比上年预算数</w:t>
      </w:r>
      <w:r>
        <w:rPr>
          <w:rFonts w:hint="eastAsia" w:ascii="仿宋_GB2312" w:hAnsi="黑体" w:eastAsia="仿宋_GB2312" w:cs="仿宋_GB2312"/>
          <w:sz w:val="32"/>
          <w:szCs w:val="32"/>
          <w:lang w:val="en-US" w:eastAsia="zh-CN"/>
        </w:rPr>
        <w:t>减少50.6</w:t>
      </w:r>
      <w:r>
        <w:rPr>
          <w:rFonts w:hint="eastAsia" w:ascii="仿宋_GB2312" w:hAnsi="黑体" w:eastAsia="仿宋_GB2312" w:cs="仿宋_GB2312"/>
          <w:sz w:val="32"/>
          <w:szCs w:val="32"/>
        </w:rPr>
        <w:t>万元，主要是</w:t>
      </w:r>
      <w:r>
        <w:rPr>
          <w:rFonts w:hint="eastAsia" w:ascii="仿宋_GB2312" w:hAnsi="黑体" w:eastAsia="仿宋_GB2312"/>
          <w:sz w:val="32"/>
          <w:szCs w:val="32"/>
        </w:rPr>
        <w:t>人员</w:t>
      </w:r>
      <w:r>
        <w:rPr>
          <w:rFonts w:hint="eastAsia" w:ascii="仿宋_GB2312" w:hAnsi="黑体" w:eastAsia="仿宋_GB2312"/>
          <w:sz w:val="32"/>
          <w:szCs w:val="32"/>
          <w:lang w:val="en-US" w:eastAsia="zh-CN"/>
        </w:rPr>
        <w:t>减少</w:t>
      </w:r>
      <w:r>
        <w:rPr>
          <w:rFonts w:hint="eastAsia" w:ascii="仿宋_GB2312" w:hAnsi="黑体" w:eastAsia="仿宋_GB2312" w:cs="仿宋_GB2312"/>
          <w:sz w:val="32"/>
          <w:szCs w:val="32"/>
          <w:lang w:eastAsia="zh-CN"/>
        </w:rPr>
        <w:t>，</w:t>
      </w:r>
      <w:r>
        <w:rPr>
          <w:rFonts w:hint="eastAsia" w:ascii="仿宋_GB2312" w:hAnsi="黑体" w:eastAsia="仿宋_GB2312" w:cs="仿宋_GB2312"/>
          <w:sz w:val="32"/>
          <w:szCs w:val="32"/>
        </w:rPr>
        <w:t>住房公积金缴费</w:t>
      </w:r>
      <w:r>
        <w:rPr>
          <w:rFonts w:hint="eastAsia" w:ascii="仿宋_GB2312" w:hAnsi="黑体" w:eastAsia="仿宋_GB2312"/>
          <w:sz w:val="32"/>
          <w:szCs w:val="32"/>
          <w:lang w:eastAsia="zh-CN"/>
        </w:rPr>
        <w:t>也</w:t>
      </w:r>
      <w:r>
        <w:rPr>
          <w:rFonts w:hint="eastAsia" w:ascii="仿宋_GB2312" w:hAnsi="黑体" w:eastAsia="仿宋_GB2312" w:cs="仿宋_GB2312"/>
          <w:sz w:val="32"/>
          <w:szCs w:val="32"/>
        </w:rPr>
        <w:t>随之</w:t>
      </w:r>
      <w:r>
        <w:rPr>
          <w:rFonts w:hint="eastAsia" w:ascii="仿宋_GB2312" w:hAnsi="黑体" w:eastAsia="仿宋_GB2312" w:cs="仿宋_GB2312"/>
          <w:sz w:val="32"/>
          <w:szCs w:val="32"/>
          <w:lang w:val="en-US" w:eastAsia="zh-CN"/>
        </w:rPr>
        <w:t>减少</w:t>
      </w:r>
      <w:r>
        <w:rPr>
          <w:rFonts w:hint="eastAsia" w:ascii="仿宋_GB2312" w:hAnsi="黑体" w:eastAsia="仿宋_GB2312"/>
          <w:sz w:val="32"/>
          <w:szCs w:val="32"/>
        </w:rPr>
        <w:t>。</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黑体" w:hAnsi="黑体" w:eastAsia="黑体"/>
          <w:sz w:val="32"/>
          <w:szCs w:val="32"/>
          <w:u w:val="none"/>
        </w:rPr>
      </w:pPr>
      <w:r>
        <w:rPr>
          <w:rFonts w:hint="eastAsia" w:ascii="黑体" w:hAnsi="黑体" w:eastAsia="黑体"/>
          <w:sz w:val="32"/>
          <w:szCs w:val="32"/>
          <w:u w:val="none"/>
        </w:rPr>
        <w:t>三、</w:t>
      </w:r>
      <w:r>
        <w:rPr>
          <w:rFonts w:hint="eastAsia" w:ascii="黑体" w:hAnsi="黑体" w:eastAsia="黑体"/>
          <w:sz w:val="32"/>
          <w:szCs w:val="32"/>
          <w:u w:val="none"/>
          <w:lang w:val="en-US" w:eastAsia="zh-CN"/>
        </w:rPr>
        <w:t>关于屯昌县南坤镇藤寨中心小学2026年</w:t>
      </w:r>
      <w:r>
        <w:rPr>
          <w:rFonts w:hint="eastAsia" w:ascii="黑体" w:hAnsi="黑体" w:eastAsia="黑体"/>
          <w:sz w:val="32"/>
          <w:szCs w:val="32"/>
          <w:u w:val="none"/>
        </w:rPr>
        <w:t>一般公共预算基本支出情况说明</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rPr>
      </w:pPr>
      <w:r>
        <w:rPr>
          <w:rFonts w:hint="eastAsia" w:ascii="仿宋_GB2312" w:hAnsi="黑体" w:eastAsia="仿宋_GB2312" w:cs="仿宋_GB2312"/>
          <w:sz w:val="32"/>
          <w:szCs w:val="32"/>
          <w:u w:val="none"/>
          <w:lang w:val="en-US" w:eastAsia="zh-CN"/>
        </w:rPr>
        <w:t>屯昌县南坤镇藤寨中心小学2026</w:t>
      </w:r>
      <w:r>
        <w:rPr>
          <w:rFonts w:hint="eastAsia" w:ascii="仿宋_GB2312" w:hAnsi="黑体" w:eastAsia="仿宋_GB2312"/>
          <w:sz w:val="32"/>
          <w:szCs w:val="32"/>
          <w:u w:val="none"/>
        </w:rPr>
        <w:t>年一般公共预算基本支出为</w:t>
      </w:r>
      <w:r>
        <w:rPr>
          <w:rFonts w:hint="eastAsia" w:ascii="仿宋_GB2312" w:hAnsi="黑体" w:eastAsia="仿宋_GB2312"/>
          <w:sz w:val="32"/>
          <w:szCs w:val="32"/>
          <w:u w:val="none"/>
          <w:lang w:val="en-US" w:eastAsia="zh-CN"/>
        </w:rPr>
        <w:t>1887.59</w:t>
      </w:r>
      <w:r>
        <w:rPr>
          <w:rFonts w:hint="eastAsia" w:ascii="仿宋_GB2312" w:hAnsi="黑体" w:eastAsia="仿宋_GB2312"/>
          <w:sz w:val="32"/>
          <w:szCs w:val="32"/>
          <w:u w:val="none"/>
        </w:rPr>
        <w:t>万元，其中：</w:t>
      </w:r>
    </w:p>
    <w:p>
      <w:pPr>
        <w:ind w:firstLine="640" w:firstLineChars="200"/>
        <w:rPr>
          <w:rFonts w:ascii="仿宋_GB2312" w:hAnsi="黑体" w:eastAsia="仿宋_GB2312"/>
          <w:sz w:val="32"/>
          <w:szCs w:val="32"/>
        </w:rPr>
      </w:pPr>
      <w:r>
        <w:rPr>
          <w:rFonts w:hint="eastAsia" w:ascii="仿宋_GB2312" w:hAnsi="黑体" w:eastAsia="仿宋_GB2312"/>
          <w:color w:val="000000"/>
          <w:sz w:val="32"/>
          <w:szCs w:val="32"/>
        </w:rPr>
        <w:t>人员经费</w:t>
      </w:r>
      <w:r>
        <w:rPr>
          <w:rFonts w:hint="eastAsia" w:ascii="仿宋_GB2312" w:hAnsi="黑体" w:eastAsia="仿宋_GB2312"/>
          <w:color w:val="000000"/>
          <w:sz w:val="32"/>
          <w:szCs w:val="32"/>
          <w:lang w:val="en-US" w:eastAsia="zh-CN"/>
        </w:rPr>
        <w:t>1867</w:t>
      </w:r>
      <w:r>
        <w:rPr>
          <w:rFonts w:hint="eastAsia" w:ascii="仿宋_GB2312" w:hAnsi="黑体" w:eastAsia="仿宋_GB2312" w:cs="仿宋_GB2312"/>
          <w:color w:val="000000"/>
          <w:sz w:val="32"/>
          <w:szCs w:val="32"/>
          <w:lang w:val="en-US" w:eastAsia="zh-CN"/>
        </w:rPr>
        <w:t>.81</w:t>
      </w:r>
      <w:r>
        <w:rPr>
          <w:rFonts w:hint="eastAsia" w:ascii="仿宋_GB2312" w:hAnsi="黑体" w:eastAsia="仿宋_GB2312"/>
          <w:color w:val="000000"/>
          <w:sz w:val="32"/>
          <w:szCs w:val="32"/>
        </w:rPr>
        <w:t>万元，主要包括：基本工资、津贴</w:t>
      </w:r>
      <w:r>
        <w:rPr>
          <w:rFonts w:hint="eastAsia" w:ascii="仿宋_GB2312" w:hAnsi="黑体" w:eastAsia="仿宋_GB2312"/>
          <w:sz w:val="32"/>
          <w:szCs w:val="32"/>
        </w:rPr>
        <w:t>补贴、奖金、绩效工资、机关事业单位基本养老保险缴费、职工基本医疗保险缴费、公务员医疗补助缴费、公务员医疗补助缴费、其他社会保障经费、住房公积金、医疗费、邮电费、对个人和家庭的补助</w:t>
      </w:r>
      <w:r>
        <w:rPr>
          <w:rFonts w:hint="eastAsia" w:ascii="仿宋_GB2312" w:hAnsi="黑体" w:eastAsia="仿宋_GB2312"/>
          <w:sz w:val="32"/>
          <w:szCs w:val="32"/>
          <w:lang w:eastAsia="zh-CN"/>
        </w:rPr>
        <w:t>等</w:t>
      </w:r>
      <w:r>
        <w:rPr>
          <w:rFonts w:hint="eastAsia" w:ascii="仿宋_GB2312" w:hAnsi="黑体" w:eastAsia="仿宋_GB2312"/>
          <w:sz w:val="32"/>
          <w:szCs w:val="32"/>
        </w:rPr>
        <w:t>。</w:t>
      </w:r>
    </w:p>
    <w:p>
      <w:pPr>
        <w:ind w:firstLine="640" w:firstLineChars="200"/>
        <w:rPr>
          <w:rFonts w:ascii="仿宋_GB2312" w:hAnsi="黑体" w:eastAsia="仿宋_GB2312"/>
          <w:sz w:val="32"/>
          <w:szCs w:val="32"/>
        </w:rPr>
      </w:pPr>
      <w:r>
        <w:rPr>
          <w:rFonts w:hint="eastAsia" w:ascii="仿宋_GB2312" w:hAnsi="黑体" w:eastAsia="仿宋_GB2312"/>
          <w:sz w:val="32"/>
          <w:szCs w:val="32"/>
        </w:rPr>
        <w:t>公用经费</w:t>
      </w:r>
      <w:r>
        <w:rPr>
          <w:rFonts w:hint="eastAsia" w:ascii="仿宋_GB2312" w:hAnsi="黑体" w:eastAsia="仿宋_GB2312" w:cs="仿宋_GB2312"/>
          <w:sz w:val="32"/>
          <w:szCs w:val="32"/>
          <w:lang w:val="en-US" w:eastAsia="zh-CN"/>
        </w:rPr>
        <w:t>12.36</w:t>
      </w:r>
      <w:r>
        <w:rPr>
          <w:rFonts w:hint="eastAsia" w:ascii="仿宋_GB2312" w:hAnsi="黑体" w:eastAsia="仿宋_GB2312"/>
          <w:sz w:val="32"/>
          <w:szCs w:val="32"/>
        </w:rPr>
        <w:t>万元，主要是工会经费</w:t>
      </w:r>
      <w:r>
        <w:rPr>
          <w:rFonts w:hint="eastAsia" w:ascii="仿宋_GB2312" w:hAnsi="黑体" w:eastAsia="仿宋_GB2312"/>
          <w:sz w:val="32"/>
          <w:szCs w:val="32"/>
          <w:lang w:eastAsia="zh-CN"/>
        </w:rPr>
        <w:t>等</w:t>
      </w:r>
      <w:r>
        <w:rPr>
          <w:rFonts w:hint="eastAsia" w:ascii="仿宋_GB2312" w:hAnsi="黑体" w:eastAsia="仿宋_GB2312"/>
          <w:sz w:val="32"/>
          <w:szCs w:val="32"/>
        </w:rPr>
        <w:t>。</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黑体" w:hAnsi="黑体" w:eastAsia="黑体" w:cs="Times New Roman"/>
          <w:sz w:val="32"/>
          <w:szCs w:val="32"/>
          <w:u w:val="none"/>
          <w:shd w:val="clear" w:color="auto" w:fill="FFFFFF"/>
        </w:rPr>
      </w:pPr>
      <w:r>
        <w:rPr>
          <w:rFonts w:hint="eastAsia" w:ascii="黑体" w:hAnsi="黑体" w:eastAsia="黑体" w:cs="Times New Roman"/>
          <w:sz w:val="32"/>
          <w:szCs w:val="32"/>
          <w:u w:val="none"/>
          <w:shd w:val="clear" w:color="auto" w:fill="FFFFFF"/>
        </w:rPr>
        <w:t>四、</w:t>
      </w:r>
      <w:r>
        <w:rPr>
          <w:rFonts w:hint="eastAsia" w:ascii="黑体" w:hAnsi="黑体" w:eastAsia="黑体" w:cs="Times New Roman"/>
          <w:sz w:val="32"/>
          <w:szCs w:val="32"/>
          <w:u w:val="none"/>
          <w:shd w:val="clear" w:color="auto" w:fill="FFFFFF"/>
          <w:lang w:val="en-US" w:eastAsia="zh-CN"/>
        </w:rPr>
        <w:t>屯昌县南坤镇藤寨中心小学2026年</w:t>
      </w:r>
      <w:r>
        <w:rPr>
          <w:rFonts w:ascii="黑体" w:hAnsi="黑体" w:eastAsia="黑体" w:cs="Times New Roman"/>
          <w:sz w:val="32"/>
          <w:szCs w:val="32"/>
          <w:u w:val="none"/>
          <w:shd w:val="clear" w:color="auto" w:fill="FFFFFF"/>
        </w:rPr>
        <w:t>“三公”经费预算情况</w:t>
      </w:r>
      <w:r>
        <w:rPr>
          <w:rFonts w:hint="eastAsia" w:ascii="黑体" w:hAnsi="黑体" w:eastAsia="黑体" w:cs="Times New Roman"/>
          <w:sz w:val="32"/>
          <w:szCs w:val="32"/>
          <w:u w:val="none"/>
          <w:shd w:val="clear" w:color="auto" w:fill="FFFFFF"/>
        </w:rPr>
        <w:t>说明</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rPr>
      </w:pPr>
      <w:r>
        <w:rPr>
          <w:rFonts w:hint="eastAsia" w:ascii="仿宋_GB2312" w:hAnsi="黑体" w:eastAsia="仿宋_GB2312"/>
          <w:sz w:val="32"/>
          <w:szCs w:val="32"/>
          <w:u w:val="none"/>
        </w:rPr>
        <w:t>（一）</w:t>
      </w:r>
      <w:r>
        <w:rPr>
          <w:rFonts w:hint="eastAsia" w:ascii="仿宋_GB2312" w:hAnsi="黑体" w:eastAsia="仿宋_GB2312"/>
          <w:sz w:val="32"/>
          <w:szCs w:val="32"/>
          <w:u w:val="none"/>
          <w:lang w:val="en-US" w:eastAsia="zh-CN"/>
        </w:rPr>
        <w:t>屯昌县南坤镇藤寨中心小学2026</w:t>
      </w:r>
      <w:r>
        <w:rPr>
          <w:rFonts w:hint="eastAsia" w:ascii="仿宋_GB2312" w:hAnsi="黑体" w:eastAsia="仿宋_GB2312"/>
          <w:sz w:val="32"/>
          <w:szCs w:val="32"/>
          <w:u w:val="none"/>
        </w:rPr>
        <w:t>年一般公共预算“三公”经费预算数为</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万元，其中：</w:t>
      </w:r>
    </w:p>
    <w:p>
      <w:pPr>
        <w:ind w:firstLine="630"/>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因公出国（境）经费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lang w:eastAsia="zh-CN"/>
        </w:rPr>
        <w:t>。</w:t>
      </w:r>
      <w:r>
        <w:rPr>
          <w:rFonts w:ascii="Times New Roman" w:hAnsi="Times New Roman" w:eastAsia="仿宋_GB2312" w:cs="Times New Roman"/>
          <w:sz w:val="32"/>
          <w:shd w:val="clear" w:color="auto" w:fill="FFFFFF"/>
        </w:rPr>
        <w:t>主要原因：</w:t>
      </w:r>
      <w:r>
        <w:rPr>
          <w:rFonts w:hint="eastAsia" w:ascii="Times New Roman" w:hAnsi="Times New Roman" w:eastAsia="仿宋_GB2312" w:cs="Times New Roman"/>
          <w:sz w:val="32"/>
          <w:shd w:val="clear" w:color="auto" w:fill="FFFFFF"/>
          <w:lang w:eastAsia="zh-CN"/>
        </w:rPr>
        <w:t>202</w:t>
      </w:r>
      <w:r>
        <w:rPr>
          <w:rFonts w:hint="eastAsia" w:ascii="Times New Roman" w:hAnsi="Times New Roman" w:eastAsia="仿宋_GB2312" w:cs="Times New Roman"/>
          <w:sz w:val="32"/>
          <w:shd w:val="clear" w:color="auto" w:fill="FFFFFF"/>
          <w:lang w:val="en-US" w:eastAsia="zh-CN"/>
        </w:rPr>
        <w:t>6</w:t>
      </w:r>
      <w:r>
        <w:rPr>
          <w:rFonts w:hint="eastAsia" w:ascii="Times New Roman" w:hAnsi="Times New Roman" w:eastAsia="仿宋_GB2312" w:cs="Times New Roman"/>
          <w:sz w:val="32"/>
          <w:shd w:val="clear" w:color="auto" w:fill="FFFFFF"/>
        </w:rPr>
        <w:t>年单位没有安排因公出国经费。</w:t>
      </w:r>
      <w:r>
        <w:rPr>
          <w:rFonts w:hint="eastAsia" w:ascii="仿宋_GB2312" w:hAnsi="黑体" w:eastAsia="仿宋_GB2312" w:cs="仿宋_GB2312"/>
          <w:sz w:val="32"/>
          <w:szCs w:val="32"/>
          <w:lang w:eastAsia="zh-CN"/>
        </w:rPr>
        <w:t>202</w:t>
      </w:r>
      <w:r>
        <w:rPr>
          <w:rFonts w:hint="eastAsia" w:ascii="仿宋_GB2312" w:hAnsi="黑体" w:eastAsia="仿宋_GB2312" w:cs="仿宋_GB2312"/>
          <w:sz w:val="32"/>
          <w:szCs w:val="32"/>
          <w:lang w:val="en-US" w:eastAsia="zh-CN"/>
        </w:rPr>
        <w:t>6</w:t>
      </w:r>
      <w:r>
        <w:rPr>
          <w:rFonts w:ascii="Times New Roman" w:hAnsi="Times New Roman" w:eastAsia="仿宋_GB2312" w:cs="Times New Roman"/>
          <w:sz w:val="32"/>
          <w:shd w:val="clear" w:color="auto" w:fill="FFFFFF"/>
        </w:rPr>
        <w:t>年出国计划，拟安排出国（境）</w:t>
      </w:r>
      <w:r>
        <w:rPr>
          <w:rFonts w:hint="eastAsia" w:ascii="Times New Roman" w:hAnsi="Times New Roman" w:eastAsia="仿宋_GB2312" w:cs="Times New Roman"/>
          <w:sz w:val="32"/>
          <w:shd w:val="clear" w:color="auto" w:fill="FFFFFF"/>
        </w:rPr>
        <w:t>团（</w:t>
      </w:r>
      <w:r>
        <w:rPr>
          <w:rFonts w:ascii="Times New Roman" w:hAnsi="Times New Roman" w:eastAsia="仿宋_GB2312" w:cs="Times New Roman"/>
          <w:sz w:val="32"/>
          <w:shd w:val="clear" w:color="auto" w:fill="FFFFFF"/>
        </w:rPr>
        <w:t>组</w:t>
      </w:r>
      <w:r>
        <w:rPr>
          <w:rFonts w:hint="eastAsia" w:ascii="Times New Roman" w:hAnsi="Times New Roman" w:eastAsia="仿宋_GB2312" w:cs="Times New Roman"/>
          <w:sz w:val="32"/>
          <w:shd w:val="clear" w:color="auto" w:fill="FFFFFF"/>
        </w:rPr>
        <w:t>）</w:t>
      </w:r>
      <w:r>
        <w:rPr>
          <w:rFonts w:hint="eastAsia" w:ascii="仿宋_GB2312" w:hAnsi="黑体" w:eastAsia="仿宋_GB2312" w:cs="仿宋_GB2312"/>
          <w:sz w:val="32"/>
          <w:szCs w:val="32"/>
        </w:rPr>
        <w:t>0</w:t>
      </w:r>
      <w:r>
        <w:rPr>
          <w:rFonts w:ascii="Times New Roman" w:hAnsi="Times New Roman" w:eastAsia="仿宋_GB2312" w:cs="Times New Roman"/>
          <w:sz w:val="32"/>
          <w:shd w:val="clear" w:color="auto" w:fill="FFFFFF"/>
        </w:rPr>
        <w:t>次，出国（境）</w:t>
      </w:r>
      <w:r>
        <w:rPr>
          <w:rFonts w:hint="eastAsia" w:ascii="仿宋_GB2312" w:hAnsi="黑体" w:eastAsia="仿宋_GB2312" w:cs="仿宋_GB2312"/>
          <w:sz w:val="32"/>
          <w:szCs w:val="32"/>
        </w:rPr>
        <w:t>0</w:t>
      </w:r>
      <w:r>
        <w:rPr>
          <w:rFonts w:ascii="Times New Roman" w:hAnsi="Times New Roman" w:eastAsia="仿宋_GB2312" w:cs="Times New Roman"/>
          <w:sz w:val="32"/>
          <w:shd w:val="clear" w:color="auto" w:fill="FFFFFF"/>
        </w:rPr>
        <w:t>人。出国（境）团组主要：</w:t>
      </w:r>
      <w:r>
        <w:rPr>
          <w:rFonts w:hint="eastAsia" w:ascii="Times New Roman" w:hAnsi="Times New Roman" w:eastAsia="仿宋_GB2312" w:cs="Times New Roman"/>
          <w:sz w:val="32"/>
          <w:shd w:val="clear" w:color="auto" w:fill="FFFFFF"/>
        </w:rPr>
        <w:t>没有安排出国经费</w:t>
      </w:r>
      <w:r>
        <w:rPr>
          <w:rFonts w:ascii="Times New Roman" w:hAnsi="Times New Roman" w:eastAsia="仿宋_GB2312" w:cs="Times New Roman"/>
          <w:sz w:val="32"/>
          <w:shd w:val="clear" w:color="auto" w:fill="FFFFFF"/>
        </w:rPr>
        <w:t>，1.</w:t>
      </w:r>
      <w:r>
        <w:rPr>
          <w:rFonts w:hint="eastAsia" w:ascii="Times New Roman" w:hAnsi="Times New Roman" w:eastAsia="仿宋_GB2312" w:cs="Times New Roman"/>
          <w:sz w:val="32"/>
          <w:shd w:val="clear" w:color="auto" w:fill="FFFFFF"/>
        </w:rPr>
        <w:t>无</w:t>
      </w:r>
      <w:r>
        <w:rPr>
          <w:rFonts w:ascii="Times New Roman" w:hAnsi="Times New Roman" w:eastAsia="仿宋_GB2312" w:cs="Times New Roman"/>
          <w:sz w:val="32"/>
          <w:shd w:val="clear" w:color="auto" w:fill="FFFFFF"/>
        </w:rPr>
        <w:t>团组：目的地为</w:t>
      </w:r>
      <w:r>
        <w:rPr>
          <w:rFonts w:hint="eastAsia" w:ascii="Times New Roman" w:hAnsi="Times New Roman" w:eastAsia="仿宋_GB2312" w:cs="Times New Roman"/>
          <w:sz w:val="32"/>
          <w:shd w:val="clear" w:color="auto" w:fill="FFFFFF"/>
        </w:rPr>
        <w:t>无</w:t>
      </w:r>
      <w:r>
        <w:rPr>
          <w:rFonts w:ascii="Times New Roman" w:hAnsi="Times New Roman" w:eastAsia="仿宋_GB2312" w:cs="Times New Roman"/>
          <w:sz w:val="32"/>
          <w:shd w:val="clear" w:color="auto" w:fill="FFFFFF"/>
        </w:rPr>
        <w:t>，人数为</w:t>
      </w:r>
      <w:r>
        <w:rPr>
          <w:rFonts w:hint="eastAsia" w:ascii="仿宋_GB2312" w:hAnsi="黑体" w:eastAsia="仿宋_GB2312" w:cs="仿宋_GB2312"/>
          <w:sz w:val="32"/>
          <w:szCs w:val="32"/>
        </w:rPr>
        <w:t>0</w:t>
      </w:r>
      <w:r>
        <w:rPr>
          <w:rFonts w:ascii="Times New Roman" w:hAnsi="Times New Roman" w:eastAsia="仿宋_GB2312" w:cs="Times New Roman"/>
          <w:sz w:val="32"/>
          <w:shd w:val="clear" w:color="auto" w:fill="FFFFFF"/>
        </w:rPr>
        <w:t>人，天数为</w:t>
      </w:r>
      <w:r>
        <w:rPr>
          <w:rFonts w:hint="eastAsia" w:ascii="仿宋_GB2312" w:hAnsi="黑体" w:eastAsia="仿宋_GB2312" w:cs="仿宋_GB2312"/>
          <w:sz w:val="32"/>
          <w:szCs w:val="32"/>
        </w:rPr>
        <w:t>0</w:t>
      </w:r>
      <w:r>
        <w:rPr>
          <w:rFonts w:ascii="Times New Roman" w:hAnsi="Times New Roman" w:eastAsia="仿宋_GB2312" w:cs="Times New Roman"/>
          <w:sz w:val="32"/>
          <w:shd w:val="clear" w:color="auto" w:fill="FFFFFF"/>
        </w:rPr>
        <w:t>天，主要任务为</w:t>
      </w:r>
      <w:r>
        <w:rPr>
          <w:rFonts w:hint="eastAsia" w:ascii="Times New Roman" w:hAnsi="Times New Roman" w:eastAsia="仿宋_GB2312" w:cs="Times New Roman"/>
          <w:sz w:val="32"/>
          <w:shd w:val="clear" w:color="auto" w:fill="FFFFFF"/>
        </w:rPr>
        <w:t>：</w:t>
      </w:r>
      <w:r>
        <w:rPr>
          <w:rFonts w:hint="eastAsia" w:ascii="Times New Roman" w:hAnsi="Times New Roman" w:eastAsia="仿宋_GB2312" w:cs="Times New Roman"/>
          <w:sz w:val="32"/>
          <w:shd w:val="clear" w:color="auto" w:fill="FFFFFF"/>
          <w:lang w:eastAsia="zh-CN"/>
        </w:rPr>
        <w:t>202</w:t>
      </w:r>
      <w:r>
        <w:rPr>
          <w:rFonts w:hint="eastAsia" w:ascii="Times New Roman" w:hAnsi="Times New Roman" w:eastAsia="仿宋_GB2312" w:cs="Times New Roman"/>
          <w:sz w:val="32"/>
          <w:shd w:val="clear" w:color="auto" w:fill="FFFFFF"/>
          <w:lang w:val="en-US" w:eastAsia="zh-CN"/>
        </w:rPr>
        <w:t>6</w:t>
      </w:r>
      <w:r>
        <w:rPr>
          <w:rFonts w:hint="eastAsia" w:ascii="Times New Roman" w:hAnsi="Times New Roman" w:eastAsia="仿宋_GB2312" w:cs="Times New Roman"/>
          <w:sz w:val="32"/>
          <w:shd w:val="clear" w:color="auto" w:fill="FFFFFF"/>
        </w:rPr>
        <w:t>年预算没有安排；</w:t>
      </w:r>
      <w:r>
        <w:rPr>
          <w:rFonts w:ascii="Times New Roman" w:hAnsi="Times New Roman" w:eastAsia="仿宋_GB2312" w:cs="Times New Roman"/>
          <w:sz w:val="32"/>
          <w:shd w:val="clear" w:color="auto" w:fill="FFFFFF"/>
        </w:rPr>
        <w:t>公务用车购置及运行费</w:t>
      </w:r>
      <w:r>
        <w:rPr>
          <w:rFonts w:hint="eastAsia" w:ascii="仿宋_GB2312" w:hAnsi="黑体" w:eastAsia="仿宋_GB2312" w:cs="仿宋_GB2312"/>
          <w:sz w:val="32"/>
          <w:szCs w:val="32"/>
        </w:rPr>
        <w:t>0</w:t>
      </w:r>
      <w:r>
        <w:rPr>
          <w:rFonts w:hint="eastAsia" w:ascii="仿宋_GB2312" w:hAnsi="黑体" w:eastAsia="仿宋_GB2312"/>
          <w:sz w:val="32"/>
          <w:szCs w:val="32"/>
        </w:rPr>
        <w:t>万元（其中，</w:t>
      </w: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lang w:eastAsia="zh-CN"/>
        </w:rPr>
        <w:t>。</w:t>
      </w:r>
      <w:r>
        <w:rPr>
          <w:rFonts w:ascii="Times New Roman" w:hAnsi="Times New Roman" w:eastAsia="仿宋_GB2312" w:cs="Times New Roman"/>
          <w:sz w:val="32"/>
          <w:shd w:val="clear" w:color="auto" w:fill="FFFFFF"/>
        </w:rPr>
        <w:t>主要原因：</w:t>
      </w:r>
      <w:r>
        <w:rPr>
          <w:rFonts w:hint="eastAsia" w:ascii="Times New Roman" w:hAnsi="Times New Roman" w:eastAsia="仿宋_GB2312" w:cs="Times New Roman"/>
          <w:sz w:val="32"/>
          <w:shd w:val="clear" w:color="auto" w:fill="FFFFFF"/>
        </w:rPr>
        <w:t>本单位没有公务用车。公务车保有量</w:t>
      </w:r>
      <w:r>
        <w:rPr>
          <w:rFonts w:hint="eastAsia" w:ascii="仿宋_GB2312" w:hAnsi="黑体" w:eastAsia="仿宋_GB2312" w:cs="仿宋_GB2312"/>
          <w:sz w:val="32"/>
          <w:szCs w:val="32"/>
        </w:rPr>
        <w:t>0辆，计划购置0辆</w:t>
      </w:r>
      <w:r>
        <w:rPr>
          <w:rFonts w:hint="eastAsia" w:ascii="Times New Roman" w:hAnsi="Times New Roman" w:eastAsia="仿宋_GB2312" w:cs="Times New Roman"/>
          <w:sz w:val="32"/>
          <w:shd w:val="clear" w:color="auto" w:fill="FFFFFF"/>
        </w:rPr>
        <w:t>；</w:t>
      </w:r>
      <w:r>
        <w:rPr>
          <w:rFonts w:ascii="仿宋_GB2312" w:hAnsi="黑体" w:eastAsia="仿宋_GB2312" w:cs="Times New Roman"/>
          <w:sz w:val="32"/>
          <w:szCs w:val="32"/>
        </w:rPr>
        <w:t>公务接待费</w:t>
      </w:r>
      <w:r>
        <w:rPr>
          <w:rFonts w:hint="eastAsia" w:ascii="仿宋_GB2312" w:hAnsi="黑体" w:eastAsia="仿宋_GB2312" w:cs="仿宋_GB2312"/>
          <w:sz w:val="32"/>
          <w:szCs w:val="32"/>
        </w:rPr>
        <w:t>0</w:t>
      </w:r>
      <w:r>
        <w:rPr>
          <w:rFonts w:ascii="Times New Roman" w:hAnsi="Times New Roman" w:eastAsia="仿宋_GB2312" w:cs="Times New Roman"/>
          <w:sz w:val="32"/>
          <w:shd w:val="clear" w:color="auto" w:fill="FFFFFF"/>
        </w:rPr>
        <w:t>万元，与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lang w:eastAsia="zh-CN"/>
        </w:rPr>
        <w:t>。</w:t>
      </w:r>
      <w:r>
        <w:rPr>
          <w:rFonts w:ascii="Times New Roman" w:hAnsi="Times New Roman" w:eastAsia="仿宋_GB2312" w:cs="Times New Roman"/>
          <w:sz w:val="32"/>
          <w:shd w:val="clear" w:color="auto" w:fill="FFFFFF"/>
        </w:rPr>
        <w:t>主要原因：</w:t>
      </w:r>
      <w:r>
        <w:rPr>
          <w:rFonts w:hint="eastAsia" w:ascii="Times New Roman" w:hAnsi="Times New Roman" w:eastAsia="仿宋_GB2312" w:cs="Times New Roman"/>
          <w:sz w:val="32"/>
          <w:shd w:val="clear" w:color="auto" w:fill="FFFFFF"/>
          <w:lang w:eastAsia="zh-CN"/>
        </w:rPr>
        <w:t>202</w:t>
      </w:r>
      <w:r>
        <w:rPr>
          <w:rFonts w:hint="eastAsia" w:ascii="Times New Roman" w:hAnsi="Times New Roman" w:eastAsia="仿宋_GB2312" w:cs="Times New Roman"/>
          <w:sz w:val="32"/>
          <w:shd w:val="clear" w:color="auto" w:fill="FFFFFF"/>
          <w:lang w:val="en-US" w:eastAsia="zh-CN"/>
        </w:rPr>
        <w:t>6</w:t>
      </w:r>
      <w:r>
        <w:rPr>
          <w:rFonts w:hint="eastAsia" w:ascii="Times New Roman" w:hAnsi="Times New Roman" w:eastAsia="仿宋_GB2312" w:cs="Times New Roman"/>
          <w:sz w:val="32"/>
          <w:shd w:val="clear" w:color="auto" w:fill="FFFFFF"/>
        </w:rPr>
        <w:t>年预算没有安排公务接待费，计划接待</w:t>
      </w:r>
      <w:r>
        <w:rPr>
          <w:rFonts w:hint="eastAsia" w:ascii="仿宋_GB2312" w:hAnsi="黑体" w:eastAsia="仿宋_GB2312" w:cs="仿宋_GB2312"/>
          <w:sz w:val="32"/>
          <w:szCs w:val="32"/>
        </w:rPr>
        <w:t>0批0人</w:t>
      </w:r>
      <w:r>
        <w:rPr>
          <w:rFonts w:hint="eastAsia" w:ascii="Times New Roman" w:hAnsi="Times New Roman" w:eastAsia="仿宋_GB2312" w:cs="Times New Roman"/>
          <w:sz w:val="32"/>
          <w:shd w:val="clear" w:color="auto" w:fill="FFFFFF"/>
        </w:rPr>
        <w:t>。</w:t>
      </w:r>
    </w:p>
    <w:p>
      <w:pPr>
        <w:keepNext w:val="0"/>
        <w:keepLines w:val="0"/>
        <w:pageBreakBefore w:val="0"/>
        <w:numPr>
          <w:ilvl w:val="0"/>
          <w:numId w:val="4"/>
        </w:numPr>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rPr>
      </w:pPr>
      <w:r>
        <w:rPr>
          <w:rFonts w:hint="eastAsia" w:ascii="仿宋_GB2312" w:hAnsi="黑体" w:eastAsia="仿宋_GB2312"/>
          <w:sz w:val="32"/>
          <w:szCs w:val="32"/>
          <w:u w:val="none"/>
          <w:lang w:val="en-US" w:eastAsia="zh-CN"/>
        </w:rPr>
        <w:t>屯昌县南坤镇藤寨中心小学</w:t>
      </w:r>
      <w:r>
        <w:rPr>
          <w:rFonts w:hint="eastAsia" w:ascii="仿宋_GB2312" w:hAnsi="黑体" w:eastAsia="仿宋_GB2312"/>
          <w:sz w:val="32"/>
          <w:szCs w:val="32"/>
          <w:u w:val="none"/>
          <w:lang w:eastAsia="zh-CN"/>
        </w:rPr>
        <w:t>2</w:t>
      </w:r>
      <w:r>
        <w:rPr>
          <w:rFonts w:hint="eastAsia" w:ascii="仿宋_GB2312" w:hAnsi="黑体" w:eastAsia="仿宋_GB2312"/>
          <w:sz w:val="32"/>
          <w:szCs w:val="32"/>
          <w:u w:val="none"/>
          <w:lang w:val="en-US" w:eastAsia="zh-CN"/>
        </w:rPr>
        <w:t>026</w:t>
      </w:r>
      <w:r>
        <w:rPr>
          <w:rFonts w:hint="eastAsia" w:ascii="仿宋_GB2312" w:hAnsi="黑体" w:eastAsia="仿宋_GB2312"/>
          <w:sz w:val="32"/>
          <w:szCs w:val="32"/>
          <w:u w:val="none"/>
        </w:rPr>
        <w:t>年政府性基金预算“三公”经费预算数为</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万元，其中：</w:t>
      </w:r>
    </w:p>
    <w:p>
      <w:pPr>
        <w:ind w:firstLine="640" w:firstLineChars="200"/>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因公出国（境）经费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lang w:eastAsia="zh-CN"/>
        </w:rPr>
        <w:t>。</w:t>
      </w:r>
      <w:r>
        <w:rPr>
          <w:rFonts w:ascii="Times New Roman" w:hAnsi="Times New Roman" w:eastAsia="仿宋_GB2312" w:cs="Times New Roman"/>
          <w:sz w:val="32"/>
          <w:shd w:val="clear" w:color="auto" w:fill="FFFFFF"/>
        </w:rPr>
        <w:t>主要原因：</w:t>
      </w:r>
      <w:r>
        <w:rPr>
          <w:rFonts w:hint="eastAsia" w:ascii="Times New Roman" w:hAnsi="Times New Roman" w:eastAsia="仿宋_GB2312" w:cs="Times New Roman"/>
          <w:sz w:val="32"/>
          <w:shd w:val="clear" w:color="auto" w:fill="FFFFFF"/>
        </w:rPr>
        <w:t>本单位没有政府性基金预算经费。</w:t>
      </w:r>
      <w:r>
        <w:rPr>
          <w:rFonts w:ascii="Times New Roman" w:hAnsi="Times New Roman" w:eastAsia="仿宋_GB2312" w:cs="Times New Roman"/>
          <w:sz w:val="32"/>
          <w:shd w:val="clear" w:color="auto" w:fill="FFFFFF"/>
        </w:rPr>
        <w:t>拟安排出国（境）组</w:t>
      </w:r>
      <w:r>
        <w:rPr>
          <w:rFonts w:hint="eastAsia" w:ascii="仿宋_GB2312" w:hAnsi="黑体" w:eastAsia="仿宋_GB2312" w:cs="仿宋_GB2312"/>
          <w:sz w:val="32"/>
          <w:szCs w:val="32"/>
        </w:rPr>
        <w:t>0</w:t>
      </w:r>
      <w:r>
        <w:rPr>
          <w:rFonts w:ascii="Times New Roman" w:hAnsi="Times New Roman" w:eastAsia="仿宋_GB2312" w:cs="Times New Roman"/>
          <w:sz w:val="32"/>
          <w:shd w:val="clear" w:color="auto" w:fill="FFFFFF"/>
        </w:rPr>
        <w:t>次，出国（境）</w:t>
      </w:r>
      <w:r>
        <w:rPr>
          <w:rFonts w:hint="eastAsia" w:ascii="仿宋_GB2312" w:hAnsi="黑体" w:eastAsia="仿宋_GB2312" w:cs="仿宋_GB2312"/>
          <w:sz w:val="32"/>
          <w:szCs w:val="32"/>
        </w:rPr>
        <w:t>0</w:t>
      </w:r>
      <w:r>
        <w:rPr>
          <w:rFonts w:ascii="Times New Roman" w:hAnsi="Times New Roman" w:eastAsia="仿宋_GB2312" w:cs="Times New Roman"/>
          <w:sz w:val="32"/>
          <w:shd w:val="clear" w:color="auto" w:fill="FFFFFF"/>
        </w:rPr>
        <w:t>人。出国（境）团组主要：1</w:t>
      </w:r>
      <w:r>
        <w:rPr>
          <w:rFonts w:hint="eastAsia" w:ascii="Times New Roman" w:hAnsi="Times New Roman" w:eastAsia="仿宋_GB2312" w:cs="Times New Roman"/>
          <w:sz w:val="32"/>
          <w:shd w:val="clear" w:color="auto" w:fill="FFFFFF"/>
        </w:rPr>
        <w:t>无</w:t>
      </w:r>
      <w:r>
        <w:rPr>
          <w:rFonts w:ascii="Times New Roman" w:hAnsi="Times New Roman" w:eastAsia="仿宋_GB2312" w:cs="Times New Roman"/>
          <w:sz w:val="32"/>
          <w:shd w:val="clear" w:color="auto" w:fill="FFFFFF"/>
        </w:rPr>
        <w:t>团组：目的地为</w:t>
      </w:r>
      <w:r>
        <w:rPr>
          <w:rFonts w:hint="eastAsia" w:ascii="Times New Roman" w:hAnsi="Times New Roman" w:eastAsia="仿宋_GB2312" w:cs="Times New Roman"/>
          <w:sz w:val="32"/>
          <w:shd w:val="clear" w:color="auto" w:fill="FFFFFF"/>
        </w:rPr>
        <w:t>无</w:t>
      </w:r>
      <w:r>
        <w:rPr>
          <w:rFonts w:ascii="Times New Roman" w:hAnsi="Times New Roman" w:eastAsia="仿宋_GB2312" w:cs="Times New Roman"/>
          <w:sz w:val="32"/>
          <w:shd w:val="clear" w:color="auto" w:fill="FFFFFF"/>
        </w:rPr>
        <w:t>，人数为</w:t>
      </w:r>
      <w:r>
        <w:rPr>
          <w:rFonts w:hint="eastAsia" w:ascii="仿宋_GB2312" w:hAnsi="黑体" w:eastAsia="仿宋_GB2312" w:cs="仿宋_GB2312"/>
          <w:sz w:val="32"/>
          <w:szCs w:val="32"/>
        </w:rPr>
        <w:t>0</w:t>
      </w:r>
      <w:r>
        <w:rPr>
          <w:rFonts w:ascii="Times New Roman" w:hAnsi="Times New Roman" w:eastAsia="仿宋_GB2312" w:cs="Times New Roman"/>
          <w:sz w:val="32"/>
          <w:shd w:val="clear" w:color="auto" w:fill="FFFFFF"/>
        </w:rPr>
        <w:t>人，天数为</w:t>
      </w:r>
      <w:r>
        <w:rPr>
          <w:rFonts w:hint="eastAsia" w:ascii="仿宋_GB2312" w:hAnsi="黑体" w:eastAsia="仿宋_GB2312" w:cs="仿宋_GB2312"/>
          <w:sz w:val="32"/>
          <w:szCs w:val="32"/>
        </w:rPr>
        <w:t>0</w:t>
      </w:r>
      <w:r>
        <w:rPr>
          <w:rFonts w:ascii="Times New Roman" w:hAnsi="Times New Roman" w:eastAsia="仿宋_GB2312" w:cs="Times New Roman"/>
          <w:sz w:val="32"/>
          <w:shd w:val="clear" w:color="auto" w:fill="FFFFFF"/>
        </w:rPr>
        <w:t>天，主要任务为</w:t>
      </w:r>
      <w:r>
        <w:rPr>
          <w:rFonts w:hint="eastAsia" w:ascii="Times New Roman" w:hAnsi="Times New Roman" w:eastAsia="仿宋_GB2312" w:cs="Times New Roman"/>
          <w:sz w:val="32"/>
          <w:shd w:val="clear" w:color="auto" w:fill="FFFFFF"/>
        </w:rPr>
        <w:t>不存在人员出国出境。</w:t>
      </w:r>
      <w:r>
        <w:rPr>
          <w:rFonts w:ascii="Times New Roman" w:hAnsi="Times New Roman" w:eastAsia="仿宋_GB2312" w:cs="Times New Roman"/>
          <w:sz w:val="32"/>
          <w:shd w:val="clear" w:color="auto" w:fill="FFFFFF"/>
        </w:rPr>
        <w:t>公务用车购置及运行费</w:t>
      </w:r>
      <w:r>
        <w:rPr>
          <w:rFonts w:hint="eastAsia" w:ascii="仿宋_GB2312" w:hAnsi="黑体" w:eastAsia="仿宋_GB2312" w:cs="仿宋_GB2312"/>
          <w:sz w:val="32"/>
          <w:szCs w:val="32"/>
        </w:rPr>
        <w:t>0</w:t>
      </w:r>
      <w:r>
        <w:rPr>
          <w:rFonts w:hint="eastAsia" w:ascii="仿宋_GB2312" w:hAnsi="黑体" w:eastAsia="仿宋_GB2312"/>
          <w:sz w:val="32"/>
          <w:szCs w:val="32"/>
        </w:rPr>
        <w:t>万元（其中，</w:t>
      </w: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运行费</w:t>
      </w:r>
      <w:r>
        <w:rPr>
          <w:rFonts w:hint="eastAsia" w:ascii="仿宋_GB2312" w:hAnsi="黑体" w:eastAsia="仿宋_GB2312" w:cs="仿宋_GB2312"/>
          <w:sz w:val="32"/>
          <w:szCs w:val="32"/>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lang w:eastAsia="zh-CN"/>
        </w:rPr>
        <w:t>。</w:t>
      </w:r>
      <w:r>
        <w:rPr>
          <w:rFonts w:ascii="Times New Roman" w:hAnsi="Times New Roman" w:eastAsia="仿宋_GB2312" w:cs="Times New Roman"/>
          <w:sz w:val="32"/>
          <w:shd w:val="clear" w:color="auto" w:fill="FFFFFF"/>
        </w:rPr>
        <w:t>主要原因：</w:t>
      </w:r>
      <w:r>
        <w:rPr>
          <w:rFonts w:hint="eastAsia" w:ascii="Times New Roman" w:hAnsi="Times New Roman" w:eastAsia="仿宋_GB2312" w:cs="Times New Roman"/>
          <w:sz w:val="32"/>
          <w:shd w:val="clear" w:color="auto" w:fill="FFFFFF"/>
        </w:rPr>
        <w:t>本单位没有公务用车；公务车保有量</w:t>
      </w:r>
      <w:r>
        <w:rPr>
          <w:rFonts w:hint="eastAsia" w:ascii="仿宋_GB2312" w:hAnsi="黑体" w:eastAsia="仿宋_GB2312" w:cs="仿宋_GB2312"/>
          <w:sz w:val="32"/>
          <w:szCs w:val="32"/>
        </w:rPr>
        <w:t>0辆，计划购置0辆</w:t>
      </w:r>
      <w:r>
        <w:rPr>
          <w:rFonts w:hint="eastAsia" w:ascii="Times New Roman" w:hAnsi="Times New Roman" w:eastAsia="仿宋_GB2312" w:cs="Times New Roman"/>
          <w:sz w:val="32"/>
          <w:shd w:val="clear" w:color="auto" w:fill="FFFFFF"/>
        </w:rPr>
        <w:t>。</w:t>
      </w:r>
      <w:r>
        <w:rPr>
          <w:rFonts w:ascii="仿宋_GB2312" w:hAnsi="黑体" w:eastAsia="仿宋_GB2312" w:cs="Times New Roman"/>
          <w:sz w:val="32"/>
          <w:szCs w:val="32"/>
        </w:rPr>
        <w:t>公务接待费</w:t>
      </w:r>
      <w:r>
        <w:rPr>
          <w:rFonts w:hint="eastAsia" w:ascii="仿宋_GB2312" w:hAnsi="黑体" w:eastAsia="仿宋_GB2312" w:cs="仿宋_GB2312"/>
          <w:sz w:val="32"/>
          <w:szCs w:val="32"/>
        </w:rPr>
        <w:t>0</w:t>
      </w:r>
      <w:r>
        <w:rPr>
          <w:rFonts w:ascii="Times New Roman" w:hAnsi="Times New Roman" w:eastAsia="仿宋_GB2312" w:cs="Times New Roman"/>
          <w:sz w:val="32"/>
          <w:shd w:val="clear" w:color="auto" w:fill="FFFFFF"/>
        </w:rPr>
        <w:t>万元，与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lang w:eastAsia="zh-CN"/>
        </w:rPr>
        <w:t>。</w:t>
      </w:r>
      <w:r>
        <w:rPr>
          <w:rFonts w:ascii="Times New Roman" w:hAnsi="Times New Roman" w:eastAsia="仿宋_GB2312" w:cs="Times New Roman"/>
          <w:sz w:val="32"/>
          <w:shd w:val="clear" w:color="auto" w:fill="FFFFFF"/>
        </w:rPr>
        <w:t>主要原因：</w:t>
      </w:r>
      <w:r>
        <w:rPr>
          <w:rFonts w:hint="eastAsia" w:ascii="Times New Roman" w:hAnsi="Times New Roman" w:eastAsia="仿宋_GB2312" w:cs="Times New Roman"/>
          <w:sz w:val="32"/>
          <w:shd w:val="clear" w:color="auto" w:fill="FFFFFF"/>
          <w:lang w:eastAsia="zh-CN"/>
        </w:rPr>
        <w:t>202</w:t>
      </w:r>
      <w:r>
        <w:rPr>
          <w:rFonts w:hint="eastAsia" w:ascii="Times New Roman" w:hAnsi="Times New Roman" w:eastAsia="仿宋_GB2312" w:cs="Times New Roman"/>
          <w:sz w:val="32"/>
          <w:shd w:val="clear" w:color="auto" w:fill="FFFFFF"/>
          <w:lang w:val="en-US" w:eastAsia="zh-CN"/>
        </w:rPr>
        <w:t>6</w:t>
      </w:r>
      <w:r>
        <w:rPr>
          <w:rFonts w:hint="eastAsia" w:ascii="Times New Roman" w:hAnsi="Times New Roman" w:eastAsia="仿宋_GB2312" w:cs="Times New Roman"/>
          <w:sz w:val="32"/>
          <w:shd w:val="clear" w:color="auto" w:fill="FFFFFF"/>
        </w:rPr>
        <w:t>年预算没有安排接待经费。计划接待</w:t>
      </w:r>
      <w:r>
        <w:rPr>
          <w:rFonts w:hint="eastAsia" w:ascii="仿宋_GB2312" w:hAnsi="黑体" w:eastAsia="仿宋_GB2312" w:cs="仿宋_GB2312"/>
          <w:sz w:val="32"/>
          <w:szCs w:val="32"/>
        </w:rPr>
        <w:t>0批0人</w:t>
      </w:r>
      <w:r>
        <w:rPr>
          <w:rFonts w:hint="eastAsia" w:ascii="Times New Roman" w:hAnsi="Times New Roman" w:eastAsia="仿宋_GB2312" w:cs="Times New Roman"/>
          <w:sz w:val="32"/>
          <w:shd w:val="clear" w:color="auto" w:fill="FFFFFF"/>
        </w:rPr>
        <w:t>。</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黑体" w:hAnsi="黑体" w:eastAsia="黑体" w:cs="Times New Roman"/>
          <w:sz w:val="32"/>
          <w:szCs w:val="32"/>
          <w:u w:val="none"/>
          <w:shd w:val="clear" w:color="auto" w:fill="FFFFFF"/>
        </w:rPr>
      </w:pPr>
      <w:r>
        <w:rPr>
          <w:rFonts w:hint="eastAsia" w:ascii="黑体" w:hAnsi="黑体" w:eastAsia="黑体" w:cs="Times New Roman"/>
          <w:sz w:val="32"/>
          <w:szCs w:val="32"/>
          <w:u w:val="none"/>
          <w:shd w:val="clear" w:color="auto" w:fill="FFFFFF"/>
        </w:rPr>
        <w:t>五、</w:t>
      </w:r>
      <w:r>
        <w:rPr>
          <w:rFonts w:hint="eastAsia" w:ascii="黑体" w:hAnsi="黑体" w:eastAsia="黑体" w:cs="Times New Roman"/>
          <w:sz w:val="32"/>
          <w:szCs w:val="32"/>
          <w:u w:val="none"/>
          <w:shd w:val="clear" w:color="auto" w:fill="FFFFFF"/>
          <w:lang w:val="en-US" w:eastAsia="zh-CN"/>
        </w:rPr>
        <w:t>关于屯昌县南坤镇藤寨中心小学2026年</w:t>
      </w:r>
      <w:r>
        <w:rPr>
          <w:rFonts w:hint="eastAsia" w:ascii="黑体" w:hAnsi="黑体" w:eastAsia="黑体" w:cs="Times New Roman"/>
          <w:sz w:val="32"/>
          <w:szCs w:val="32"/>
          <w:u w:val="none"/>
          <w:shd w:val="clear" w:color="auto" w:fill="FFFFFF"/>
        </w:rPr>
        <w:t>政府性基金预算当年拨款情况说明</w:t>
      </w:r>
    </w:p>
    <w:p>
      <w:pPr>
        <w:keepNext w:val="0"/>
        <w:keepLines w:val="0"/>
        <w:pageBreakBefore w:val="0"/>
        <w:kinsoku/>
        <w:wordWrap/>
        <w:overflowPunct/>
        <w:topLinePunct w:val="0"/>
        <w:autoSpaceDE/>
        <w:autoSpaceDN/>
        <w:bidi w:val="0"/>
        <w:adjustRightInd/>
        <w:snapToGrid/>
        <w:spacing w:line="590" w:lineRule="exact"/>
        <w:ind w:firstLine="640"/>
        <w:jc w:val="both"/>
        <w:textAlignment w:val="auto"/>
        <w:rPr>
          <w:rFonts w:ascii="楷体" w:hAnsi="楷体" w:eastAsia="楷体"/>
          <w:sz w:val="32"/>
          <w:szCs w:val="32"/>
          <w:u w:val="none"/>
        </w:rPr>
      </w:pPr>
      <w:r>
        <w:rPr>
          <w:rFonts w:hint="eastAsia" w:ascii="楷体" w:hAnsi="楷体" w:eastAsia="楷体"/>
          <w:sz w:val="32"/>
          <w:szCs w:val="32"/>
          <w:u w:val="none"/>
        </w:rPr>
        <w:t>（一）政府性基金预算当年规模变化情况</w:t>
      </w:r>
    </w:p>
    <w:p>
      <w:pPr>
        <w:ind w:firstLine="640" w:firstLineChars="200"/>
        <w:rPr>
          <w:rFonts w:ascii="仿宋_GB2312" w:hAnsi="黑体" w:eastAsia="仿宋_GB2312"/>
          <w:sz w:val="32"/>
          <w:szCs w:val="32"/>
        </w:rPr>
      </w:pPr>
      <w:r>
        <w:rPr>
          <w:rFonts w:hint="eastAsia" w:ascii="仿宋_GB2312" w:hAnsi="黑体" w:eastAsia="仿宋_GB2312"/>
          <w:color w:val="000000"/>
          <w:sz w:val="32"/>
          <w:szCs w:val="32"/>
        </w:rPr>
        <w:t>屯昌县</w:t>
      </w:r>
      <w:r>
        <w:rPr>
          <w:rFonts w:hint="eastAsia" w:ascii="仿宋_GB2312" w:hAnsi="黑体" w:eastAsia="仿宋_GB2312"/>
          <w:color w:val="000000"/>
          <w:sz w:val="32"/>
          <w:szCs w:val="32"/>
          <w:lang w:val="en-US" w:eastAsia="zh-CN"/>
        </w:rPr>
        <w:t>南坤镇藤寨</w:t>
      </w:r>
      <w:r>
        <w:rPr>
          <w:rFonts w:hint="eastAsia" w:ascii="仿宋_GB2312" w:hAnsi="黑体" w:eastAsia="仿宋_GB2312"/>
          <w:color w:val="000000"/>
          <w:sz w:val="32"/>
          <w:szCs w:val="32"/>
        </w:rPr>
        <w:t>中心小学</w:t>
      </w:r>
      <w:r>
        <w:rPr>
          <w:rFonts w:hint="eastAsia" w:ascii="仿宋_GB2312" w:hAnsi="黑体" w:eastAsia="仿宋_GB2312"/>
          <w:color w:val="000000"/>
          <w:sz w:val="32"/>
          <w:szCs w:val="32"/>
          <w:lang w:eastAsia="zh-CN"/>
        </w:rPr>
        <w:t>202</w:t>
      </w:r>
      <w:r>
        <w:rPr>
          <w:rFonts w:hint="eastAsia" w:ascii="仿宋_GB2312" w:hAnsi="黑体" w:eastAsia="仿宋_GB2312"/>
          <w:color w:val="000000"/>
          <w:sz w:val="32"/>
          <w:szCs w:val="32"/>
          <w:lang w:val="en-US" w:eastAsia="zh-CN"/>
        </w:rPr>
        <w:t>6</w:t>
      </w:r>
      <w:r>
        <w:rPr>
          <w:rFonts w:hint="eastAsia" w:ascii="仿宋_GB2312" w:hAnsi="黑体" w:eastAsia="仿宋_GB2312"/>
          <w:color w:val="000000"/>
          <w:sz w:val="32"/>
          <w:szCs w:val="32"/>
        </w:rPr>
        <w:t>年政府性基金预算当年拨款</w:t>
      </w:r>
      <w:r>
        <w:rPr>
          <w:rFonts w:hint="eastAsia" w:ascii="仿宋_GB2312" w:hAnsi="黑体" w:eastAsia="仿宋_GB2312" w:cs="仿宋_GB2312"/>
          <w:color w:val="000000"/>
          <w:sz w:val="32"/>
          <w:szCs w:val="32"/>
        </w:rPr>
        <w:t>0</w:t>
      </w:r>
      <w:r>
        <w:rPr>
          <w:rFonts w:hint="eastAsia" w:ascii="仿宋_GB2312" w:hAnsi="黑体" w:eastAsia="仿宋_GB2312"/>
          <w:color w:val="000000"/>
          <w:sz w:val="32"/>
          <w:szCs w:val="32"/>
        </w:rPr>
        <w:t>万元，比上年预算数</w:t>
      </w:r>
      <w:r>
        <w:rPr>
          <w:rFonts w:hint="eastAsia" w:ascii="仿宋_GB2312" w:hAnsi="黑体" w:eastAsia="仿宋_GB2312" w:cs="仿宋_GB2312"/>
          <w:color w:val="000000"/>
          <w:sz w:val="32"/>
          <w:szCs w:val="32"/>
        </w:rPr>
        <w:t>持平0</w:t>
      </w:r>
      <w:r>
        <w:rPr>
          <w:rFonts w:hint="eastAsia" w:ascii="仿宋_GB2312" w:hAnsi="黑体" w:eastAsia="仿宋_GB2312"/>
          <w:color w:val="000000"/>
          <w:sz w:val="32"/>
          <w:szCs w:val="32"/>
        </w:rPr>
        <w:t>万元，主要是</w:t>
      </w:r>
      <w:r>
        <w:rPr>
          <w:rFonts w:hint="eastAsia" w:ascii="仿宋_GB2312" w:hAnsi="黑体" w:eastAsia="仿宋_GB2312"/>
          <w:color w:val="000000"/>
          <w:sz w:val="32"/>
          <w:szCs w:val="32"/>
          <w:lang w:eastAsia="zh-CN"/>
        </w:rPr>
        <w:t>202</w:t>
      </w:r>
      <w:r>
        <w:rPr>
          <w:rFonts w:hint="eastAsia" w:ascii="仿宋_GB2312" w:hAnsi="黑体" w:eastAsia="仿宋_GB2312"/>
          <w:color w:val="000000"/>
          <w:sz w:val="32"/>
          <w:szCs w:val="32"/>
          <w:lang w:val="en-US" w:eastAsia="zh-CN"/>
        </w:rPr>
        <w:t>6</w:t>
      </w:r>
      <w:r>
        <w:rPr>
          <w:rFonts w:hint="eastAsia" w:ascii="仿宋_GB2312" w:hAnsi="黑体" w:eastAsia="仿宋_GB2312"/>
          <w:sz w:val="32"/>
          <w:szCs w:val="32"/>
        </w:rPr>
        <w:t>年没有政府性基金预算项目支出。</w:t>
      </w:r>
    </w:p>
    <w:p>
      <w:pPr>
        <w:ind w:firstLine="640"/>
        <w:jc w:val="left"/>
        <w:rPr>
          <w:rFonts w:ascii="楷体" w:hAnsi="楷体" w:eastAsia="楷体"/>
          <w:sz w:val="32"/>
          <w:szCs w:val="32"/>
        </w:rPr>
      </w:pPr>
      <w:r>
        <w:rPr>
          <w:rFonts w:hint="eastAsia" w:ascii="楷体" w:hAnsi="楷体" w:eastAsia="楷体"/>
          <w:sz w:val="32"/>
          <w:szCs w:val="32"/>
        </w:rPr>
        <w:t>（二）政府性基金预算当年拨款结构情况</w:t>
      </w:r>
    </w:p>
    <w:p>
      <w:pPr>
        <w:ind w:firstLine="640" w:firstLineChars="200"/>
        <w:rPr>
          <w:rFonts w:ascii="仿宋_GB2312" w:hAnsi="黑体" w:eastAsia="仿宋_GB2312"/>
          <w:sz w:val="32"/>
          <w:szCs w:val="32"/>
        </w:rPr>
      </w:pPr>
      <w:r>
        <w:rPr>
          <w:rFonts w:hint="eastAsia" w:ascii="仿宋_GB2312" w:hAnsi="黑体" w:eastAsia="仿宋_GB2312"/>
          <w:sz w:val="32"/>
          <w:szCs w:val="32"/>
        </w:rPr>
        <w:t>无政府性基金预算。</w:t>
      </w:r>
    </w:p>
    <w:p>
      <w:pPr>
        <w:ind w:firstLine="640"/>
        <w:jc w:val="left"/>
        <w:rPr>
          <w:rFonts w:ascii="黑体" w:hAnsi="黑体" w:eastAsia="黑体"/>
          <w:sz w:val="32"/>
          <w:szCs w:val="32"/>
          <w:highlight w:val="red"/>
        </w:rPr>
      </w:pPr>
      <w:r>
        <w:rPr>
          <w:rFonts w:hint="eastAsia" w:ascii="楷体" w:hAnsi="楷体" w:eastAsia="楷体"/>
          <w:sz w:val="32"/>
          <w:szCs w:val="32"/>
        </w:rPr>
        <w:t>（三）政府性基金预算当年拨款具体使用情况</w:t>
      </w:r>
    </w:p>
    <w:p>
      <w:pPr>
        <w:ind w:firstLine="640" w:firstLineChars="200"/>
        <w:rPr>
          <w:rFonts w:ascii="仿宋_GB2312" w:hAnsi="黑体" w:eastAsia="仿宋_GB2312"/>
          <w:sz w:val="32"/>
          <w:szCs w:val="32"/>
        </w:rPr>
      </w:pPr>
      <w:r>
        <w:rPr>
          <w:rFonts w:hint="eastAsia" w:ascii="仿宋_GB2312" w:hAnsi="黑体" w:eastAsia="仿宋_GB2312"/>
          <w:sz w:val="32"/>
          <w:szCs w:val="32"/>
        </w:rPr>
        <w:t>无政府性基金预算。</w:t>
      </w:r>
    </w:p>
    <w:p>
      <w:pPr>
        <w:keepNext w:val="0"/>
        <w:keepLines w:val="0"/>
        <w:pageBreakBefore w:val="0"/>
        <w:numPr>
          <w:ilvl w:val="0"/>
          <w:numId w:val="0"/>
        </w:numPr>
        <w:kinsoku/>
        <w:wordWrap/>
        <w:overflowPunct/>
        <w:topLinePunct w:val="0"/>
        <w:autoSpaceDE/>
        <w:autoSpaceDN/>
        <w:bidi w:val="0"/>
        <w:adjustRightInd/>
        <w:snapToGrid/>
        <w:spacing w:line="590" w:lineRule="exact"/>
        <w:ind w:firstLine="640" w:firstLineChars="200"/>
        <w:jc w:val="both"/>
        <w:textAlignment w:val="auto"/>
        <w:rPr>
          <w:rFonts w:hint="eastAsia" w:ascii="黑体" w:hAnsi="黑体" w:eastAsia="黑体" w:cs="Times New Roman"/>
          <w:sz w:val="32"/>
          <w:szCs w:val="32"/>
          <w:u w:val="none"/>
          <w:shd w:val="clear" w:color="auto" w:fill="FFFFFF"/>
          <w:lang w:eastAsia="zh-CN"/>
        </w:rPr>
      </w:pPr>
      <w:r>
        <w:rPr>
          <w:rFonts w:hint="eastAsia" w:ascii="黑体" w:hAnsi="黑体" w:eastAsia="黑体" w:cs="Times New Roman"/>
          <w:sz w:val="32"/>
          <w:szCs w:val="32"/>
          <w:u w:val="none"/>
          <w:shd w:val="clear" w:color="auto" w:fill="FFFFFF"/>
          <w:lang w:val="en-US" w:eastAsia="zh-CN"/>
        </w:rPr>
        <w:t>六、关于屯昌县南坤镇藤寨中心小学2026年</w:t>
      </w:r>
      <w:r>
        <w:rPr>
          <w:rFonts w:hint="eastAsia" w:ascii="黑体" w:hAnsi="黑体" w:eastAsia="黑体" w:cs="Times New Roman"/>
          <w:sz w:val="32"/>
          <w:szCs w:val="32"/>
          <w:u w:val="none"/>
          <w:shd w:val="clear" w:color="auto" w:fill="FFFFFF"/>
          <w:lang w:eastAsia="zh-CN"/>
        </w:rPr>
        <w:t>国有资本经营预算当年拨款情况说明</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lang w:eastAsia="zh-CN"/>
        </w:rPr>
      </w:pPr>
      <w:r>
        <w:rPr>
          <w:rFonts w:hint="eastAsia" w:ascii="仿宋_GB2312" w:hAnsi="黑体" w:eastAsia="仿宋_GB2312" w:cs="仿宋_GB2312"/>
          <w:sz w:val="32"/>
          <w:szCs w:val="32"/>
          <w:u w:val="none"/>
          <w:lang w:val="en-US" w:eastAsia="zh-CN"/>
        </w:rPr>
        <w:t>屯昌县南坤镇藤寨中心小学2026</w:t>
      </w:r>
      <w:r>
        <w:rPr>
          <w:rFonts w:hint="eastAsia" w:ascii="仿宋_GB2312" w:hAnsi="黑体" w:eastAsia="仿宋_GB2312"/>
          <w:sz w:val="32"/>
          <w:szCs w:val="32"/>
          <w:u w:val="none"/>
        </w:rPr>
        <w:t>年</w:t>
      </w:r>
      <w:r>
        <w:rPr>
          <w:rFonts w:hint="eastAsia" w:ascii="仿宋_GB2312" w:hAnsi="黑体" w:eastAsia="仿宋_GB2312"/>
          <w:sz w:val="32"/>
          <w:szCs w:val="32"/>
          <w:u w:val="none"/>
          <w:lang w:eastAsia="zh-CN"/>
        </w:rPr>
        <w:t>国有资本经营</w:t>
      </w:r>
      <w:r>
        <w:rPr>
          <w:rFonts w:hint="eastAsia" w:ascii="仿宋_GB2312" w:hAnsi="黑体" w:eastAsia="仿宋_GB2312"/>
          <w:sz w:val="32"/>
          <w:szCs w:val="32"/>
          <w:u w:val="none"/>
        </w:rPr>
        <w:t>预算当年拨款</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与上年持平。</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黑体" w:hAnsi="黑体" w:eastAsia="黑体" w:cs="Times New Roman"/>
          <w:sz w:val="32"/>
          <w:szCs w:val="32"/>
          <w:u w:val="none"/>
          <w:shd w:val="clear" w:color="auto" w:fill="FFFFFF"/>
        </w:rPr>
      </w:pPr>
      <w:r>
        <w:rPr>
          <w:rFonts w:hint="eastAsia" w:ascii="黑体" w:hAnsi="黑体" w:eastAsia="黑体" w:cs="Times New Roman"/>
          <w:sz w:val="32"/>
          <w:szCs w:val="32"/>
          <w:u w:val="none"/>
          <w:shd w:val="clear" w:color="auto" w:fill="FFFFFF"/>
          <w:lang w:eastAsia="zh-CN"/>
        </w:rPr>
        <w:t>七、</w:t>
      </w:r>
      <w:r>
        <w:rPr>
          <w:rFonts w:hint="eastAsia" w:ascii="黑体" w:hAnsi="黑体" w:eastAsia="黑体" w:cs="Times New Roman"/>
          <w:sz w:val="32"/>
          <w:szCs w:val="32"/>
          <w:u w:val="none"/>
          <w:shd w:val="clear" w:color="auto" w:fill="FFFFFF"/>
          <w:lang w:val="en-US" w:eastAsia="zh-CN"/>
        </w:rPr>
        <w:t>关于屯昌县南坤镇藤寨中心小学2026年</w:t>
      </w:r>
      <w:r>
        <w:rPr>
          <w:rFonts w:hint="eastAsia" w:ascii="黑体" w:hAnsi="黑体" w:eastAsia="黑体" w:cs="Times New Roman"/>
          <w:sz w:val="32"/>
          <w:szCs w:val="32"/>
          <w:u w:val="none"/>
          <w:shd w:val="clear" w:color="auto" w:fill="FFFFFF"/>
        </w:rPr>
        <w:t>收支预算总体情况说明</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rPr>
      </w:pPr>
      <w:r>
        <w:rPr>
          <w:rFonts w:hint="eastAsia" w:ascii="仿宋_GB2312" w:hAnsi="黑体" w:eastAsia="仿宋_GB2312" w:cs="仿宋_GB2312"/>
          <w:sz w:val="32"/>
          <w:szCs w:val="32"/>
          <w:u w:val="none"/>
        </w:rPr>
        <w:t>按照综合预算原则，</w:t>
      </w:r>
      <w:r>
        <w:rPr>
          <w:rFonts w:hint="eastAsia" w:ascii="仿宋_GB2312" w:hAnsi="黑体" w:eastAsia="仿宋_GB2312" w:cs="仿宋_GB2312"/>
          <w:sz w:val="32"/>
          <w:szCs w:val="32"/>
          <w:u w:val="none"/>
          <w:lang w:val="en-US" w:eastAsia="zh-CN"/>
        </w:rPr>
        <w:t>屯昌县南坤镇藤寨中心小学</w:t>
      </w:r>
      <w:r>
        <w:rPr>
          <w:rFonts w:hint="eastAsia" w:ascii="仿宋_GB2312" w:hAnsi="黑体" w:eastAsia="仿宋_GB2312" w:cs="仿宋_GB2312"/>
          <w:sz w:val="32"/>
          <w:szCs w:val="32"/>
          <w:u w:val="none"/>
        </w:rPr>
        <w:t>所有收入和支出均纳入部门预算管理。</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年收支总预算</w:t>
      </w:r>
      <w:r>
        <w:rPr>
          <w:rFonts w:hint="eastAsia" w:ascii="仿宋_GB2312" w:hAnsi="黑体" w:eastAsia="仿宋_GB2312"/>
          <w:sz w:val="32"/>
          <w:szCs w:val="32"/>
          <w:u w:val="none"/>
          <w:lang w:val="en-US" w:eastAsia="zh-CN"/>
        </w:rPr>
        <w:t>1887.59</w:t>
      </w:r>
      <w:r>
        <w:rPr>
          <w:rFonts w:hint="eastAsia" w:ascii="仿宋_GB2312" w:hAnsi="黑体" w:eastAsia="仿宋_GB2312"/>
          <w:sz w:val="32"/>
          <w:szCs w:val="32"/>
          <w:u w:val="none"/>
        </w:rPr>
        <w:t>万元</w:t>
      </w:r>
      <w:r>
        <w:rPr>
          <w:rFonts w:hint="eastAsia" w:ascii="仿宋_GB2312" w:hAnsi="黑体" w:eastAsia="仿宋_GB2312"/>
          <w:sz w:val="32"/>
          <w:szCs w:val="32"/>
          <w:highlight w:val="none"/>
          <w:u w:val="none"/>
        </w:rPr>
        <w:t>。</w:t>
      </w:r>
      <w:r>
        <w:rPr>
          <w:rFonts w:hint="eastAsia" w:ascii="仿宋_GB2312" w:hAnsi="黑体" w:eastAsia="仿宋_GB2312" w:cs="仿宋_GB2312"/>
          <w:sz w:val="32"/>
          <w:szCs w:val="32"/>
          <w:highlight w:val="none"/>
          <w:u w:val="none"/>
        </w:rPr>
        <w:t>收入包括：一般公共预算收入、政府性基金收入、</w:t>
      </w:r>
      <w:r>
        <w:rPr>
          <w:rFonts w:hint="eastAsia" w:ascii="仿宋_GB2312" w:hAnsi="黑体" w:eastAsia="仿宋_GB2312" w:cs="仿宋_GB2312"/>
          <w:sz w:val="32"/>
          <w:szCs w:val="32"/>
          <w:highlight w:val="none"/>
          <w:u w:val="none"/>
          <w:lang w:eastAsia="zh-CN"/>
        </w:rPr>
        <w:t>国有资本经营预算收入、财政专户管理</w:t>
      </w:r>
      <w:r>
        <w:rPr>
          <w:rFonts w:hint="eastAsia" w:ascii="仿宋_GB2312" w:hAnsi="黑体" w:eastAsia="仿宋_GB2312" w:cs="仿宋_GB2312"/>
          <w:sz w:val="32"/>
          <w:szCs w:val="32"/>
          <w:highlight w:val="none"/>
          <w:u w:val="none"/>
        </w:rPr>
        <w:t>资金收入、事业收入、</w:t>
      </w:r>
      <w:r>
        <w:rPr>
          <w:rFonts w:ascii="仿宋_GB2312" w:hAnsi="黑体" w:eastAsia="仿宋_GB2312"/>
          <w:sz w:val="32"/>
          <w:szCs w:val="32"/>
          <w:highlight w:val="none"/>
          <w:u w:val="none"/>
        </w:rPr>
        <w:t>……</w:t>
      </w:r>
      <w:r>
        <w:rPr>
          <w:rFonts w:hint="eastAsia" w:ascii="仿宋_GB2312" w:hAnsi="黑体" w:eastAsia="仿宋_GB2312"/>
          <w:sz w:val="32"/>
          <w:szCs w:val="32"/>
          <w:highlight w:val="none"/>
          <w:u w:val="none"/>
        </w:rPr>
        <w:t>；支出包括：一般公共服务支出、外交支出、国防支出、公共安全支出、教育支出、</w:t>
      </w:r>
      <w:r>
        <w:rPr>
          <w:rFonts w:ascii="仿宋_GB2312" w:hAnsi="黑体" w:eastAsia="仿宋_GB2312"/>
          <w:sz w:val="32"/>
          <w:szCs w:val="32"/>
          <w:highlight w:val="none"/>
          <w:u w:val="none"/>
        </w:rPr>
        <w:t>…</w:t>
      </w:r>
      <w:r>
        <w:rPr>
          <w:rFonts w:ascii="仿宋_GB2312" w:hAnsi="黑体" w:eastAsia="仿宋_GB2312"/>
          <w:sz w:val="32"/>
          <w:szCs w:val="32"/>
          <w:u w:val="none"/>
        </w:rPr>
        <w:t>…</w:t>
      </w:r>
      <w:r>
        <w:rPr>
          <w:rFonts w:hint="eastAsia" w:ascii="仿宋_GB2312" w:hAnsi="黑体" w:eastAsia="仿宋_GB2312"/>
          <w:sz w:val="32"/>
          <w:szCs w:val="32"/>
          <w:u w:val="none"/>
        </w:rPr>
        <w:t>。</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黑体" w:hAnsi="黑体" w:eastAsia="黑体" w:cs="Times New Roman"/>
          <w:sz w:val="32"/>
          <w:szCs w:val="32"/>
          <w:u w:val="none"/>
          <w:shd w:val="clear" w:color="auto" w:fill="FFFFFF"/>
        </w:rPr>
      </w:pPr>
      <w:r>
        <w:rPr>
          <w:rFonts w:hint="eastAsia" w:ascii="黑体" w:hAnsi="黑体" w:eastAsia="黑体" w:cs="Times New Roman"/>
          <w:sz w:val="32"/>
          <w:szCs w:val="32"/>
          <w:u w:val="none"/>
          <w:shd w:val="clear" w:color="auto" w:fill="FFFFFF"/>
          <w:lang w:eastAsia="zh-CN"/>
        </w:rPr>
        <w:t>八</w:t>
      </w:r>
      <w:r>
        <w:rPr>
          <w:rFonts w:hint="eastAsia" w:ascii="黑体" w:hAnsi="黑体" w:eastAsia="黑体" w:cs="Times New Roman"/>
          <w:sz w:val="32"/>
          <w:szCs w:val="32"/>
          <w:u w:val="none"/>
          <w:shd w:val="clear" w:color="auto" w:fill="FFFFFF"/>
        </w:rPr>
        <w:t>、</w:t>
      </w:r>
      <w:r>
        <w:rPr>
          <w:rFonts w:hint="eastAsia" w:ascii="黑体" w:hAnsi="黑体" w:eastAsia="黑体" w:cs="Times New Roman"/>
          <w:sz w:val="32"/>
          <w:szCs w:val="32"/>
          <w:u w:val="none"/>
          <w:shd w:val="clear" w:color="auto" w:fill="FFFFFF"/>
          <w:lang w:val="en-US" w:eastAsia="zh-CN"/>
        </w:rPr>
        <w:t>关于屯昌县南坤镇藤寨中心小学2026年</w:t>
      </w:r>
      <w:r>
        <w:rPr>
          <w:rFonts w:hint="eastAsia" w:ascii="黑体" w:hAnsi="黑体" w:eastAsia="黑体" w:cs="Times New Roman"/>
          <w:sz w:val="32"/>
          <w:szCs w:val="32"/>
          <w:u w:val="none"/>
          <w:shd w:val="clear" w:color="auto" w:fill="FFFFFF"/>
        </w:rPr>
        <w:t>收入预算情况说明</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黑体" w:eastAsia="仿宋_GB2312"/>
          <w:sz w:val="32"/>
          <w:szCs w:val="32"/>
          <w:u w:val="none"/>
          <w:lang w:eastAsia="zh-CN"/>
        </w:rPr>
      </w:pPr>
      <w:r>
        <w:rPr>
          <w:rFonts w:hint="eastAsia" w:ascii="仿宋_GB2312" w:hAnsi="黑体" w:eastAsia="仿宋_GB2312" w:cs="仿宋_GB2312"/>
          <w:sz w:val="32"/>
          <w:szCs w:val="32"/>
          <w:u w:val="none"/>
          <w:lang w:val="en-US" w:eastAsia="zh-CN"/>
        </w:rPr>
        <w:t>屯昌县南坤镇藤寨中心小学2026</w:t>
      </w:r>
      <w:r>
        <w:rPr>
          <w:rFonts w:hint="eastAsia" w:ascii="仿宋_GB2312" w:hAnsi="黑体" w:eastAsia="仿宋_GB2312"/>
          <w:sz w:val="32"/>
          <w:szCs w:val="32"/>
          <w:u w:val="none"/>
        </w:rPr>
        <w:t>年收入预算</w:t>
      </w:r>
      <w:r>
        <w:rPr>
          <w:rFonts w:hint="eastAsia" w:ascii="仿宋_GB2312" w:hAnsi="黑体" w:eastAsia="仿宋_GB2312"/>
          <w:sz w:val="32"/>
          <w:szCs w:val="32"/>
          <w:u w:val="none"/>
          <w:lang w:val="en-US" w:eastAsia="zh-CN"/>
        </w:rPr>
        <w:t>1887.59</w:t>
      </w:r>
      <w:r>
        <w:rPr>
          <w:rFonts w:hint="eastAsia" w:ascii="仿宋_GB2312" w:hAnsi="黑体" w:eastAsia="仿宋_GB2312"/>
          <w:sz w:val="32"/>
          <w:szCs w:val="32"/>
          <w:u w:val="none"/>
        </w:rPr>
        <w:t>万元，其中：上年结转</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w:t>
      </w:r>
      <w:r>
        <w:rPr>
          <w:rFonts w:hint="eastAsia" w:ascii="仿宋_GB2312" w:hAnsi="黑体" w:eastAsia="仿宋_GB2312"/>
          <w:sz w:val="32"/>
          <w:szCs w:val="32"/>
          <w:u w:val="none"/>
          <w:lang w:eastAsia="zh-CN"/>
        </w:rPr>
        <w:t>一般公共预算</w:t>
      </w:r>
      <w:r>
        <w:rPr>
          <w:rFonts w:hint="eastAsia" w:ascii="仿宋_GB2312" w:hAnsi="黑体" w:eastAsia="仿宋_GB2312"/>
          <w:sz w:val="32"/>
          <w:szCs w:val="32"/>
          <w:u w:val="none"/>
        </w:rPr>
        <w:t>拨款收入</w:t>
      </w:r>
      <w:r>
        <w:rPr>
          <w:rFonts w:hint="eastAsia" w:ascii="仿宋_GB2312" w:hAnsi="黑体" w:eastAsia="仿宋_GB2312"/>
          <w:sz w:val="32"/>
          <w:szCs w:val="32"/>
          <w:u w:val="none"/>
          <w:lang w:val="en-US" w:eastAsia="zh-CN"/>
        </w:rPr>
        <w:t>1887.59</w:t>
      </w:r>
      <w:r>
        <w:rPr>
          <w:rFonts w:hint="eastAsia" w:ascii="仿宋_GB2312" w:hAnsi="黑体" w:eastAsia="仿宋_GB2312"/>
          <w:sz w:val="32"/>
          <w:szCs w:val="32"/>
          <w:u w:val="none"/>
        </w:rPr>
        <w:t>万元，占</w:t>
      </w:r>
      <w:r>
        <w:rPr>
          <w:rFonts w:hint="eastAsia" w:ascii="仿宋_GB2312" w:hAnsi="黑体" w:eastAsia="仿宋_GB2312"/>
          <w:sz w:val="32"/>
          <w:szCs w:val="32"/>
          <w:u w:val="none"/>
          <w:lang w:val="en-US" w:eastAsia="zh-CN"/>
        </w:rPr>
        <w:t>100</w:t>
      </w:r>
      <w:r>
        <w:rPr>
          <w:rFonts w:hint="eastAsia" w:ascii="仿宋_GB2312" w:hAnsi="黑体" w:eastAsia="仿宋_GB2312"/>
          <w:sz w:val="32"/>
          <w:szCs w:val="32"/>
          <w:u w:val="none"/>
        </w:rPr>
        <w:t>%；政府性基金</w:t>
      </w:r>
      <w:r>
        <w:rPr>
          <w:rFonts w:hint="eastAsia" w:ascii="仿宋_GB2312" w:hAnsi="黑体" w:eastAsia="仿宋_GB2312"/>
          <w:sz w:val="32"/>
          <w:szCs w:val="32"/>
          <w:u w:val="none"/>
          <w:lang w:eastAsia="zh-CN"/>
        </w:rPr>
        <w:t>预算拨款</w:t>
      </w:r>
      <w:r>
        <w:rPr>
          <w:rFonts w:hint="eastAsia" w:ascii="仿宋_GB2312" w:hAnsi="黑体" w:eastAsia="仿宋_GB2312"/>
          <w:sz w:val="32"/>
          <w:szCs w:val="32"/>
          <w:u w:val="none"/>
        </w:rPr>
        <w:t>收入</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sz w:val="32"/>
          <w:szCs w:val="32"/>
          <w:u w:val="none"/>
          <w:lang w:val="en-US" w:eastAsia="zh-CN"/>
        </w:rPr>
        <w:t>0</w:t>
      </w:r>
      <w:r>
        <w:rPr>
          <w:rFonts w:hint="eastAsia" w:ascii="仿宋_GB2312" w:hAnsi="黑体" w:eastAsia="仿宋_GB2312"/>
          <w:sz w:val="32"/>
          <w:szCs w:val="32"/>
          <w:highlight w:val="none"/>
          <w:u w:val="none"/>
        </w:rPr>
        <w:t>%；</w:t>
      </w:r>
      <w:r>
        <w:rPr>
          <w:rFonts w:hint="eastAsia" w:ascii="仿宋_GB2312" w:hAnsi="黑体" w:eastAsia="仿宋_GB2312"/>
          <w:sz w:val="32"/>
          <w:szCs w:val="32"/>
          <w:highlight w:val="none"/>
          <w:u w:val="none"/>
          <w:lang w:eastAsia="zh-CN"/>
        </w:rPr>
        <w:t>国有资本经营预算拨款收入</w:t>
      </w:r>
      <w:r>
        <w:rPr>
          <w:rFonts w:hint="eastAsia" w:ascii="仿宋_GB2312" w:hAnsi="黑体" w:eastAsia="仿宋_GB2312"/>
          <w:sz w:val="32"/>
          <w:szCs w:val="32"/>
          <w:highlight w:val="none"/>
          <w:u w:val="none"/>
          <w:lang w:val="en-US" w:eastAsia="zh-CN"/>
        </w:rPr>
        <w:t>0</w:t>
      </w:r>
      <w:r>
        <w:rPr>
          <w:rFonts w:hint="eastAsia" w:ascii="仿宋_GB2312" w:hAnsi="黑体" w:eastAsia="仿宋_GB2312"/>
          <w:sz w:val="32"/>
          <w:szCs w:val="32"/>
          <w:highlight w:val="none"/>
          <w:u w:val="none"/>
        </w:rPr>
        <w:t>万元，占</w:t>
      </w:r>
      <w:r>
        <w:rPr>
          <w:rFonts w:hint="eastAsia" w:ascii="仿宋_GB2312" w:hAnsi="黑体" w:eastAsia="仿宋_GB2312"/>
          <w:sz w:val="32"/>
          <w:szCs w:val="32"/>
          <w:highlight w:val="none"/>
          <w:u w:val="none"/>
          <w:lang w:val="en-US" w:eastAsia="zh-CN"/>
        </w:rPr>
        <w:t>0</w:t>
      </w:r>
      <w:r>
        <w:rPr>
          <w:rFonts w:hint="eastAsia" w:ascii="仿宋_GB2312" w:hAnsi="黑体" w:eastAsia="仿宋_GB2312"/>
          <w:sz w:val="32"/>
          <w:szCs w:val="32"/>
          <w:highlight w:val="none"/>
          <w:u w:val="none"/>
        </w:rPr>
        <w:t>%</w:t>
      </w:r>
      <w:r>
        <w:rPr>
          <w:rFonts w:hint="eastAsia" w:ascii="仿宋_GB2312" w:hAnsi="黑体" w:eastAsia="仿宋_GB2312"/>
          <w:sz w:val="32"/>
          <w:szCs w:val="32"/>
          <w:highlight w:val="none"/>
          <w:u w:val="none"/>
          <w:lang w:eastAsia="zh-CN"/>
        </w:rPr>
        <w:t>。</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黑体" w:hAnsi="黑体" w:eastAsia="黑体" w:cs="Times New Roman"/>
          <w:sz w:val="32"/>
          <w:szCs w:val="32"/>
          <w:u w:val="none"/>
          <w:shd w:val="clear" w:color="auto" w:fill="FFFFFF"/>
        </w:rPr>
      </w:pPr>
      <w:r>
        <w:rPr>
          <w:rFonts w:hint="eastAsia" w:ascii="黑体" w:hAnsi="黑体" w:eastAsia="黑体" w:cs="Times New Roman"/>
          <w:sz w:val="32"/>
          <w:szCs w:val="32"/>
          <w:u w:val="none"/>
          <w:shd w:val="clear" w:color="auto" w:fill="FFFFFF"/>
          <w:lang w:eastAsia="zh-CN"/>
        </w:rPr>
        <w:t>九</w:t>
      </w:r>
      <w:r>
        <w:rPr>
          <w:rFonts w:hint="eastAsia" w:ascii="黑体" w:hAnsi="黑体" w:eastAsia="黑体" w:cs="Times New Roman"/>
          <w:sz w:val="32"/>
          <w:szCs w:val="32"/>
          <w:u w:val="none"/>
          <w:shd w:val="clear" w:color="auto" w:fill="FFFFFF"/>
        </w:rPr>
        <w:t>、</w:t>
      </w:r>
      <w:r>
        <w:rPr>
          <w:rFonts w:hint="eastAsia" w:ascii="黑体" w:hAnsi="黑体" w:eastAsia="黑体" w:cs="Times New Roman"/>
          <w:sz w:val="32"/>
          <w:szCs w:val="32"/>
          <w:u w:val="none"/>
          <w:shd w:val="clear" w:color="auto" w:fill="FFFFFF"/>
          <w:lang w:val="en-US" w:eastAsia="zh-CN"/>
        </w:rPr>
        <w:t>关于屯昌县南坤镇藤寨中心小学2026年</w:t>
      </w:r>
      <w:bookmarkStart w:id="0" w:name="_GoBack"/>
      <w:bookmarkEnd w:id="0"/>
      <w:r>
        <w:rPr>
          <w:rFonts w:hint="eastAsia" w:ascii="黑体" w:hAnsi="黑体" w:eastAsia="黑体" w:cs="Times New Roman"/>
          <w:sz w:val="32"/>
          <w:szCs w:val="32"/>
          <w:u w:val="none"/>
          <w:shd w:val="clear" w:color="auto" w:fill="FFFFFF"/>
        </w:rPr>
        <w:t>支出预算情况说明</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90" w:lineRule="exact"/>
        <w:ind w:left="0" w:right="0"/>
        <w:jc w:val="both"/>
        <w:textAlignment w:val="auto"/>
        <w:rPr>
          <w:color w:val="000000" w:themeColor="text1"/>
          <w:sz w:val="32"/>
          <w:szCs w:val="32"/>
          <w14:textFill>
            <w14:solidFill>
              <w14:schemeClr w14:val="tx1"/>
            </w14:solidFill>
          </w14:textFill>
        </w:rPr>
      </w:pPr>
      <w:r>
        <w:rPr>
          <w:rFonts w:hint="eastAsia" w:ascii="仿宋_GB2312" w:hAnsi="黑体" w:eastAsia="仿宋_GB2312" w:cs="仿宋_GB2312"/>
          <w:sz w:val="32"/>
          <w:szCs w:val="32"/>
          <w:u w:val="none"/>
          <w:lang w:val="en-US" w:eastAsia="zh-CN"/>
        </w:rPr>
        <w:t>屯昌县南坤镇藤寨中心小学2026</w:t>
      </w:r>
      <w:r>
        <w:rPr>
          <w:rFonts w:hint="eastAsia" w:ascii="仿宋_GB2312" w:hAnsi="黑体" w:eastAsia="仿宋_GB2312"/>
          <w:sz w:val="32"/>
          <w:szCs w:val="32"/>
          <w:u w:val="none"/>
        </w:rPr>
        <w:t>年支出预算</w:t>
      </w:r>
      <w:r>
        <w:rPr>
          <w:rFonts w:hint="eastAsia" w:ascii="仿宋_GB2312" w:hAnsi="黑体" w:eastAsia="仿宋_GB2312"/>
          <w:sz w:val="32"/>
          <w:szCs w:val="32"/>
          <w:u w:val="none"/>
          <w:lang w:val="en-US" w:eastAsia="zh-CN"/>
        </w:rPr>
        <w:t>1887.59</w:t>
      </w:r>
      <w:r>
        <w:rPr>
          <w:rFonts w:hint="eastAsia" w:ascii="仿宋_GB2312" w:hAnsi="黑体" w:eastAsia="仿宋_GB2312"/>
          <w:sz w:val="32"/>
          <w:szCs w:val="32"/>
          <w:u w:val="none"/>
        </w:rPr>
        <w:t>万元，其中：基本支出</w:t>
      </w:r>
      <w:r>
        <w:rPr>
          <w:rFonts w:hint="eastAsia" w:ascii="仿宋_GB2312" w:hAnsi="黑体" w:eastAsia="仿宋_GB2312"/>
          <w:sz w:val="32"/>
          <w:szCs w:val="32"/>
          <w:u w:val="none"/>
          <w:lang w:val="en-US" w:eastAsia="zh-CN"/>
        </w:rPr>
        <w:t>1880.17</w:t>
      </w:r>
      <w:r>
        <w:rPr>
          <w:rFonts w:hint="eastAsia" w:ascii="仿宋_GB2312" w:hAnsi="黑体" w:eastAsia="仿宋_GB2312"/>
          <w:sz w:val="32"/>
          <w:szCs w:val="32"/>
          <w:u w:val="none"/>
        </w:rPr>
        <w:t>万元，占</w:t>
      </w:r>
      <w:r>
        <w:rPr>
          <w:rFonts w:hint="eastAsia" w:ascii="仿宋_GB2312" w:hAnsi="黑体" w:eastAsia="仿宋_GB2312"/>
          <w:sz w:val="32"/>
          <w:szCs w:val="32"/>
          <w:u w:val="none"/>
          <w:lang w:val="en-US" w:eastAsia="zh-CN"/>
        </w:rPr>
        <w:t>99.6</w:t>
      </w:r>
      <w:r>
        <w:rPr>
          <w:rFonts w:hint="eastAsia" w:ascii="仿宋_GB2312" w:hAnsi="黑体" w:eastAsia="仿宋_GB2312"/>
          <w:sz w:val="32"/>
          <w:szCs w:val="32"/>
          <w:u w:val="none"/>
        </w:rPr>
        <w:t>%；项目支出</w:t>
      </w:r>
      <w:r>
        <w:rPr>
          <w:rFonts w:hint="eastAsia" w:ascii="仿宋_GB2312" w:hAnsi="黑体" w:eastAsia="仿宋_GB2312"/>
          <w:sz w:val="32"/>
          <w:szCs w:val="32"/>
          <w:u w:val="none"/>
          <w:lang w:val="en-US" w:eastAsia="zh-CN"/>
        </w:rPr>
        <w:t>7.42</w:t>
      </w:r>
      <w:r>
        <w:rPr>
          <w:rFonts w:hint="eastAsia" w:ascii="仿宋_GB2312" w:hAnsi="黑体" w:eastAsia="仿宋_GB2312"/>
          <w:sz w:val="32"/>
          <w:szCs w:val="32"/>
          <w:u w:val="none"/>
        </w:rPr>
        <w:t>万元，占</w:t>
      </w:r>
      <w:r>
        <w:rPr>
          <w:rFonts w:hint="eastAsia" w:ascii="仿宋_GB2312" w:hAnsi="黑体" w:eastAsia="仿宋_GB2312"/>
          <w:sz w:val="32"/>
          <w:szCs w:val="32"/>
          <w:u w:val="none"/>
          <w:lang w:val="en-US" w:eastAsia="zh-CN"/>
        </w:rPr>
        <w:t>0.4</w:t>
      </w:r>
      <w:r>
        <w:rPr>
          <w:rFonts w:hint="eastAsia" w:ascii="仿宋_GB2312" w:hAnsi="黑体" w:eastAsia="仿宋_GB2312"/>
          <w:sz w:val="32"/>
          <w:szCs w:val="32"/>
          <w:u w:val="none"/>
        </w:rPr>
        <w:t>%。</w:t>
      </w:r>
      <w:r>
        <w:rPr>
          <w:rFonts w:hint="eastAsia" w:ascii="仿宋_GB2312" w:hAnsi="黑体" w:eastAsia="仿宋_GB2312"/>
          <w:color w:val="000000" w:themeColor="text1"/>
          <w:sz w:val="32"/>
          <w:szCs w:val="32"/>
          <w:u w:val="none"/>
          <w14:textFill>
            <w14:solidFill>
              <w14:schemeClr w14:val="tx1"/>
            </w14:solidFill>
          </w14:textFill>
        </w:rPr>
        <w:t>比上年预算数</w:t>
      </w:r>
      <w:r>
        <w:rPr>
          <w:rFonts w:hint="eastAsia" w:ascii="仿宋_GB2312" w:hAnsi="黑体" w:eastAsia="仿宋_GB2312" w:cs="仿宋_GB2312"/>
          <w:color w:val="000000" w:themeColor="text1"/>
          <w:sz w:val="32"/>
          <w:szCs w:val="32"/>
          <w:u w:val="none"/>
          <w14:textFill>
            <w14:solidFill>
              <w14:schemeClr w14:val="tx1"/>
            </w14:solidFill>
          </w14:textFill>
        </w:rPr>
        <w:t>减少</w:t>
      </w:r>
      <w:r>
        <w:rPr>
          <w:rFonts w:hint="eastAsia" w:ascii="仿宋_GB2312" w:hAnsi="黑体" w:eastAsia="仿宋_GB2312" w:cs="仿宋_GB2312"/>
          <w:color w:val="000000" w:themeColor="text1"/>
          <w:sz w:val="32"/>
          <w:szCs w:val="32"/>
          <w:u w:val="none"/>
          <w:lang w:val="en-US" w:eastAsia="zh-CN"/>
          <w14:textFill>
            <w14:solidFill>
              <w14:schemeClr w14:val="tx1"/>
            </w14:solidFill>
          </w14:textFill>
        </w:rPr>
        <w:t>459.36</w:t>
      </w:r>
      <w:r>
        <w:rPr>
          <w:rFonts w:hint="eastAsia" w:ascii="仿宋_GB2312" w:hAnsi="黑体" w:eastAsia="仿宋_GB2312"/>
          <w:color w:val="000000" w:themeColor="text1"/>
          <w:sz w:val="32"/>
          <w:szCs w:val="32"/>
          <w:u w:val="none"/>
          <w14:textFill>
            <w14:solidFill>
              <w14:schemeClr w14:val="tx1"/>
            </w14:solidFill>
          </w14:textFill>
        </w:rPr>
        <w:t>万元</w:t>
      </w:r>
      <w:r>
        <w:rPr>
          <w:rFonts w:hint="eastAsia" w:ascii="仿宋_GB2312" w:hAnsi="黑体" w:eastAsia="仿宋_GB2312"/>
          <w:color w:val="000000" w:themeColor="text1"/>
          <w:sz w:val="32"/>
          <w:szCs w:val="32"/>
          <w:u w:val="none"/>
          <w:lang w:eastAsia="zh-CN"/>
          <w14:textFill>
            <w14:solidFill>
              <w14:schemeClr w14:val="tx1"/>
            </w14:solidFill>
          </w14:textFill>
        </w:rPr>
        <w:t>，</w:t>
      </w:r>
      <w:r>
        <w:rPr>
          <w:rFonts w:hint="eastAsia" w:ascii="仿宋_GB2312" w:hAnsi="黑体" w:eastAsia="仿宋_GB2312"/>
          <w:color w:val="000000" w:themeColor="text1"/>
          <w:sz w:val="32"/>
          <w:szCs w:val="32"/>
          <w:u w:val="none"/>
          <w14:textFill>
            <w14:solidFill>
              <w14:schemeClr w14:val="tx1"/>
            </w14:solidFill>
          </w14:textFill>
        </w:rPr>
        <w:t>主要是</w:t>
      </w:r>
      <w:r>
        <w:rPr>
          <w:rFonts w:hint="eastAsia" w:ascii="仿宋_GB2312" w:hAnsi="黑体" w:eastAsia="仿宋_GB2312"/>
          <w:color w:val="000000" w:themeColor="text1"/>
          <w:sz w:val="32"/>
          <w:szCs w:val="32"/>
          <w:u w:val="none"/>
          <w:lang w:val="en-US" w:eastAsia="zh-CN"/>
          <w14:textFill>
            <w14:solidFill>
              <w14:schemeClr w14:val="tx1"/>
            </w14:solidFill>
          </w14:textFill>
        </w:rPr>
        <w:t>编制人员减少。</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黑体" w:hAnsi="黑体" w:eastAsia="黑体" w:cs="Times New Roman"/>
          <w:sz w:val="32"/>
          <w:szCs w:val="32"/>
          <w:u w:val="none"/>
          <w:shd w:val="clear" w:color="auto" w:fill="FFFFFF"/>
        </w:rPr>
      </w:pPr>
      <w:r>
        <w:rPr>
          <w:rFonts w:hint="eastAsia" w:ascii="黑体" w:hAnsi="黑体" w:eastAsia="黑体" w:cs="Times New Roman"/>
          <w:sz w:val="32"/>
          <w:szCs w:val="32"/>
          <w:u w:val="none"/>
          <w:shd w:val="clear" w:color="auto" w:fill="FFFFFF"/>
          <w:lang w:eastAsia="zh-CN"/>
        </w:rPr>
        <w:t>十</w:t>
      </w:r>
      <w:r>
        <w:rPr>
          <w:rFonts w:hint="eastAsia" w:ascii="黑体" w:hAnsi="黑体" w:eastAsia="黑体" w:cs="Times New Roman"/>
          <w:sz w:val="32"/>
          <w:szCs w:val="32"/>
          <w:u w:val="none"/>
          <w:shd w:val="clear" w:color="auto" w:fill="FFFFFF"/>
        </w:rPr>
        <w:t>、其他重要事项的情况说明</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楷体" w:hAnsi="楷体" w:eastAsia="楷体"/>
          <w:sz w:val="32"/>
          <w:szCs w:val="32"/>
          <w:u w:val="none"/>
        </w:rPr>
      </w:pPr>
      <w:r>
        <w:rPr>
          <w:rFonts w:hint="eastAsia" w:ascii="楷体" w:hAnsi="楷体" w:eastAsia="楷体"/>
          <w:sz w:val="32"/>
          <w:szCs w:val="32"/>
          <w:u w:val="none"/>
        </w:rPr>
        <w:t>（一）机关运行经费</w:t>
      </w:r>
      <w:r>
        <w:rPr>
          <w:rFonts w:hint="eastAsia" w:ascii="楷体" w:hAnsi="楷体" w:eastAsia="楷体"/>
          <w:sz w:val="32"/>
          <w:szCs w:val="32"/>
          <w:u w:val="none"/>
          <w:lang w:val="en-US" w:eastAsia="zh-CN"/>
        </w:rPr>
        <w:t>（</w:t>
      </w:r>
      <w:r>
        <w:rPr>
          <w:rFonts w:hint="eastAsia" w:ascii="楷体" w:hAnsi="楷体" w:eastAsia="楷体"/>
          <w:sz w:val="32"/>
          <w:szCs w:val="32"/>
          <w:u w:val="none"/>
        </w:rPr>
        <w:t>行政单位</w:t>
      </w:r>
      <w:r>
        <w:rPr>
          <w:rFonts w:hint="eastAsia" w:ascii="楷体" w:hAnsi="楷体" w:eastAsia="楷体"/>
          <w:sz w:val="32"/>
          <w:szCs w:val="32"/>
          <w:u w:val="none"/>
          <w:lang w:eastAsia="zh-CN"/>
        </w:rPr>
        <w:t>、</w:t>
      </w:r>
      <w:r>
        <w:rPr>
          <w:rFonts w:hint="eastAsia" w:ascii="楷体" w:hAnsi="楷体" w:eastAsia="楷体"/>
          <w:sz w:val="32"/>
          <w:szCs w:val="32"/>
          <w:u w:val="none"/>
        </w:rPr>
        <w:t>参照公务员法管理的事业单位</w:t>
      </w:r>
      <w:r>
        <w:rPr>
          <w:rFonts w:hint="eastAsia" w:ascii="楷体" w:hAnsi="楷体" w:eastAsia="楷体"/>
          <w:sz w:val="32"/>
          <w:szCs w:val="32"/>
          <w:u w:val="none"/>
          <w:lang w:eastAsia="zh-CN"/>
        </w:rPr>
        <w:t>需说明，其他单位不需要说明</w:t>
      </w:r>
      <w:r>
        <w:rPr>
          <w:rFonts w:hint="eastAsia" w:ascii="楷体" w:hAnsi="楷体" w:eastAsia="楷体"/>
          <w:sz w:val="32"/>
          <w:szCs w:val="32"/>
          <w:u w:val="none"/>
          <w:lang w:val="en-US" w:eastAsia="zh-CN"/>
        </w:rPr>
        <w:t>）</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eastAsia="zh-CN"/>
        </w:rPr>
        <w:t>202</w:t>
      </w:r>
      <w:r>
        <w:rPr>
          <w:rFonts w:hint="eastAsia" w:ascii="仿宋_GB2312" w:hAnsi="黑体" w:eastAsia="仿宋_GB2312" w:cs="仿宋_GB2312"/>
          <w:sz w:val="32"/>
          <w:szCs w:val="32"/>
          <w:lang w:val="en-US" w:eastAsia="zh-CN"/>
        </w:rPr>
        <w:t>6</w:t>
      </w:r>
      <w:r>
        <w:rPr>
          <w:rFonts w:hint="eastAsia" w:ascii="仿宋_GB2312" w:hAnsi="黑体" w:eastAsia="仿宋_GB2312" w:cs="仿宋_GB2312"/>
          <w:sz w:val="32"/>
          <w:szCs w:val="32"/>
        </w:rPr>
        <w:t>年屯昌县</w:t>
      </w:r>
      <w:r>
        <w:rPr>
          <w:rFonts w:hint="eastAsia" w:ascii="仿宋_GB2312" w:hAnsi="黑体" w:eastAsia="仿宋_GB2312" w:cs="仿宋_GB2312"/>
          <w:sz w:val="32"/>
          <w:szCs w:val="32"/>
          <w:lang w:val="en-US" w:eastAsia="zh-CN"/>
        </w:rPr>
        <w:t>南坤镇藤寨</w:t>
      </w:r>
      <w:r>
        <w:rPr>
          <w:rFonts w:hint="eastAsia" w:ascii="仿宋_GB2312" w:hAnsi="黑体" w:eastAsia="仿宋_GB2312" w:cs="仿宋_GB2312"/>
          <w:sz w:val="32"/>
          <w:szCs w:val="32"/>
        </w:rPr>
        <w:t>中心小学本级、财政投资评审中心的机关运行经费预算</w:t>
      </w:r>
      <w:r>
        <w:rPr>
          <w:rFonts w:hint="eastAsia" w:ascii="仿宋_GB2312" w:hAnsi="黑体" w:eastAsia="仿宋_GB2312"/>
          <w:sz w:val="32"/>
          <w:szCs w:val="32"/>
          <w:lang w:val="en-US" w:eastAsia="zh-CN"/>
        </w:rPr>
        <w:t>0</w:t>
      </w:r>
      <w:r>
        <w:rPr>
          <w:rFonts w:hint="eastAsia" w:ascii="仿宋_GB2312" w:hAnsi="黑体" w:eastAsia="仿宋_GB2312" w:cs="仿宋_GB2312"/>
          <w:sz w:val="32"/>
          <w:szCs w:val="32"/>
        </w:rPr>
        <w:t>万元。</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楷体" w:hAnsi="楷体" w:eastAsia="楷体"/>
          <w:sz w:val="32"/>
          <w:szCs w:val="32"/>
          <w:u w:val="none"/>
        </w:rPr>
      </w:pPr>
      <w:r>
        <w:rPr>
          <w:rFonts w:hint="eastAsia" w:ascii="楷体" w:hAnsi="楷体" w:eastAsia="楷体"/>
          <w:sz w:val="32"/>
          <w:szCs w:val="32"/>
          <w:u w:val="none"/>
        </w:rPr>
        <w:t>（二）政府采购情况</w:t>
      </w:r>
    </w:p>
    <w:p>
      <w:pPr>
        <w:ind w:firstLine="640"/>
        <w:rPr>
          <w:rFonts w:ascii="仿宋_GB2312" w:hAnsi="黑体" w:eastAsia="仿宋_GB2312"/>
          <w:sz w:val="32"/>
          <w:szCs w:val="32"/>
        </w:rPr>
      </w:pPr>
      <w:r>
        <w:rPr>
          <w:rFonts w:hint="eastAsia" w:ascii="仿宋_GB2312" w:hAnsi="黑体" w:eastAsia="仿宋_GB2312" w:cs="仿宋_GB2312"/>
          <w:sz w:val="32"/>
          <w:szCs w:val="32"/>
          <w:lang w:eastAsia="zh-CN"/>
        </w:rPr>
        <w:t>202</w:t>
      </w:r>
      <w:r>
        <w:rPr>
          <w:rFonts w:hint="eastAsia" w:ascii="仿宋_GB2312" w:hAnsi="黑体" w:eastAsia="仿宋_GB2312" w:cs="仿宋_GB2312"/>
          <w:sz w:val="32"/>
          <w:szCs w:val="32"/>
          <w:lang w:val="en-US" w:eastAsia="zh-CN"/>
        </w:rPr>
        <w:t>6</w:t>
      </w:r>
      <w:r>
        <w:rPr>
          <w:rFonts w:hint="eastAsia" w:ascii="仿宋_GB2312" w:hAnsi="黑体" w:eastAsia="仿宋_GB2312"/>
          <w:sz w:val="32"/>
          <w:szCs w:val="32"/>
        </w:rPr>
        <w:t>年</w:t>
      </w:r>
      <w:r>
        <w:rPr>
          <w:rFonts w:hint="eastAsia" w:ascii="仿宋_GB2312" w:hAnsi="黑体" w:eastAsia="仿宋_GB2312" w:cs="仿宋_GB2312"/>
          <w:sz w:val="32"/>
          <w:szCs w:val="32"/>
        </w:rPr>
        <w:t>屯昌县</w:t>
      </w:r>
      <w:r>
        <w:rPr>
          <w:rFonts w:hint="eastAsia" w:ascii="仿宋_GB2312" w:hAnsi="黑体" w:eastAsia="仿宋_GB2312" w:cs="仿宋_GB2312"/>
          <w:sz w:val="32"/>
          <w:szCs w:val="32"/>
          <w:lang w:val="en-US" w:eastAsia="zh-CN"/>
        </w:rPr>
        <w:t>南坤镇藤寨</w:t>
      </w:r>
      <w:r>
        <w:rPr>
          <w:rFonts w:hint="eastAsia" w:ascii="仿宋_GB2312" w:hAnsi="黑体" w:eastAsia="仿宋_GB2312" w:cs="仿宋_GB2312"/>
          <w:sz w:val="32"/>
          <w:szCs w:val="32"/>
        </w:rPr>
        <w:t>中心小学政府采购预算总额0</w:t>
      </w:r>
      <w:r>
        <w:rPr>
          <w:rFonts w:hint="eastAsia" w:ascii="仿宋_GB2312" w:hAnsi="黑体" w:eastAsia="仿宋_GB2312"/>
          <w:sz w:val="32"/>
          <w:szCs w:val="32"/>
        </w:rPr>
        <w:t>万元，其中：政府采购货物预算</w:t>
      </w:r>
      <w:r>
        <w:rPr>
          <w:rFonts w:hint="eastAsia" w:ascii="仿宋_GB2312" w:hAnsi="黑体" w:eastAsia="仿宋_GB2312" w:cs="仿宋_GB2312"/>
          <w:sz w:val="32"/>
          <w:szCs w:val="32"/>
        </w:rPr>
        <w:t>0</w:t>
      </w:r>
      <w:r>
        <w:rPr>
          <w:rFonts w:hint="eastAsia" w:ascii="仿宋_GB2312" w:hAnsi="黑体" w:eastAsia="仿宋_GB2312"/>
          <w:sz w:val="32"/>
          <w:szCs w:val="32"/>
        </w:rPr>
        <w:t>万元，政府采购工程预算</w:t>
      </w:r>
      <w:r>
        <w:rPr>
          <w:rFonts w:hint="eastAsia" w:ascii="仿宋_GB2312" w:hAnsi="黑体" w:eastAsia="仿宋_GB2312" w:cs="仿宋_GB2312"/>
          <w:sz w:val="32"/>
          <w:szCs w:val="32"/>
        </w:rPr>
        <w:t>0</w:t>
      </w:r>
      <w:r>
        <w:rPr>
          <w:rFonts w:hint="eastAsia" w:ascii="仿宋_GB2312" w:hAnsi="黑体" w:eastAsia="仿宋_GB2312"/>
          <w:sz w:val="32"/>
          <w:szCs w:val="32"/>
        </w:rPr>
        <w:t>万元，政府采购服务预算</w:t>
      </w:r>
      <w:r>
        <w:rPr>
          <w:rFonts w:hint="eastAsia" w:ascii="仿宋_GB2312" w:hAnsi="黑体" w:eastAsia="仿宋_GB2312" w:cs="仿宋_GB2312"/>
          <w:sz w:val="32"/>
          <w:szCs w:val="32"/>
        </w:rPr>
        <w:t>0</w:t>
      </w:r>
      <w:r>
        <w:rPr>
          <w:rFonts w:hint="eastAsia" w:ascii="仿宋_GB2312" w:hAnsi="黑体" w:eastAsia="仿宋_GB2312"/>
          <w:sz w:val="32"/>
          <w:szCs w:val="32"/>
        </w:rPr>
        <w:t>万元。</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楷体" w:hAnsi="楷体" w:eastAsia="楷体"/>
          <w:sz w:val="32"/>
          <w:szCs w:val="32"/>
          <w:u w:val="none"/>
        </w:rPr>
      </w:pPr>
      <w:r>
        <w:rPr>
          <w:rFonts w:hint="eastAsia" w:ascii="楷体" w:hAnsi="楷体" w:eastAsia="楷体"/>
          <w:sz w:val="32"/>
          <w:szCs w:val="32"/>
          <w:u w:val="none"/>
        </w:rPr>
        <w:t>（三）国有资产占有使用情况</w:t>
      </w:r>
    </w:p>
    <w:p>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截至</w:t>
      </w:r>
      <w:r>
        <w:rPr>
          <w:rFonts w:hint="eastAsia" w:ascii="仿宋_GB2312" w:hAnsi="黑体" w:eastAsia="仿宋_GB2312" w:cs="仿宋_GB2312"/>
          <w:sz w:val="32"/>
          <w:szCs w:val="32"/>
          <w:lang w:eastAsia="zh-CN"/>
        </w:rPr>
        <w:t>202</w:t>
      </w:r>
      <w:r>
        <w:rPr>
          <w:rFonts w:hint="eastAsia" w:ascii="仿宋_GB2312" w:hAnsi="黑体" w:eastAsia="仿宋_GB2312" w:cs="仿宋_GB2312"/>
          <w:sz w:val="32"/>
          <w:szCs w:val="32"/>
          <w:lang w:val="en-US" w:eastAsia="zh-CN"/>
        </w:rPr>
        <w:t>5</w:t>
      </w:r>
      <w:r>
        <w:rPr>
          <w:rFonts w:hint="eastAsia" w:ascii="仿宋_GB2312" w:hAnsi="黑体" w:eastAsia="仿宋_GB2312"/>
          <w:sz w:val="32"/>
          <w:szCs w:val="32"/>
        </w:rPr>
        <w:t>年12月31日，</w:t>
      </w:r>
      <w:r>
        <w:rPr>
          <w:rFonts w:hint="eastAsia" w:ascii="仿宋_GB2312" w:hAnsi="黑体" w:eastAsia="仿宋_GB2312" w:cs="仿宋_GB2312"/>
          <w:sz w:val="32"/>
          <w:szCs w:val="32"/>
        </w:rPr>
        <w:t>屯昌县</w:t>
      </w:r>
      <w:r>
        <w:rPr>
          <w:rFonts w:hint="eastAsia" w:ascii="仿宋_GB2312" w:hAnsi="黑体" w:eastAsia="仿宋_GB2312" w:cs="仿宋_GB2312"/>
          <w:sz w:val="32"/>
          <w:szCs w:val="32"/>
          <w:lang w:val="en-US" w:eastAsia="zh-CN"/>
        </w:rPr>
        <w:t>南坤镇藤寨</w:t>
      </w:r>
      <w:r>
        <w:rPr>
          <w:rFonts w:hint="eastAsia" w:ascii="仿宋_GB2312" w:hAnsi="黑体" w:eastAsia="仿宋_GB2312" w:cs="仿宋_GB2312"/>
          <w:sz w:val="32"/>
          <w:szCs w:val="32"/>
        </w:rPr>
        <w:t>中心小学本级及下属各预算单位共有车辆0辆，其中，领导干部用车0辆，机要通信应急用车0辆、一般执法执勤用车0辆、特种专业技术用车0辆、其他用车0辆。单位价值100万元以上设备0台（套）。</w:t>
      </w:r>
    </w:p>
    <w:p>
      <w:pPr>
        <w:keepNext w:val="0"/>
        <w:keepLines w:val="0"/>
        <w:pageBreakBefore w:val="0"/>
        <w:widowControl/>
        <w:kinsoku/>
        <w:wordWrap/>
        <w:overflowPunct/>
        <w:topLinePunct w:val="0"/>
        <w:autoSpaceDE/>
        <w:autoSpaceDN/>
        <w:bidi w:val="0"/>
        <w:adjustRightInd/>
        <w:snapToGrid/>
        <w:spacing w:line="590" w:lineRule="exact"/>
        <w:ind w:firstLine="640" w:firstLineChars="200"/>
        <w:jc w:val="both"/>
        <w:textAlignment w:val="auto"/>
        <w:rPr>
          <w:rFonts w:ascii="楷体" w:hAnsi="楷体" w:eastAsia="楷体"/>
          <w:sz w:val="32"/>
          <w:szCs w:val="32"/>
          <w:u w:val="none"/>
        </w:rPr>
      </w:pPr>
      <w:r>
        <w:rPr>
          <w:rFonts w:hint="eastAsia" w:ascii="楷体" w:hAnsi="楷体" w:eastAsia="楷体"/>
          <w:sz w:val="32"/>
          <w:szCs w:val="32"/>
          <w:u w:val="none"/>
        </w:rPr>
        <w:t>（四）</w:t>
      </w:r>
      <w:r>
        <w:rPr>
          <w:rFonts w:hint="eastAsia" w:ascii="楷体" w:hAnsi="楷体" w:eastAsia="楷体" w:cs="黑体"/>
          <w:i w:val="0"/>
          <w:caps w:val="0"/>
          <w:spacing w:val="0"/>
          <w:kern w:val="2"/>
          <w:sz w:val="32"/>
          <w:szCs w:val="32"/>
          <w:lang w:val="en-US" w:eastAsia="zh-CN" w:bidi="ar"/>
        </w:rPr>
        <w:t>绩效目标设置及重点项目绩效目标说明</w:t>
      </w:r>
    </w:p>
    <w:p>
      <w:pPr>
        <w:ind w:firstLine="640" w:firstLineChars="200"/>
        <w:rPr>
          <w:rFonts w:hint="eastAsia" w:ascii="黑体" w:hAnsi="黑体" w:eastAsia="黑体"/>
          <w:b w:val="0"/>
          <w:bCs/>
          <w:sz w:val="32"/>
          <w:szCs w:val="32"/>
          <w:u w:val="none"/>
          <w:lang w:eastAsia="zh-CN"/>
        </w:rPr>
      </w:pPr>
      <w:r>
        <w:rPr>
          <w:rFonts w:hint="eastAsia" w:ascii="仿宋_GB2312" w:hAnsi="黑体" w:eastAsia="仿宋_GB2312" w:cs="仿宋_GB2312"/>
          <w:sz w:val="32"/>
          <w:szCs w:val="32"/>
          <w:lang w:eastAsia="zh-CN"/>
        </w:rPr>
        <w:t>202</w:t>
      </w:r>
      <w:r>
        <w:rPr>
          <w:rFonts w:hint="eastAsia" w:ascii="仿宋_GB2312" w:hAnsi="黑体" w:eastAsia="仿宋_GB2312" w:cs="仿宋_GB2312"/>
          <w:sz w:val="32"/>
          <w:szCs w:val="32"/>
          <w:lang w:val="en-US" w:eastAsia="zh-CN"/>
        </w:rPr>
        <w:t>6</w:t>
      </w:r>
      <w:r>
        <w:rPr>
          <w:rFonts w:hint="eastAsia" w:ascii="仿宋_GB2312" w:hAnsi="黑体" w:eastAsia="仿宋_GB2312" w:cs="仿宋_GB2312"/>
          <w:sz w:val="32"/>
          <w:szCs w:val="32"/>
        </w:rPr>
        <w:t>年屯昌县</w:t>
      </w:r>
      <w:r>
        <w:rPr>
          <w:rFonts w:hint="eastAsia" w:ascii="仿宋_GB2312" w:hAnsi="黑体" w:eastAsia="仿宋_GB2312" w:cs="仿宋_GB2312"/>
          <w:sz w:val="32"/>
          <w:szCs w:val="32"/>
          <w:lang w:val="en-US" w:eastAsia="zh-CN"/>
        </w:rPr>
        <w:t>南坤镇藤寨</w:t>
      </w:r>
      <w:r>
        <w:rPr>
          <w:rFonts w:hint="eastAsia" w:ascii="仿宋_GB2312" w:hAnsi="黑体" w:eastAsia="仿宋_GB2312" w:cs="仿宋_GB2312"/>
          <w:sz w:val="32"/>
          <w:szCs w:val="32"/>
        </w:rPr>
        <w:t>中心小学</w:t>
      </w:r>
      <w:r>
        <w:rPr>
          <w:rFonts w:hint="eastAsia" w:ascii="仿宋_GB2312" w:hAnsi="黑体" w:eastAsia="仿宋_GB2312" w:cs="仿宋_GB2312"/>
          <w:sz w:val="32"/>
          <w:szCs w:val="32"/>
          <w:lang w:val="en-US" w:eastAsia="zh-CN"/>
        </w:rPr>
        <w:t>11</w:t>
      </w:r>
      <w:r>
        <w:rPr>
          <w:rFonts w:hint="eastAsia" w:ascii="仿宋_GB2312" w:hAnsi="黑体" w:eastAsia="仿宋_GB2312" w:cs="仿宋_GB2312"/>
          <w:sz w:val="32"/>
          <w:szCs w:val="32"/>
        </w:rPr>
        <w:t>个项目实行绩效目标管理，涉及一般公共预算</w:t>
      </w:r>
      <w:r>
        <w:rPr>
          <w:rFonts w:hint="eastAsia" w:ascii="仿宋_GB2312" w:hAnsi="黑体" w:eastAsia="仿宋_GB2312" w:cs="仿宋_GB2312"/>
          <w:sz w:val="32"/>
          <w:szCs w:val="32"/>
          <w:lang w:val="en-US" w:eastAsia="zh-CN"/>
        </w:rPr>
        <w:t>1887.59</w:t>
      </w:r>
      <w:r>
        <w:rPr>
          <w:rFonts w:hint="eastAsia" w:ascii="仿宋_GB2312" w:hAnsi="黑体" w:eastAsia="仿宋_GB2312"/>
          <w:sz w:val="32"/>
          <w:szCs w:val="32"/>
        </w:rPr>
        <w:t>万元。</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黑体" w:hAnsi="黑体" w:eastAsia="黑体"/>
          <w:b w:val="0"/>
          <w:bCs/>
          <w:sz w:val="32"/>
          <w:szCs w:val="32"/>
          <w:u w:val="none"/>
        </w:rPr>
      </w:pPr>
      <w:r>
        <w:rPr>
          <w:rFonts w:hint="eastAsia" w:ascii="黑体" w:hAnsi="黑体" w:eastAsia="黑体"/>
          <w:b w:val="0"/>
          <w:bCs/>
          <w:sz w:val="32"/>
          <w:szCs w:val="32"/>
          <w:u w:val="none"/>
        </w:rPr>
        <w:t>第四部分  名词解释</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一、财政拨款收入：指本级财政当年拨付的资金。</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二、一般公共预算拨款收入：指用于反映税收收入、专项收入、行政事业性收费收入、罚没收入、国有资源（资产）有偿使用收入、政府住房基金收入、捐赠收入等财政收入。</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lang w:eastAsia="zh-CN"/>
        </w:rPr>
      </w:pPr>
      <w:r>
        <w:rPr>
          <w:rFonts w:hint="eastAsia" w:ascii="仿宋_GB2312" w:hAnsi="宋体" w:eastAsia="仿宋_GB2312" w:cs="宋体"/>
          <w:color w:val="000000"/>
          <w:kern w:val="0"/>
          <w:sz w:val="32"/>
          <w:szCs w:val="32"/>
          <w:u w:val="none"/>
        </w:rPr>
        <w:t>三、政府性基金预算拨款收入：指是用于反映政府为支持某项事业发展或特定基础设施建设，依法依规向公民、法人和其他组织征收的以及出让土地、发行彩票等方式取得的具有专门用途的资金</w:t>
      </w:r>
      <w:r>
        <w:rPr>
          <w:rFonts w:hint="eastAsia" w:ascii="仿宋_GB2312" w:hAnsi="宋体" w:eastAsia="仿宋_GB2312" w:cs="宋体"/>
          <w:color w:val="000000"/>
          <w:kern w:val="0"/>
          <w:sz w:val="32"/>
          <w:szCs w:val="32"/>
          <w:u w:val="none"/>
          <w:lang w:eastAsia="zh-CN"/>
        </w:rPr>
        <w:t>。</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 xml:space="preserve">四、事业收入：指用于反映事业单位开展专业业务活动及辅助活动所取得的收入。 </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五、事业单位经营收入：指用于反映事业单位在专业活动及辅助活动之外开展非独立核算经营活动取得的收入。</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六、其他收入：指除上述“财政拨款收入”“事业收入”“经营收入”等以外的收入。</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七、上年结转：指以前年度尚未完成、结转到本年按有关规定继续使用的资金。</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八、基本支出：指行政事业单位用于为保障其机构正常运转、完成日常工作任务而发生的人员支出和公用支出。</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九、工资福利支出：反映单位开支的在职职工和编制外长期聘用人员的各类劳动报酬，以及为上述人员缴纳的各项社会保险费等。</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十、对个人和家庭的补助支出：反映政府用于对个人和家庭的补助支出，包括离休费、退休费、退职（役）费、抚恤金、生活补助、救济费、医疗费补助、助学金、独生子女奖励金、其他等。</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一、商品和服务支出：反映单位购买商品和服务的支出，包括办公费、水费、电费、邮电费、培训费、公务用车运行维护费、差旅费、因公出国（境）费用、公务接待费、工会经费、会议费、福利费、物业管理费、维修（护）费、其他等。</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十二、项目支出：指各部门、各单位为完成其特定的工作任务和事业发展目标所发生的支出。</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hint="eastAsia"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w:t>
      </w:r>
      <w:r>
        <w:rPr>
          <w:rFonts w:hint="eastAsia" w:ascii="仿宋_GB2312" w:hAnsi="宋体" w:eastAsia="仿宋_GB2312" w:cs="宋体"/>
          <w:color w:val="000000"/>
          <w:kern w:val="0"/>
          <w:sz w:val="32"/>
          <w:szCs w:val="32"/>
          <w:u w:val="none"/>
          <w:lang w:eastAsia="zh-CN"/>
        </w:rPr>
        <w:t>、</w:t>
      </w:r>
      <w:r>
        <w:rPr>
          <w:rFonts w:hint="eastAsia" w:ascii="仿宋_GB2312" w:hAnsi="宋体" w:eastAsia="仿宋_GB2312" w:cs="宋体"/>
          <w:color w:val="000000"/>
          <w:kern w:val="0"/>
          <w:sz w:val="32"/>
          <w:szCs w:val="32"/>
          <w:u w:val="none"/>
          <w:lang w:val="en-US" w:eastAsia="zh-CN"/>
        </w:rPr>
        <w:t>1个月及以上租车费用</w:t>
      </w:r>
      <w:r>
        <w:rPr>
          <w:rFonts w:hint="eastAsia" w:ascii="仿宋_GB2312" w:hAnsi="宋体" w:eastAsia="仿宋_GB2312" w:cs="宋体"/>
          <w:color w:val="000000"/>
          <w:kern w:val="0"/>
          <w:sz w:val="32"/>
          <w:szCs w:val="32"/>
          <w:u w:val="none"/>
        </w:rPr>
        <w:t>等支出；公务接待费指单位按规定开支的各类公务接待（含外宾接待）支出。</w:t>
      </w:r>
    </w:p>
    <w:p>
      <w:pPr>
        <w:keepNext w:val="0"/>
        <w:keepLines w:val="0"/>
        <w:pageBreakBefore w:val="0"/>
        <w:kinsoku/>
        <w:wordWrap/>
        <w:overflowPunct/>
        <w:topLinePunct w:val="0"/>
        <w:autoSpaceDE/>
        <w:autoSpaceDN/>
        <w:bidi w:val="0"/>
        <w:adjustRightInd/>
        <w:snapToGrid/>
        <w:spacing w:line="590" w:lineRule="exact"/>
        <w:ind w:firstLine="640" w:firstLineChars="200"/>
        <w:jc w:val="both"/>
        <w:textAlignment w:val="auto"/>
        <w:rPr>
          <w:rFonts w:ascii="仿宋_GB2312" w:hAnsi="宋体" w:eastAsia="仿宋_GB2312" w:cs="宋体"/>
          <w:color w:val="000000"/>
          <w:kern w:val="0"/>
          <w:sz w:val="32"/>
          <w:szCs w:val="32"/>
          <w:u w:val="none"/>
        </w:rPr>
      </w:pPr>
      <w:r>
        <w:rPr>
          <w:rFonts w:hint="eastAsia" w:ascii="仿宋_GB2312" w:hAnsi="宋体" w:eastAsia="仿宋_GB2312" w:cs="宋体"/>
          <w:color w:val="000000"/>
          <w:kern w:val="0"/>
          <w:sz w:val="32"/>
          <w:szCs w:val="32"/>
          <w:u w:val="none"/>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pPr>
        <w:keepNext w:val="0"/>
        <w:keepLines w:val="0"/>
        <w:pageBreakBefore w:val="0"/>
        <w:kinsoku/>
        <w:wordWrap/>
        <w:overflowPunct/>
        <w:topLinePunct w:val="0"/>
        <w:autoSpaceDE/>
        <w:autoSpaceDN/>
        <w:bidi w:val="0"/>
        <w:adjustRightInd/>
        <w:snapToGrid/>
        <w:spacing w:line="590" w:lineRule="exact"/>
        <w:ind w:firstLine="0" w:firstLineChars="0"/>
        <w:jc w:val="both"/>
        <w:textAlignment w:val="auto"/>
        <w:rPr>
          <w:rFonts w:ascii="仿宋_GB2312" w:hAnsi="黑体" w:eastAsia="仿宋_GB2312" w:cs="仿宋_GB2312"/>
          <w:sz w:val="32"/>
          <w:szCs w:val="32"/>
          <w:u w:val="none"/>
        </w:rPr>
      </w:pPr>
    </w:p>
    <w:p/>
    <w:sectPr>
      <w:footerReference r:id="rId3" w:type="default"/>
      <w:pgSz w:w="11906" w:h="16838"/>
      <w:pgMar w:top="1928" w:right="1474" w:bottom="1701" w:left="1587"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auto"/>
    <w:pitch w:val="default"/>
    <w:sig w:usb0="00000000" w:usb1="00000000" w:usb2="00000000" w:usb3="00000000" w:csb0="00040000" w:csb1="00000000"/>
  </w:font>
  <w:font w:name="方正仿宋_GBK">
    <w:altName w:val="微软雅黑"/>
    <w:panose1 w:val="02000000000000000000"/>
    <w:charset w:val="86"/>
    <w:family w:val="auto"/>
    <w:pitch w:val="default"/>
    <w:sig w:usb0="00000000" w:usb1="00000000" w:usb2="00082016" w:usb3="00000000" w:csb0="00040001" w:csb1="00000000"/>
  </w:font>
  <w:font w:name="方正黑体_GBK">
    <w:altName w:val="微软雅黑"/>
    <w:panose1 w:val="02000000000000000000"/>
    <w:charset w:val="86"/>
    <w:family w:val="auto"/>
    <w:pitch w:val="default"/>
    <w:sig w:usb0="00000000" w:usb1="00000000"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793750" cy="327660"/>
              <wp:effectExtent l="0" t="0" r="0" b="0"/>
              <wp:wrapNone/>
              <wp:docPr id="1" name="文本框 1"/>
              <wp:cNvGraphicFramePr/>
              <a:graphic xmlns:a="http://schemas.openxmlformats.org/drawingml/2006/main">
                <a:graphicData uri="http://schemas.microsoft.com/office/word/2010/wordprocessingShape">
                  <wps:wsp>
                    <wps:cNvSpPr txBox="1"/>
                    <wps:spPr>
                      <a:xfrm>
                        <a:off x="0" y="0"/>
                        <a:ext cx="793750" cy="32766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ascii="宋体" w:hAnsi="宋体" w:eastAsia="宋体" w:cs="宋体"/>
                              <w:sz w:val="28"/>
                              <w:szCs w:val="28"/>
                              <w:lang w:eastAsia="zh-CN"/>
                            </w:rPr>
                          </w:pPr>
                          <w:r>
                            <w:rPr>
                              <w:rFonts w:hint="eastAsia" w:ascii="宋体" w:hAnsi="宋体" w:eastAsia="宋体" w:cs="宋体"/>
                              <w:sz w:val="28"/>
                              <w:szCs w:val="28"/>
                              <w:lang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xml:space="preserve"> —</w:t>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top:0pt;height:25.8pt;width:62.5pt;mso-position-horizontal:outside;mso-position-horizontal-relative:margin;z-index:251658240;mso-width-relative:page;mso-height-relative:page;" filled="f" stroked="f" coordsize="21600,21600" o:gfxdata="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szlru0wAAAAQBAAAPAAAAAAAA&#10;AAEAIAAAACIAAABkcnMvZG93bnJldi54bWxQSwECFAAUAAAACACHTuJApPngsRcCAAATBAAADgAA&#10;AAAAAAABACAAAAAiAQAAZHJzL2Uyb0RvYy54bWxQSwUGAAAAAAYABgBZAQAAqwUAAAAA&#10;">
              <v:fill on="f" focussize="0,0"/>
              <v:stroke on="f" weight="0.5pt"/>
              <v:imagedata o:title=""/>
              <o:lock v:ext="edit" aspectratio="f"/>
              <v:textbox inset="0mm,0mm,0mm,0mm">
                <w:txbxContent>
                  <w:p>
                    <w:pPr>
                      <w:pStyle w:val="2"/>
                      <w:rPr>
                        <w:rFonts w:hint="eastAsia" w:ascii="宋体" w:hAnsi="宋体" w:eastAsia="宋体" w:cs="宋体"/>
                        <w:sz w:val="28"/>
                        <w:szCs w:val="28"/>
                        <w:lang w:eastAsia="zh-CN"/>
                      </w:rPr>
                    </w:pPr>
                    <w:r>
                      <w:rPr>
                        <w:rFonts w:hint="eastAsia" w:ascii="宋体" w:hAnsi="宋体" w:eastAsia="宋体" w:cs="宋体"/>
                        <w:sz w:val="28"/>
                        <w:szCs w:val="28"/>
                        <w:lang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0349DAC"/>
    <w:multiLevelType w:val="singleLevel"/>
    <w:tmpl w:val="E0349DAC"/>
    <w:lvl w:ilvl="0" w:tentative="0">
      <w:start w:val="1"/>
      <w:numFmt w:val="chineseCounting"/>
      <w:suff w:val="nothing"/>
      <w:lvlText w:val="%1、"/>
      <w:lvlJc w:val="left"/>
      <w:rPr>
        <w:rFonts w:hint="eastAsia"/>
      </w:rPr>
    </w:lvl>
  </w:abstractNum>
  <w:abstractNum w:abstractNumId="1">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C1BB20B"/>
    <w:multiLevelType w:val="singleLevel"/>
    <w:tmpl w:val="4C1BB20B"/>
    <w:lvl w:ilvl="0" w:tentative="0">
      <w:start w:val="2"/>
      <w:numFmt w:val="chineseCounting"/>
      <w:suff w:val="nothing"/>
      <w:lvlText w:val="（%1）"/>
      <w:lvlJc w:val="left"/>
      <w:rPr>
        <w:rFonts w:hint="eastAsia"/>
      </w:rPr>
    </w:lvl>
  </w:abstractNum>
  <w:abstractNum w:abstractNumId="3">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D7F66E0"/>
    <w:rsid w:val="01872CF0"/>
    <w:rsid w:val="03253DEA"/>
    <w:rsid w:val="035B22CD"/>
    <w:rsid w:val="051C0B0E"/>
    <w:rsid w:val="094B53A8"/>
    <w:rsid w:val="0B307C0F"/>
    <w:rsid w:val="0D7F66E0"/>
    <w:rsid w:val="0EE51D97"/>
    <w:rsid w:val="13F45F16"/>
    <w:rsid w:val="1B147958"/>
    <w:rsid w:val="1B2F31E9"/>
    <w:rsid w:val="1EF5788E"/>
    <w:rsid w:val="264F54D6"/>
    <w:rsid w:val="28312A48"/>
    <w:rsid w:val="294242D8"/>
    <w:rsid w:val="297312AA"/>
    <w:rsid w:val="2D830625"/>
    <w:rsid w:val="2E8400EC"/>
    <w:rsid w:val="31F76B6C"/>
    <w:rsid w:val="38937B4D"/>
    <w:rsid w:val="3A17746F"/>
    <w:rsid w:val="3AE32DF2"/>
    <w:rsid w:val="3FA7233E"/>
    <w:rsid w:val="415D6A9A"/>
    <w:rsid w:val="45A825C5"/>
    <w:rsid w:val="47E11CD3"/>
    <w:rsid w:val="4A3268F0"/>
    <w:rsid w:val="4FBC59FA"/>
    <w:rsid w:val="51374DB7"/>
    <w:rsid w:val="514F7386"/>
    <w:rsid w:val="533B4EDC"/>
    <w:rsid w:val="55E20EDF"/>
    <w:rsid w:val="5DA01B3B"/>
    <w:rsid w:val="5F222623"/>
    <w:rsid w:val="5F484471"/>
    <w:rsid w:val="5F507F92"/>
    <w:rsid w:val="6393190B"/>
    <w:rsid w:val="66DD151C"/>
    <w:rsid w:val="6742152D"/>
    <w:rsid w:val="6B70705D"/>
    <w:rsid w:val="70306D5A"/>
    <w:rsid w:val="72C33F4F"/>
    <w:rsid w:val="75F00708"/>
    <w:rsid w:val="78721E97"/>
    <w:rsid w:val="78C576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屯昌县（屯城镇）</Company>
  <Pages>1</Pages>
  <Words>0</Words>
  <Characters>0</Characters>
  <Lines>0</Lines>
  <Paragraphs>0</Paragraphs>
  <TotalTime>8</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2026-02-28T08:07:00Z</dcterms:created>
  <dc:creator>子净</dc:creator>
  <cp:lastModifiedBy>Administrator</cp:lastModifiedBy>
  <cp:lastPrinted>2026-03-03T01:29:00Z</cp:lastPrinted>
  <dcterms:modified xsi:type="dcterms:W3CDTF">2026-03-04T07:25:38Z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