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126A3">
      <w:pPr>
        <w:spacing w:line="560" w:lineRule="exact"/>
        <w:rPr>
          <w:sz w:val="84"/>
          <w:szCs w:val="84"/>
          <w:u w:val="none"/>
        </w:rPr>
      </w:pPr>
    </w:p>
    <w:p w14:paraId="696EE40D">
      <w:pPr>
        <w:spacing w:line="560" w:lineRule="exact"/>
        <w:rPr>
          <w:sz w:val="84"/>
          <w:szCs w:val="84"/>
          <w:u w:val="none"/>
        </w:rPr>
      </w:pPr>
    </w:p>
    <w:p w14:paraId="6137F1BF">
      <w:pPr>
        <w:spacing w:line="560" w:lineRule="exact"/>
        <w:rPr>
          <w:sz w:val="84"/>
          <w:szCs w:val="84"/>
          <w:u w:val="none"/>
        </w:rPr>
      </w:pPr>
    </w:p>
    <w:p w14:paraId="4896B7B7">
      <w:pPr>
        <w:spacing w:line="560" w:lineRule="exact"/>
        <w:rPr>
          <w:sz w:val="84"/>
          <w:szCs w:val="84"/>
          <w:u w:val="none"/>
        </w:rPr>
      </w:pPr>
    </w:p>
    <w:p w14:paraId="56CC8275">
      <w:pPr>
        <w:spacing w:line="560" w:lineRule="exact"/>
        <w:jc w:val="center"/>
        <w:rPr>
          <w:rFonts w:hint="eastAsia"/>
          <w:sz w:val="52"/>
          <w:szCs w:val="52"/>
          <w:u w:val="none"/>
          <w:lang w:val="en-US" w:eastAsia="zh-CN"/>
        </w:rPr>
      </w:pPr>
    </w:p>
    <w:p w14:paraId="433A0BDD">
      <w:pPr>
        <w:spacing w:line="560" w:lineRule="exact"/>
        <w:jc w:val="center"/>
        <w:rPr>
          <w:rFonts w:hint="eastAsia"/>
          <w:sz w:val="52"/>
          <w:szCs w:val="52"/>
          <w:u w:val="none"/>
          <w:lang w:val="en-US" w:eastAsia="zh-CN"/>
        </w:rPr>
      </w:pPr>
    </w:p>
    <w:p w14:paraId="52A963C9">
      <w:pPr>
        <w:spacing w:line="560" w:lineRule="exact"/>
        <w:jc w:val="center"/>
        <w:rPr>
          <w:rFonts w:hint="eastAsia"/>
          <w:sz w:val="52"/>
          <w:szCs w:val="52"/>
          <w:u w:val="none"/>
          <w:lang w:val="en-US" w:eastAsia="zh-CN"/>
        </w:rPr>
      </w:pPr>
    </w:p>
    <w:p w14:paraId="3A1C0DFD">
      <w:pPr>
        <w:spacing w:line="560" w:lineRule="exact"/>
        <w:jc w:val="center"/>
        <w:rPr>
          <w:rFonts w:hint="eastAsia"/>
          <w:sz w:val="52"/>
          <w:szCs w:val="52"/>
          <w:u w:val="none"/>
          <w:lang w:val="en-US" w:eastAsia="zh-CN"/>
        </w:rPr>
      </w:pPr>
    </w:p>
    <w:p w14:paraId="5D8F8A00">
      <w:pPr>
        <w:spacing w:line="560" w:lineRule="exact"/>
        <w:jc w:val="center"/>
        <w:rPr>
          <w:rFonts w:hint="eastAsia"/>
          <w:sz w:val="52"/>
          <w:szCs w:val="52"/>
          <w:u w:val="none"/>
          <w:lang w:val="en-US" w:eastAsia="zh-CN"/>
        </w:rPr>
      </w:pPr>
    </w:p>
    <w:p w14:paraId="2783E3D8">
      <w:pPr>
        <w:spacing w:line="560" w:lineRule="exact"/>
        <w:jc w:val="center"/>
        <w:rPr>
          <w:rFonts w:hint="eastAsia"/>
          <w:sz w:val="52"/>
          <w:szCs w:val="52"/>
          <w:u w:val="none"/>
          <w:lang w:val="en-US" w:eastAsia="zh-CN"/>
        </w:rPr>
      </w:pPr>
    </w:p>
    <w:p w14:paraId="61B0F0CE">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rPr>
        <w:t>屯昌县南坤镇榕仔中心小学</w:t>
      </w:r>
    </w:p>
    <w:p w14:paraId="4E34E008">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rPr>
        <w:t>单位</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14:paraId="5911DCB2">
      <w:pPr>
        <w:spacing w:line="560" w:lineRule="exact"/>
        <w:ind w:firstLine="1680"/>
        <w:jc w:val="center"/>
        <w:rPr>
          <w:sz w:val="84"/>
          <w:szCs w:val="84"/>
          <w:u w:val="none"/>
        </w:rPr>
      </w:pPr>
    </w:p>
    <w:p w14:paraId="775DA835">
      <w:pPr>
        <w:spacing w:line="560" w:lineRule="exact"/>
        <w:ind w:firstLine="1680"/>
        <w:jc w:val="center"/>
        <w:rPr>
          <w:sz w:val="84"/>
          <w:szCs w:val="84"/>
          <w:u w:val="none"/>
        </w:rPr>
      </w:pPr>
    </w:p>
    <w:p w14:paraId="648FA2BD">
      <w:pPr>
        <w:spacing w:line="560" w:lineRule="exact"/>
        <w:ind w:firstLine="1680"/>
        <w:jc w:val="center"/>
        <w:rPr>
          <w:sz w:val="84"/>
          <w:szCs w:val="84"/>
          <w:u w:val="none"/>
        </w:rPr>
      </w:pPr>
    </w:p>
    <w:p w14:paraId="67E99427">
      <w:pPr>
        <w:spacing w:line="560" w:lineRule="exact"/>
        <w:ind w:firstLine="1680"/>
        <w:jc w:val="center"/>
        <w:rPr>
          <w:sz w:val="84"/>
          <w:szCs w:val="84"/>
          <w:u w:val="none"/>
        </w:rPr>
      </w:pPr>
    </w:p>
    <w:p w14:paraId="6473F28A">
      <w:pPr>
        <w:rPr>
          <w:sz w:val="84"/>
          <w:szCs w:val="84"/>
          <w:u w:val="none"/>
        </w:rPr>
      </w:pPr>
      <w:r>
        <w:rPr>
          <w:sz w:val="84"/>
          <w:szCs w:val="84"/>
          <w:u w:val="none"/>
        </w:rPr>
        <w:br w:type="page"/>
      </w:r>
    </w:p>
    <w:p w14:paraId="6D08403A">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52C335AE">
      <w:pPr>
        <w:pStyle w:val="7"/>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sz w:val="32"/>
          <w:szCs w:val="32"/>
        </w:rPr>
        <w:t>屯昌县南坤镇榕仔中心小学</w:t>
      </w:r>
      <w:r>
        <w:rPr>
          <w:rFonts w:hint="eastAsia" w:ascii="方正黑体_GBK" w:hAnsi="方正黑体_GBK" w:eastAsia="方正黑体_GBK" w:cs="方正黑体_GBK"/>
          <w:sz w:val="32"/>
          <w:szCs w:val="32"/>
          <w:u w:val="none"/>
        </w:rPr>
        <w:t>概况</w:t>
      </w:r>
    </w:p>
    <w:p w14:paraId="0047509E">
      <w:pPr>
        <w:pStyle w:val="7"/>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2353F0F4">
      <w:pPr>
        <w:pStyle w:val="7"/>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67A9D978">
      <w:pPr>
        <w:pStyle w:val="7"/>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14:paraId="5D1E28CF">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42F67E2F">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709170D9">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437F665A">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3A0392A3">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0C00912A">
      <w:pPr>
        <w:pStyle w:val="7"/>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6E28B493">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315DE5C0">
      <w:pPr>
        <w:pStyle w:val="7"/>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E6EDCFC">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3AB1A9C4">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77C530BC">
      <w:pPr>
        <w:pStyle w:val="7"/>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19FE24C0">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14:paraId="49E59A90">
      <w:pPr>
        <w:pStyle w:val="7"/>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0B3197F">
      <w:pPr>
        <w:jc w:val="left"/>
        <w:rPr>
          <w:rFonts w:hint="eastAsia" w:ascii="黑体" w:hAnsi="黑体" w:eastAsia="黑体"/>
          <w:sz w:val="52"/>
          <w:szCs w:val="52"/>
          <w:u w:val="none"/>
        </w:rPr>
      </w:pPr>
    </w:p>
    <w:p w14:paraId="5BD0707F">
      <w:pPr>
        <w:pStyle w:val="7"/>
        <w:spacing w:line="560" w:lineRule="exact"/>
        <w:ind w:left="1320" w:firstLine="0" w:firstLineChars="0"/>
        <w:jc w:val="left"/>
        <w:rPr>
          <w:rFonts w:ascii="黑体" w:hAnsi="黑体" w:eastAsia="黑体"/>
          <w:sz w:val="32"/>
          <w:szCs w:val="32"/>
          <w:u w:val="none"/>
        </w:rPr>
      </w:pPr>
    </w:p>
    <w:p w14:paraId="25953CE9">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sz w:val="32"/>
          <w:szCs w:val="32"/>
        </w:rPr>
        <w:t>屯昌县南坤镇榕仔中心小学</w:t>
      </w:r>
      <w:r>
        <w:rPr>
          <w:rFonts w:hint="eastAsia" w:ascii="方正黑体_GBK" w:hAnsi="方正黑体_GBK" w:eastAsia="方正黑体_GBK" w:cs="方正黑体_GBK"/>
          <w:sz w:val="32"/>
          <w:szCs w:val="32"/>
          <w:u w:val="none"/>
        </w:rPr>
        <w:t>概况</w:t>
      </w:r>
    </w:p>
    <w:p w14:paraId="6A1309C3">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14:paraId="6C2A611A">
      <w:pPr>
        <w:pStyle w:val="7"/>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45AC689C">
      <w:pPr>
        <w:ind w:firstLine="640" w:firstLineChars="200"/>
        <w:rPr>
          <w:rFonts w:ascii="仿宋" w:hAnsi="仿宋" w:eastAsia="仿宋" w:cs="仿宋"/>
          <w:kern w:val="44"/>
          <w:sz w:val="32"/>
          <w:szCs w:val="32"/>
          <w:shd w:val="clear" w:color="auto" w:fill="FFFFFF"/>
        </w:rPr>
      </w:pPr>
      <w:r>
        <w:rPr>
          <w:rFonts w:ascii="仿宋" w:hAnsi="仿宋" w:eastAsia="仿宋" w:cs="仿宋"/>
          <w:kern w:val="44"/>
          <w:sz w:val="32"/>
          <w:szCs w:val="32"/>
          <w:shd w:val="clear" w:color="auto" w:fill="FFFFFF"/>
        </w:rPr>
        <w:t>1</w:t>
      </w:r>
      <w:r>
        <w:rPr>
          <w:rFonts w:hint="eastAsia" w:ascii="仿宋" w:hAnsi="仿宋" w:eastAsia="仿宋" w:cs="仿宋"/>
          <w:kern w:val="44"/>
          <w:sz w:val="32"/>
          <w:szCs w:val="32"/>
          <w:shd w:val="clear" w:color="auto" w:fill="FFFFFF"/>
        </w:rPr>
        <w:t>、认真贯彻落实党的教育方针，积极配合</w:t>
      </w:r>
      <w:r>
        <w:fldChar w:fldCharType="begin"/>
      </w:r>
      <w:r>
        <w:instrText xml:space="preserve"> HYPERLINK "https://www.baidu.com/s?wd=%E6%95%99%E8%82%B2%E8%A1%8C%E6%94%BF%E9%83%A8%E9%97%A8&amp;from=1012015a&amp;fenlei=mv6quAkxTZn0IZRqIHckPjm4nH00T1d9mHFhPHm4Py79n1fvPvnk0ZwV5Hcvrjm3rH6sPfKWUMw85HfYnjn4nH6sgvPsT6KdThsqpZwYTjCEQLGCpyw9Uz4Bmy-bIi4WUvYETgN-TLwGUv3En1RzPWnzPW0d" \t "_blank" </w:instrText>
      </w:r>
      <w:r>
        <w:fldChar w:fldCharType="separate"/>
      </w:r>
      <w:r>
        <w:rPr>
          <w:rStyle w:val="6"/>
          <w:rFonts w:hint="eastAsia" w:ascii="仿宋" w:hAnsi="仿宋" w:eastAsia="仿宋" w:cs="仿宋"/>
          <w:color w:val="auto"/>
          <w:kern w:val="44"/>
          <w:sz w:val="32"/>
          <w:szCs w:val="32"/>
          <w:u w:val="none"/>
          <w:shd w:val="clear" w:color="auto" w:fill="FFFFFF"/>
        </w:rPr>
        <w:t>教育行政部门</w:t>
      </w:r>
      <w:r>
        <w:rPr>
          <w:rStyle w:val="6"/>
          <w:rFonts w:hint="eastAsia" w:ascii="仿宋" w:hAnsi="仿宋" w:eastAsia="仿宋" w:cs="仿宋"/>
          <w:color w:val="auto"/>
          <w:kern w:val="44"/>
          <w:sz w:val="32"/>
          <w:szCs w:val="32"/>
          <w:u w:val="none"/>
          <w:shd w:val="clear" w:color="auto" w:fill="FFFFFF"/>
        </w:rPr>
        <w:fldChar w:fldCharType="end"/>
      </w:r>
      <w:r>
        <w:rPr>
          <w:rFonts w:hint="eastAsia" w:ascii="仿宋" w:hAnsi="仿宋" w:eastAsia="仿宋" w:cs="仿宋"/>
          <w:kern w:val="44"/>
          <w:sz w:val="32"/>
          <w:szCs w:val="32"/>
          <w:shd w:val="clear" w:color="auto" w:fill="FFFFFF"/>
        </w:rPr>
        <w:t>做好教育教学指导工作。</w:t>
      </w:r>
    </w:p>
    <w:p w14:paraId="5BE794CC">
      <w:pPr>
        <w:ind w:firstLine="640" w:firstLineChars="200"/>
        <w:rPr>
          <w:rFonts w:ascii="仿宋" w:hAnsi="仿宋" w:eastAsia="仿宋" w:cs="仿宋"/>
          <w:kern w:val="44"/>
          <w:sz w:val="32"/>
          <w:szCs w:val="32"/>
          <w:shd w:val="clear" w:color="auto" w:fill="FFFFFF"/>
        </w:rPr>
      </w:pPr>
      <w:r>
        <w:rPr>
          <w:rFonts w:ascii="仿宋" w:hAnsi="仿宋" w:eastAsia="仿宋" w:cs="仿宋"/>
          <w:kern w:val="44"/>
          <w:sz w:val="32"/>
          <w:szCs w:val="32"/>
          <w:shd w:val="clear" w:color="auto" w:fill="FFFFFF"/>
        </w:rPr>
        <w:t>2</w:t>
      </w:r>
      <w:r>
        <w:rPr>
          <w:rFonts w:hint="eastAsia" w:ascii="仿宋" w:hAnsi="仿宋" w:eastAsia="仿宋" w:cs="仿宋"/>
          <w:kern w:val="44"/>
          <w:sz w:val="32"/>
          <w:szCs w:val="32"/>
          <w:shd w:val="clear" w:color="auto" w:fill="FFFFFF"/>
        </w:rPr>
        <w:t>、主要任务是负责实施对全校小学教师的</w:t>
      </w:r>
      <w:r>
        <w:fldChar w:fldCharType="begin"/>
      </w:r>
      <w:r>
        <w:instrText xml:space="preserve"> HYPERLINK "https://www.baidu.com/s?wd=%E7%BB%A7%E7%BB%AD%E6%95%99%E8%82%B2&amp;from=1012015a&amp;fenlei=mv6quAkxTZn0IZRqIHckPjm4nH00T1d9mHFhPHm4Py79n1fvPvnk0ZwV5Hcvrjm3rH6sPfKWUMw85HfYnjn4nH6sgvPsT6KdThsqpZwYTjCEQLGCpyw9Uz4Bmy-bIi4WUvYETgN-TLwGUv3En1RzPWnzPW0d" \t "_blank" </w:instrText>
      </w:r>
      <w:r>
        <w:fldChar w:fldCharType="separate"/>
      </w:r>
      <w:r>
        <w:rPr>
          <w:rStyle w:val="6"/>
          <w:rFonts w:hint="eastAsia" w:ascii="仿宋" w:hAnsi="仿宋" w:eastAsia="仿宋" w:cs="仿宋"/>
          <w:color w:val="auto"/>
          <w:kern w:val="44"/>
          <w:sz w:val="32"/>
          <w:szCs w:val="32"/>
          <w:u w:val="none"/>
          <w:shd w:val="clear" w:color="auto" w:fill="FFFFFF"/>
        </w:rPr>
        <w:t>继续教育</w:t>
      </w:r>
      <w:r>
        <w:rPr>
          <w:rStyle w:val="6"/>
          <w:rFonts w:hint="eastAsia" w:ascii="仿宋" w:hAnsi="仿宋" w:eastAsia="仿宋" w:cs="仿宋"/>
          <w:color w:val="auto"/>
          <w:kern w:val="44"/>
          <w:sz w:val="32"/>
          <w:szCs w:val="32"/>
          <w:u w:val="none"/>
          <w:shd w:val="clear" w:color="auto" w:fill="FFFFFF"/>
        </w:rPr>
        <w:fldChar w:fldCharType="end"/>
      </w:r>
      <w:r>
        <w:rPr>
          <w:rFonts w:hint="eastAsia" w:ascii="仿宋" w:hAnsi="仿宋" w:eastAsia="仿宋" w:cs="仿宋"/>
          <w:kern w:val="44"/>
          <w:sz w:val="32"/>
          <w:szCs w:val="32"/>
          <w:shd w:val="clear" w:color="auto" w:fill="FFFFFF"/>
        </w:rPr>
        <w:t>。</w:t>
      </w:r>
    </w:p>
    <w:p w14:paraId="596CA70F">
      <w:pPr>
        <w:ind w:firstLine="640" w:firstLineChars="200"/>
        <w:rPr>
          <w:rFonts w:ascii="仿宋" w:hAnsi="仿宋" w:eastAsia="仿宋" w:cs="仿宋"/>
          <w:kern w:val="44"/>
          <w:sz w:val="32"/>
          <w:szCs w:val="32"/>
          <w:shd w:val="clear" w:color="auto" w:fill="FFFFFF"/>
        </w:rPr>
      </w:pPr>
      <w:r>
        <w:rPr>
          <w:rFonts w:ascii="仿宋" w:hAnsi="仿宋" w:eastAsia="仿宋" w:cs="仿宋"/>
          <w:kern w:val="44"/>
          <w:sz w:val="32"/>
          <w:szCs w:val="32"/>
          <w:shd w:val="clear" w:color="auto" w:fill="FFFFFF"/>
        </w:rPr>
        <w:t>3</w:t>
      </w:r>
      <w:r>
        <w:rPr>
          <w:rFonts w:hint="eastAsia" w:ascii="仿宋" w:hAnsi="仿宋" w:eastAsia="仿宋" w:cs="仿宋"/>
          <w:kern w:val="44"/>
          <w:sz w:val="32"/>
          <w:szCs w:val="32"/>
          <w:shd w:val="clear" w:color="auto" w:fill="FFFFFF"/>
        </w:rPr>
        <w:t>、为全校小学校开展教师校本培训提供指导和服务。</w:t>
      </w:r>
    </w:p>
    <w:p w14:paraId="7509145B">
      <w:pPr>
        <w:ind w:firstLine="640" w:firstLineChars="200"/>
        <w:rPr>
          <w:rFonts w:ascii="仿宋" w:hAnsi="仿宋" w:eastAsia="仿宋" w:cs="仿宋"/>
          <w:kern w:val="44"/>
          <w:sz w:val="32"/>
          <w:szCs w:val="32"/>
          <w:shd w:val="clear" w:color="auto" w:fill="FFFFFF"/>
        </w:rPr>
      </w:pPr>
      <w:r>
        <w:rPr>
          <w:rFonts w:ascii="仿宋" w:hAnsi="仿宋" w:eastAsia="仿宋" w:cs="仿宋"/>
          <w:kern w:val="44"/>
          <w:sz w:val="32"/>
          <w:szCs w:val="32"/>
          <w:shd w:val="clear" w:color="auto" w:fill="FFFFFF"/>
        </w:rPr>
        <w:t>4</w:t>
      </w:r>
      <w:r>
        <w:rPr>
          <w:rFonts w:hint="eastAsia" w:ascii="仿宋" w:hAnsi="仿宋" w:eastAsia="仿宋" w:cs="仿宋"/>
          <w:kern w:val="44"/>
          <w:sz w:val="32"/>
          <w:szCs w:val="32"/>
          <w:shd w:val="clear" w:color="auto" w:fill="FFFFFF"/>
        </w:rPr>
        <w:t>、承担全校基础教育新课程、教材和教法培训等，成为全校开展小学教师教育工作的培训、研究和服务中心。</w:t>
      </w:r>
    </w:p>
    <w:p w14:paraId="7E995E57">
      <w:pPr>
        <w:ind w:firstLine="640" w:firstLineChars="200"/>
        <w:rPr>
          <w:rFonts w:ascii="仿宋" w:hAnsi="仿宋" w:eastAsia="仿宋" w:cs="仿宋"/>
          <w:kern w:val="44"/>
          <w:sz w:val="32"/>
          <w:szCs w:val="32"/>
          <w:shd w:val="clear" w:color="auto" w:fill="FFFFFF"/>
        </w:rPr>
      </w:pPr>
      <w:r>
        <w:rPr>
          <w:rFonts w:ascii="仿宋" w:hAnsi="仿宋" w:eastAsia="仿宋" w:cs="仿宋"/>
          <w:kern w:val="44"/>
          <w:sz w:val="32"/>
          <w:szCs w:val="32"/>
          <w:shd w:val="clear" w:color="auto" w:fill="FFFFFF"/>
        </w:rPr>
        <w:t>5</w:t>
      </w:r>
      <w:r>
        <w:rPr>
          <w:rFonts w:hint="eastAsia" w:ascii="仿宋" w:hAnsi="仿宋" w:eastAsia="仿宋" w:cs="仿宋"/>
          <w:kern w:val="44"/>
          <w:sz w:val="32"/>
          <w:szCs w:val="32"/>
          <w:shd w:val="clear" w:color="auto" w:fill="FFFFFF"/>
        </w:rPr>
        <w:t>、配合教育行政部门做好全校有关小学教师继续教育和实施教师资格制度的组织、协调、评价和服务工作，成为全校中小学教师教育政策咨询和指导中心。</w:t>
      </w:r>
    </w:p>
    <w:p w14:paraId="4C0D8F94">
      <w:pPr>
        <w:ind w:firstLine="640" w:firstLineChars="200"/>
        <w:rPr>
          <w:rFonts w:ascii="仿宋" w:hAnsi="仿宋" w:eastAsia="仿宋" w:cs="仿宋"/>
          <w:kern w:val="44"/>
          <w:sz w:val="32"/>
          <w:szCs w:val="32"/>
          <w:shd w:val="clear" w:color="auto" w:fill="FFFFFF"/>
        </w:rPr>
      </w:pPr>
      <w:r>
        <w:rPr>
          <w:rFonts w:ascii="仿宋" w:hAnsi="仿宋" w:eastAsia="仿宋" w:cs="仿宋"/>
          <w:kern w:val="44"/>
          <w:sz w:val="32"/>
          <w:szCs w:val="32"/>
          <w:shd w:val="clear" w:color="auto" w:fill="FFFFFF"/>
        </w:rPr>
        <w:t>6</w:t>
      </w:r>
      <w:r>
        <w:rPr>
          <w:rFonts w:hint="eastAsia" w:ascii="仿宋" w:hAnsi="仿宋" w:eastAsia="仿宋" w:cs="仿宋"/>
          <w:kern w:val="44"/>
          <w:sz w:val="32"/>
          <w:szCs w:val="32"/>
          <w:shd w:val="clear" w:color="auto" w:fill="FFFFFF"/>
        </w:rPr>
        <w:t>、指导小学教师在教学实践中学习和研究，推动小学教师开展教改实验，不断提高小学教师的专业化水平。</w:t>
      </w:r>
    </w:p>
    <w:p w14:paraId="5F92626E">
      <w:pPr>
        <w:ind w:firstLine="640" w:firstLineChars="200"/>
        <w:rPr>
          <w:rFonts w:hint="eastAsia" w:ascii="仿宋" w:hAnsi="仿宋" w:eastAsia="仿宋" w:cs="仿宋"/>
          <w:kern w:val="44"/>
          <w:sz w:val="32"/>
          <w:szCs w:val="32"/>
          <w:shd w:val="clear" w:color="auto" w:fill="FFFFFF"/>
        </w:rPr>
      </w:pPr>
      <w:r>
        <w:rPr>
          <w:rFonts w:ascii="仿宋" w:hAnsi="仿宋" w:eastAsia="仿宋" w:cs="仿宋"/>
          <w:kern w:val="44"/>
          <w:sz w:val="32"/>
          <w:szCs w:val="32"/>
          <w:shd w:val="clear" w:color="auto" w:fill="FFFFFF"/>
        </w:rPr>
        <w:t>7</w:t>
      </w:r>
      <w:r>
        <w:rPr>
          <w:rFonts w:hint="eastAsia" w:ascii="仿宋" w:hAnsi="仿宋" w:eastAsia="仿宋" w:cs="仿宋"/>
          <w:kern w:val="44"/>
          <w:sz w:val="32"/>
          <w:szCs w:val="32"/>
          <w:shd w:val="clear" w:color="auto" w:fill="FFFFFF"/>
        </w:rPr>
        <w:t>、为全校小学开展校本培训和日常教学提供信息技术和现代教育技术服务，为通过现代远程教育手段开展教师继续教育提供帮助和支持。</w:t>
      </w:r>
    </w:p>
    <w:p w14:paraId="7D186307">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kern w:val="44"/>
          <w:sz w:val="32"/>
          <w:szCs w:val="32"/>
          <w:shd w:val="clear" w:color="auto" w:fill="FFFFFF"/>
        </w:rPr>
      </w:pPr>
      <w:r>
        <w:rPr>
          <w:rFonts w:ascii="仿宋" w:hAnsi="仿宋" w:eastAsia="仿宋" w:cs="仿宋"/>
          <w:kern w:val="44"/>
          <w:sz w:val="32"/>
          <w:szCs w:val="32"/>
          <w:shd w:val="clear" w:color="auto" w:fill="FFFFFF"/>
        </w:rPr>
        <w:t>8</w:t>
      </w:r>
      <w:r>
        <w:rPr>
          <w:rFonts w:hint="eastAsia" w:ascii="仿宋" w:hAnsi="仿宋" w:eastAsia="仿宋" w:cs="仿宋"/>
          <w:kern w:val="44"/>
          <w:sz w:val="32"/>
          <w:szCs w:val="32"/>
          <w:shd w:val="clear" w:color="auto" w:fill="FFFFFF"/>
        </w:rPr>
        <w:t>、为广大教师研修学习提供必要的场所、设施、设备和资源等良好环境，辅导和帮助广大小学教师充分利用各种信息资源开展自主学习。</w:t>
      </w:r>
    </w:p>
    <w:p w14:paraId="0DAF04F3">
      <w:pPr>
        <w:pStyle w:val="7"/>
        <w:numPr>
          <w:ilvl w:val="-1"/>
          <w:numId w:val="0"/>
        </w:numPr>
        <w:ind w:left="0" w:firstLine="640" w:firstLineChars="200"/>
        <w:jc w:val="left"/>
        <w:rPr>
          <w:rFonts w:hint="eastAsia" w:ascii="仿宋" w:hAnsi="仿宋" w:eastAsia="仿宋" w:cs="仿宋"/>
          <w:kern w:val="44"/>
          <w:sz w:val="32"/>
          <w:szCs w:val="32"/>
          <w:shd w:val="clear" w:color="auto" w:fill="FFFFFF"/>
        </w:rPr>
      </w:pPr>
      <w:r>
        <w:rPr>
          <w:rFonts w:ascii="仿宋" w:hAnsi="仿宋" w:eastAsia="仿宋" w:cs="仿宋"/>
          <w:kern w:val="44"/>
          <w:sz w:val="32"/>
          <w:szCs w:val="32"/>
          <w:shd w:val="clear" w:color="auto" w:fill="FFFFFF"/>
        </w:rPr>
        <w:t>9</w:t>
      </w:r>
      <w:r>
        <w:rPr>
          <w:rFonts w:hint="eastAsia" w:ascii="仿宋" w:hAnsi="仿宋" w:eastAsia="仿宋" w:cs="仿宋"/>
          <w:kern w:val="44"/>
          <w:sz w:val="32"/>
          <w:szCs w:val="32"/>
          <w:shd w:val="clear" w:color="auto" w:fill="FFFFFF"/>
        </w:rPr>
        <w:t>、通过教科研等机构开展联合或合作等多种形式办学，积极探索以小学教师继续教育为主、多元的、适应时代发展的办学形式，提高培训机构的综合实力。</w:t>
      </w:r>
    </w:p>
    <w:p w14:paraId="03ECC423">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667874F6">
      <w:pPr>
        <w:ind w:firstLine="800" w:firstLineChars="250"/>
        <w:jc w:val="left"/>
        <w:rPr>
          <w:rFonts w:ascii="仿宋_GB2312" w:hAnsi="黑体" w:eastAsia="仿宋_GB2312" w:cs="仿宋_GB2312"/>
          <w:sz w:val="32"/>
          <w:szCs w:val="32"/>
        </w:rPr>
      </w:pPr>
      <w:r>
        <w:rPr>
          <w:rFonts w:hint="eastAsia" w:ascii="仿宋_GB2312" w:hAnsi="黑体" w:eastAsia="仿宋_GB2312" w:cs="仿宋_GB2312"/>
          <w:sz w:val="32"/>
          <w:szCs w:val="32"/>
        </w:rPr>
        <w:t>纳入屯昌县南坤镇榕仔中心小学</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预算编制范围的二级预算单位包括：</w:t>
      </w:r>
    </w:p>
    <w:p w14:paraId="7AB1C3A2">
      <w:pPr>
        <w:pStyle w:val="8"/>
        <w:numPr>
          <w:numId w:val="0"/>
        </w:numPr>
        <w:ind w:left="800" w:leftChars="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lang w:eastAsia="zh-CN"/>
        </w:rPr>
        <w:t>屯昌县南坤镇榕仔中心小学</w:t>
      </w:r>
    </w:p>
    <w:p w14:paraId="2BF019A3">
      <w:pPr>
        <w:pStyle w:val="8"/>
        <w:numPr>
          <w:numId w:val="0"/>
        </w:numPr>
        <w:ind w:left="800" w:leftChars="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屯昌县南坤镇古寨小学。</w:t>
      </w:r>
    </w:p>
    <w:p w14:paraId="756459AC">
      <w:pPr>
        <w:pStyle w:val="7"/>
        <w:keepNext w:val="0"/>
        <w:keepLines w:val="0"/>
        <w:pageBreakBefore w:val="0"/>
        <w:numPr>
          <w:numId w:val="0"/>
        </w:numPr>
        <w:kinsoku/>
        <w:wordWrap/>
        <w:overflowPunct/>
        <w:topLinePunct w:val="0"/>
        <w:autoSpaceDE/>
        <w:autoSpaceDN/>
        <w:bidi w:val="0"/>
        <w:adjustRightInd/>
        <w:snapToGrid/>
        <w:spacing w:line="590" w:lineRule="exact"/>
        <w:ind w:left="800" w:leftChars="0"/>
        <w:jc w:val="both"/>
        <w:textAlignment w:val="auto"/>
        <w:rPr>
          <w:rFonts w:ascii="仿宋_GB2312" w:hAnsi="黑体" w:eastAsia="仿宋_GB2312" w:cs="仿宋_GB2312"/>
          <w:sz w:val="32"/>
          <w:szCs w:val="32"/>
          <w:highlight w:val="yellow"/>
          <w:u w:val="none"/>
        </w:rPr>
      </w:pPr>
      <w:r>
        <w:rPr>
          <w:rFonts w:hint="eastAsia" w:ascii="仿宋_GB2312" w:hAnsi="黑体" w:eastAsia="仿宋_GB2312" w:cs="仿宋_GB2312"/>
          <w:sz w:val="32"/>
          <w:szCs w:val="32"/>
          <w:lang w:val="en-US" w:eastAsia="zh-CN"/>
        </w:rPr>
        <w:t>3.</w:t>
      </w:r>
      <w:r>
        <w:rPr>
          <w:rFonts w:hint="eastAsia" w:ascii="仿宋_GB2312" w:hAnsi="黑体" w:eastAsia="仿宋_GB2312" w:cs="仿宋_GB2312"/>
          <w:sz w:val="32"/>
          <w:szCs w:val="32"/>
        </w:rPr>
        <w:t>屯昌县南坤镇长圮小学。</w:t>
      </w:r>
    </w:p>
    <w:p w14:paraId="46DC862D">
      <w:pPr>
        <w:pStyle w:val="7"/>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14:paraId="6EF00CB7">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14:paraId="31172A68">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14:paraId="18411484">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14:paraId="76931E96">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14:paraId="6C39D9BE">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14:paraId="0A3D5658">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0D30D50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rPr>
        <w:t>屯昌县南坤镇榕仔中心小学</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年财政拨款收支总预算1,302.53万元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277.17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机构人员人数减少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sz w:val="32"/>
          <w:szCs w:val="32"/>
          <w:u w:val="none"/>
        </w:rPr>
        <w:t>1,302.53</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1,302.18</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0.35</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rPr>
        <w:t>1,302.53</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rPr>
        <w:t>1,302.53</w:t>
      </w:r>
      <w:r>
        <w:rPr>
          <w:rFonts w:hint="eastAsia" w:ascii="仿宋_GB2312" w:hAnsi="黑体" w:eastAsia="仿宋_GB2312"/>
          <w:color w:val="auto"/>
          <w:sz w:val="32"/>
          <w:szCs w:val="32"/>
          <w:u w:val="none"/>
        </w:rPr>
        <w:t>万元、 教育支出</w:t>
      </w:r>
      <w:r>
        <w:rPr>
          <w:rFonts w:hint="eastAsia" w:ascii="仿宋_GB2312" w:hAnsi="黑体" w:eastAsia="仿宋_GB2312" w:cs="仿宋_GB2312"/>
          <w:color w:val="auto"/>
          <w:sz w:val="32"/>
          <w:szCs w:val="32"/>
          <w:u w:val="none"/>
          <w:lang w:val="en-US" w:eastAsia="zh-CN"/>
        </w:rPr>
        <w:t>864.19</w:t>
      </w:r>
      <w:r>
        <w:rPr>
          <w:rFonts w:hint="eastAsia" w:ascii="仿宋_GB2312" w:hAnsi="黑体" w:eastAsia="仿宋_GB2312"/>
          <w:color w:val="auto"/>
          <w:sz w:val="32"/>
          <w:szCs w:val="32"/>
          <w:u w:val="none"/>
        </w:rPr>
        <w:t>万元、社会保障和就业</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lang w:val="en-US" w:eastAsia="zh-CN"/>
        </w:rPr>
        <w:t>197.04</w:t>
      </w:r>
      <w:r>
        <w:rPr>
          <w:rFonts w:hint="eastAsia" w:ascii="仿宋_GB2312" w:hAnsi="黑体" w:eastAsia="仿宋_GB2312"/>
          <w:sz w:val="32"/>
          <w:szCs w:val="32"/>
          <w:u w:val="none"/>
        </w:rPr>
        <w:t>万元， 卫生健康</w:t>
      </w:r>
      <w:r>
        <w:rPr>
          <w:rFonts w:hint="eastAsia" w:ascii="仿宋_GB2312" w:hAnsi="黑体" w:eastAsia="仿宋_GB2312"/>
          <w:sz w:val="32"/>
          <w:szCs w:val="32"/>
          <w:u w:val="none"/>
          <w:lang w:eastAsia="zh-CN"/>
        </w:rPr>
        <w:t>支出151.90万元，住房保障支出</w:t>
      </w:r>
      <w:r>
        <w:rPr>
          <w:rFonts w:hint="eastAsia" w:ascii="仿宋_GB2312" w:hAnsi="黑体" w:eastAsia="仿宋_GB2312"/>
          <w:sz w:val="32"/>
          <w:szCs w:val="32"/>
          <w:u w:val="none"/>
          <w:lang w:val="en-US" w:eastAsia="zh-CN"/>
        </w:rPr>
        <w:t>89.41万元，</w:t>
      </w:r>
      <w:r>
        <w:rPr>
          <w:rFonts w:hint="eastAsia" w:ascii="仿宋_GB2312" w:hAnsi="黑体" w:eastAsia="仿宋_GB2312"/>
          <w:sz w:val="32"/>
          <w:szCs w:val="32"/>
          <w:u w:val="none"/>
        </w:rPr>
        <w:t>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0E48762A">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6CC120F4">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108CA2C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rPr>
        <w:t>屯昌县南坤镇榕仔中心小学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1,302.53</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277.17</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eastAsia="zh-CN"/>
        </w:rPr>
        <w:t>学校人员减少。</w:t>
      </w:r>
    </w:p>
    <w:p w14:paraId="3927E928">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0D8E3CDA">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支出864.19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66</w:t>
      </w:r>
      <w:r>
        <w:rPr>
          <w:rFonts w:hint="eastAsia" w:ascii="仿宋_GB2312" w:hAnsi="黑体" w:eastAsia="仿宋_GB2312"/>
          <w:sz w:val="32"/>
          <w:szCs w:val="32"/>
          <w:u w:val="none"/>
        </w:rPr>
        <w:t>%； 社会保障和就业</w:t>
      </w:r>
      <w:r>
        <w:rPr>
          <w:rFonts w:hint="eastAsia" w:ascii="仿宋_GB2312" w:hAnsi="黑体" w:eastAsia="仿宋_GB2312"/>
          <w:sz w:val="32"/>
          <w:szCs w:val="32"/>
          <w:u w:val="none"/>
          <w:lang w:eastAsia="zh-CN"/>
        </w:rPr>
        <w:t>（类）</w:t>
      </w:r>
      <w:r>
        <w:rPr>
          <w:rFonts w:hint="eastAsia" w:ascii="仿宋_GB2312" w:hAnsi="黑体" w:eastAsia="仿宋_GB2312"/>
          <w:sz w:val="32"/>
          <w:szCs w:val="32"/>
          <w:u w:val="none"/>
        </w:rPr>
        <w:t>支出</w:t>
      </w:r>
      <w:r>
        <w:rPr>
          <w:rFonts w:hint="eastAsia" w:ascii="仿宋_GB2312" w:hAnsi="黑体" w:eastAsia="仿宋_GB2312" w:cs="仿宋_GB2312"/>
          <w:sz w:val="32"/>
          <w:szCs w:val="32"/>
          <w:u w:val="none"/>
        </w:rPr>
        <w:t>197.04</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15</w:t>
      </w:r>
      <w:r>
        <w:rPr>
          <w:rFonts w:hint="eastAsia" w:ascii="仿宋_GB2312" w:hAnsi="黑体" w:eastAsia="仿宋_GB2312"/>
          <w:sz w:val="32"/>
          <w:szCs w:val="32"/>
          <w:u w:val="none"/>
        </w:rPr>
        <w:t>%；卫生健康</w:t>
      </w:r>
      <w:r>
        <w:rPr>
          <w:rFonts w:hint="eastAsia" w:ascii="仿宋_GB2312" w:hAnsi="黑体" w:eastAsia="仿宋_GB2312"/>
          <w:sz w:val="32"/>
          <w:szCs w:val="32"/>
          <w:u w:val="none"/>
          <w:lang w:eastAsia="zh-CN"/>
        </w:rPr>
        <w:t>（类）</w:t>
      </w:r>
      <w:r>
        <w:rPr>
          <w:rFonts w:hint="eastAsia" w:ascii="仿宋_GB2312" w:hAnsi="黑体" w:eastAsia="仿宋_GB2312"/>
          <w:sz w:val="32"/>
          <w:szCs w:val="32"/>
          <w:u w:val="none"/>
        </w:rPr>
        <w:t>支出151.9</w:t>
      </w:r>
      <w:r>
        <w:rPr>
          <w:rFonts w:hint="eastAsia" w:ascii="仿宋_GB2312" w:hAnsi="黑体" w:eastAsia="仿宋_GB2312"/>
          <w:sz w:val="32"/>
          <w:szCs w:val="32"/>
          <w:u w:val="none"/>
          <w:lang w:eastAsia="zh-CN"/>
        </w:rPr>
        <w:t>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12</w:t>
      </w:r>
      <w:r>
        <w:rPr>
          <w:rFonts w:hint="eastAsia" w:ascii="仿宋_GB2312" w:hAnsi="黑体" w:eastAsia="仿宋_GB2312"/>
          <w:sz w:val="32"/>
          <w:szCs w:val="32"/>
          <w:u w:val="none"/>
        </w:rPr>
        <w:t>%； 住房保障</w:t>
      </w:r>
      <w:r>
        <w:rPr>
          <w:rFonts w:hint="eastAsia" w:ascii="仿宋_GB2312" w:hAnsi="黑体" w:eastAsia="仿宋_GB2312"/>
          <w:sz w:val="32"/>
          <w:szCs w:val="32"/>
          <w:u w:val="none"/>
          <w:lang w:eastAsia="zh-CN"/>
        </w:rPr>
        <w:t>（类）</w:t>
      </w:r>
      <w:r>
        <w:rPr>
          <w:rFonts w:hint="eastAsia" w:ascii="仿宋_GB2312" w:hAnsi="黑体" w:eastAsia="仿宋_GB2312"/>
          <w:sz w:val="32"/>
          <w:szCs w:val="32"/>
          <w:u w:val="none"/>
        </w:rPr>
        <w:t>支出89.41</w:t>
      </w:r>
      <w:r>
        <w:rPr>
          <w:rFonts w:hint="eastAsia" w:ascii="仿宋_GB2312" w:hAnsi="黑体" w:eastAsia="仿宋_GB2312"/>
          <w:sz w:val="32"/>
          <w:szCs w:val="32"/>
          <w:u w:val="none"/>
          <w:lang w:eastAsia="zh-CN"/>
        </w:rPr>
        <w:t>万元</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7</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721EB6D1">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42900B4E">
      <w:pPr>
        <w:ind w:firstLine="640" w:firstLineChars="200"/>
        <w:rPr>
          <w:rFonts w:ascii="仿宋_GB2312" w:hAnsi="黑体" w:eastAsia="仿宋_GB2312"/>
          <w:sz w:val="32"/>
          <w:szCs w:val="32"/>
        </w:rPr>
      </w:pPr>
      <w:r>
        <w:rPr>
          <w:rFonts w:ascii="仿宋_GB2312" w:hAnsi="黑体" w:eastAsia="仿宋_GB2312" w:cs="仿宋_GB2312"/>
          <w:sz w:val="32"/>
          <w:szCs w:val="32"/>
        </w:rPr>
        <w:t>1.</w:t>
      </w:r>
      <w:r>
        <w:rPr>
          <w:rFonts w:hint="eastAsia" w:ascii="仿宋_GB2312" w:hAnsi="黑体" w:eastAsia="仿宋_GB2312" w:cs="仿宋_GB2312"/>
          <w:sz w:val="32"/>
          <w:szCs w:val="32"/>
        </w:rPr>
        <w:t>教育支出（类）普通教育（款）小学教育（项）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cs="仿宋_GB2312"/>
          <w:sz w:val="32"/>
          <w:szCs w:val="32"/>
        </w:rPr>
        <w:t>864.19</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下降</w:t>
      </w:r>
      <w:r>
        <w:rPr>
          <w:rFonts w:hint="eastAsia" w:ascii="仿宋_GB2312" w:hAnsi="黑体" w:eastAsia="仿宋_GB2312"/>
          <w:sz w:val="32"/>
          <w:szCs w:val="32"/>
          <w:lang w:val="en-US" w:eastAsia="zh-CN"/>
        </w:rPr>
        <w:t>209.82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学校人员减少</w:t>
      </w:r>
      <w:r>
        <w:rPr>
          <w:rFonts w:hint="eastAsia" w:ascii="仿宋_GB2312" w:hAnsi="黑体" w:eastAsia="仿宋_GB2312"/>
          <w:sz w:val="32"/>
          <w:szCs w:val="32"/>
        </w:rPr>
        <w:t>。</w:t>
      </w:r>
    </w:p>
    <w:p w14:paraId="33BB63DB">
      <w:pPr>
        <w:ind w:firstLine="640" w:firstLineChars="200"/>
        <w:rPr>
          <w:rFonts w:hint="eastAsia" w:ascii="仿宋_GB2312" w:hAnsi="黑体" w:eastAsia="仿宋_GB2312"/>
          <w:sz w:val="32"/>
          <w:szCs w:val="32"/>
          <w:lang w:eastAsia="zh-CN"/>
        </w:rPr>
      </w:pPr>
      <w:r>
        <w:rPr>
          <w:rFonts w:ascii="仿宋_GB2312" w:hAnsi="黑体" w:eastAsia="仿宋_GB2312"/>
          <w:sz w:val="32"/>
          <w:szCs w:val="32"/>
        </w:rPr>
        <w:t>2.</w:t>
      </w:r>
      <w:r>
        <w:t xml:space="preserve"> </w:t>
      </w:r>
      <w:r>
        <w:rPr>
          <w:rFonts w:hint="eastAsia" w:ascii="仿宋_GB2312" w:hAnsi="黑体" w:eastAsia="仿宋_GB2312"/>
          <w:sz w:val="32"/>
          <w:szCs w:val="32"/>
        </w:rPr>
        <w:t>社会保障和就业支出（类）</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年预算数为197.04万元，比上年预算数</w:t>
      </w:r>
      <w:r>
        <w:rPr>
          <w:rFonts w:hint="eastAsia" w:ascii="仿宋_GB2312" w:hAnsi="黑体" w:eastAsia="仿宋_GB2312"/>
          <w:sz w:val="32"/>
          <w:szCs w:val="32"/>
          <w:lang w:eastAsia="zh-CN"/>
        </w:rPr>
        <w:t>下降</w:t>
      </w:r>
      <w:r>
        <w:rPr>
          <w:rFonts w:hint="eastAsia" w:ascii="仿宋_GB2312" w:hAnsi="黑体" w:eastAsia="仿宋_GB2312"/>
          <w:sz w:val="32"/>
          <w:szCs w:val="32"/>
          <w:lang w:val="en-US" w:eastAsia="zh-CN"/>
        </w:rPr>
        <w:t>8.17</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主要是</w:t>
      </w:r>
      <w:r>
        <w:rPr>
          <w:rFonts w:hint="eastAsia" w:ascii="仿宋_GB2312" w:hAnsi="黑体" w:eastAsia="仿宋_GB2312"/>
          <w:sz w:val="32"/>
          <w:szCs w:val="32"/>
          <w:lang w:eastAsia="zh-CN"/>
        </w:rPr>
        <w:t>学校人员减少</w:t>
      </w:r>
      <w:r>
        <w:rPr>
          <w:rFonts w:hint="eastAsia" w:ascii="仿宋_GB2312" w:hAnsi="黑体" w:eastAsia="仿宋_GB2312"/>
          <w:sz w:val="32"/>
          <w:szCs w:val="32"/>
        </w:rPr>
        <w:t>。</w:t>
      </w:r>
    </w:p>
    <w:p w14:paraId="3C9801A6">
      <w:pPr>
        <w:ind w:firstLine="640" w:firstLineChars="200"/>
        <w:rPr>
          <w:rFonts w:ascii="仿宋_GB2312" w:hAnsi="黑体" w:eastAsia="仿宋_GB2312"/>
          <w:sz w:val="32"/>
          <w:szCs w:val="32"/>
        </w:rPr>
      </w:pPr>
      <w:r>
        <w:rPr>
          <w:rFonts w:ascii="仿宋_GB2312" w:hAnsi="黑体" w:eastAsia="仿宋_GB2312"/>
          <w:sz w:val="32"/>
          <w:szCs w:val="32"/>
        </w:rPr>
        <w:t>3.</w:t>
      </w:r>
      <w:r>
        <w:rPr>
          <w:rFonts w:hint="eastAsia" w:ascii="仿宋_GB2312" w:hAnsi="黑体" w:eastAsia="仿宋_GB2312"/>
          <w:sz w:val="32"/>
          <w:szCs w:val="32"/>
        </w:rPr>
        <w:t>卫生健康支出（类）</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年预算数为151.90万元，比上年预算数</w:t>
      </w:r>
      <w:r>
        <w:rPr>
          <w:rFonts w:hint="eastAsia" w:ascii="仿宋_GB2312" w:hAnsi="黑体" w:eastAsia="仿宋_GB2312"/>
          <w:sz w:val="32"/>
          <w:szCs w:val="32"/>
          <w:lang w:eastAsia="zh-CN"/>
        </w:rPr>
        <w:t>下降</w:t>
      </w:r>
      <w:r>
        <w:rPr>
          <w:rFonts w:hint="eastAsia" w:ascii="仿宋_GB2312" w:hAnsi="黑体" w:eastAsia="仿宋_GB2312"/>
          <w:sz w:val="32"/>
          <w:szCs w:val="32"/>
          <w:lang w:val="en-US" w:eastAsia="zh-CN"/>
        </w:rPr>
        <w:t>27.65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学校人员减少</w:t>
      </w:r>
      <w:r>
        <w:rPr>
          <w:rFonts w:hint="eastAsia" w:ascii="仿宋_GB2312" w:hAnsi="黑体" w:eastAsia="仿宋_GB2312"/>
          <w:sz w:val="32"/>
          <w:szCs w:val="32"/>
        </w:rPr>
        <w:t>。</w:t>
      </w:r>
    </w:p>
    <w:p w14:paraId="55FEB146">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rPr>
      </w:pPr>
      <w:r>
        <w:rPr>
          <w:rFonts w:hint="eastAsia" w:ascii="仿宋_GB2312" w:hAnsi="黑体" w:eastAsia="仿宋_GB2312"/>
          <w:sz w:val="32"/>
          <w:szCs w:val="32"/>
          <w:lang w:val="en-US" w:eastAsia="zh-CN"/>
        </w:rPr>
        <w:t>4</w:t>
      </w:r>
      <w:r>
        <w:rPr>
          <w:rFonts w:ascii="仿宋_GB2312" w:hAnsi="黑体" w:eastAsia="仿宋_GB2312"/>
          <w:sz w:val="32"/>
          <w:szCs w:val="32"/>
        </w:rPr>
        <w:t>.</w:t>
      </w:r>
      <w:r>
        <w:rPr>
          <w:rFonts w:hint="eastAsia" w:ascii="仿宋_GB2312" w:hAnsi="黑体" w:eastAsia="仿宋_GB2312"/>
          <w:sz w:val="32"/>
          <w:szCs w:val="32"/>
        </w:rPr>
        <w:t>住房保障支出（类）住房改革支出（款）住房公积金（项）</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89.41</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下降</w:t>
      </w:r>
      <w:r>
        <w:rPr>
          <w:rFonts w:hint="eastAsia" w:ascii="仿宋_GB2312" w:hAnsi="黑体" w:eastAsia="仿宋_GB2312"/>
          <w:sz w:val="32"/>
          <w:szCs w:val="32"/>
          <w:lang w:val="en-US" w:eastAsia="zh-CN"/>
        </w:rPr>
        <w:t>31.52</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学校人员减少</w:t>
      </w:r>
      <w:r>
        <w:rPr>
          <w:rFonts w:hint="eastAsia" w:ascii="仿宋_GB2312" w:hAnsi="黑体" w:eastAsia="仿宋_GB2312"/>
          <w:sz w:val="32"/>
          <w:szCs w:val="32"/>
        </w:rPr>
        <w:t>。</w:t>
      </w:r>
    </w:p>
    <w:p w14:paraId="301ED01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78E43F1B">
      <w:pPr>
        <w:ind w:firstLine="640" w:firstLineChars="200"/>
        <w:rPr>
          <w:rFonts w:ascii="仿宋_GB2312" w:hAnsi="黑体" w:eastAsia="仿宋_GB2312"/>
          <w:sz w:val="32"/>
          <w:szCs w:val="32"/>
        </w:rPr>
      </w:pPr>
      <w:r>
        <w:rPr>
          <w:rFonts w:hint="eastAsia" w:ascii="仿宋_GB2312" w:hAnsi="黑体" w:eastAsia="仿宋_GB2312"/>
          <w:sz w:val="32"/>
          <w:szCs w:val="32"/>
        </w:rPr>
        <w:t>屯昌县南坤镇榕仔中心小学</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rPr>
        <w:t>1,297.10</w:t>
      </w:r>
      <w:r>
        <w:rPr>
          <w:rFonts w:hint="eastAsia" w:ascii="仿宋_GB2312" w:hAnsi="黑体" w:eastAsia="仿宋_GB2312"/>
          <w:sz w:val="32"/>
          <w:szCs w:val="32"/>
        </w:rPr>
        <w:t>万元，其中：</w:t>
      </w:r>
    </w:p>
    <w:p w14:paraId="3437DC82">
      <w:pPr>
        <w:ind w:firstLine="640" w:firstLineChars="200"/>
        <w:rPr>
          <w:rFonts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cs="仿宋_GB2312"/>
          <w:sz w:val="32"/>
          <w:szCs w:val="32"/>
        </w:rPr>
        <w:t>1,279.96</w:t>
      </w:r>
      <w:r>
        <w:rPr>
          <w:rFonts w:hint="eastAsia" w:ascii="仿宋_GB2312" w:hAnsi="黑体" w:eastAsia="仿宋_GB2312"/>
          <w:sz w:val="32"/>
          <w:szCs w:val="32"/>
        </w:rPr>
        <w:t>万元，主要包括：基本工资、津贴补贴、绩效工资、机关事业单位基本养老保险缴费、公务员医疗补助缴费、其他社会保障缴费、城镇职工基本医疗保险缴费、生活补助、医疗费补助</w:t>
      </w:r>
      <w:r>
        <w:rPr>
          <w:rFonts w:ascii="仿宋_GB2312" w:hAnsi="黑体" w:eastAsia="仿宋_GB2312"/>
          <w:sz w:val="32"/>
          <w:szCs w:val="32"/>
        </w:rPr>
        <w:t>;</w:t>
      </w:r>
    </w:p>
    <w:p w14:paraId="12228F35">
      <w:pPr>
        <w:ind w:firstLine="640" w:firstLineChars="200"/>
        <w:rPr>
          <w:rFonts w:ascii="仿宋_GB2312" w:hAnsi="黑体" w:eastAsia="仿宋_GB2312"/>
          <w:sz w:val="32"/>
          <w:szCs w:val="32"/>
          <w:u w:val="none"/>
        </w:rPr>
      </w:pPr>
      <w:r>
        <w:rPr>
          <w:rFonts w:hint="eastAsia" w:ascii="仿宋_GB2312" w:hAnsi="黑体" w:eastAsia="仿宋_GB2312"/>
          <w:sz w:val="32"/>
          <w:szCs w:val="32"/>
        </w:rPr>
        <w:t>商品和服务支出</w:t>
      </w:r>
      <w:r>
        <w:rPr>
          <w:rFonts w:hint="eastAsia" w:ascii="仿宋_GB2312" w:hAnsi="黑体" w:eastAsia="仿宋_GB2312" w:cs="仿宋_GB2312"/>
          <w:sz w:val="32"/>
          <w:szCs w:val="32"/>
        </w:rPr>
        <w:t>17.14</w:t>
      </w:r>
      <w:r>
        <w:rPr>
          <w:rFonts w:hint="eastAsia" w:ascii="仿宋_GB2312" w:hAnsi="黑体" w:eastAsia="仿宋_GB2312"/>
          <w:sz w:val="32"/>
          <w:szCs w:val="32"/>
        </w:rPr>
        <w:t>万元，主要包括：邮电费</w:t>
      </w:r>
      <w:r>
        <w:rPr>
          <w:rFonts w:hint="eastAsia" w:ascii="仿宋_GB2312" w:hAnsi="黑体" w:eastAsia="仿宋_GB2312"/>
          <w:sz w:val="32"/>
          <w:szCs w:val="32"/>
          <w:lang w:eastAsia="zh-CN"/>
        </w:rPr>
        <w:t>、工会经费</w:t>
      </w:r>
      <w:r>
        <w:rPr>
          <w:rFonts w:hint="eastAsia" w:ascii="仿宋_GB2312" w:hAnsi="黑体" w:eastAsia="仿宋_GB2312"/>
          <w:sz w:val="32"/>
          <w:szCs w:val="32"/>
        </w:rPr>
        <w:t>。</w:t>
      </w:r>
    </w:p>
    <w:p w14:paraId="2BE13F3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14:paraId="2195AE27">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（一）屯昌县南坤镇榕仔中心小学</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1E630E78">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p>
    <w:p w14:paraId="0809ED97">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，购置公务车</w:t>
      </w:r>
      <w:r>
        <w:rPr>
          <w:rFonts w:hint="eastAsia" w:ascii="仿宋_GB2312" w:hAnsi="黑体" w:eastAsia="仿宋_GB2312" w:cs="仿宋_GB2312"/>
          <w:sz w:val="32"/>
          <w:szCs w:val="32"/>
        </w:rPr>
        <w:t>0辆，</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年预算持平主要原因</w:t>
      </w:r>
      <w:r>
        <w:rPr>
          <w:rFonts w:hint="eastAsia" w:ascii="Times New Roman" w:hAnsi="Times New Roman" w:eastAsia="仿宋_GB2312" w:cs="Times New Roman"/>
          <w:sz w:val="32"/>
          <w:shd w:val="clear" w:color="auto" w:fill="FFFFFF"/>
        </w:rPr>
        <w:t>是无公务用车；</w:t>
      </w:r>
    </w:p>
    <w:p w14:paraId="16EC55EE">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w:t>
      </w:r>
      <w:r>
        <w:rPr>
          <w:rFonts w:hint="eastAsia" w:ascii="Times New Roman" w:hAnsi="Times New Roman" w:eastAsia="仿宋_GB2312" w:cs="Times New Roman"/>
          <w:sz w:val="32"/>
          <w:shd w:val="clear" w:color="auto" w:fill="FFFFFF"/>
        </w:rPr>
        <w:t>与上年持平。</w:t>
      </w:r>
    </w:p>
    <w:p w14:paraId="64167165">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（二）屯昌县南坤镇榕仔中心小学</w:t>
      </w:r>
      <w:r>
        <w:rPr>
          <w:rFonts w:hint="eastAsia" w:ascii="仿宋_GB2312" w:hAnsi="黑体" w:eastAsia="仿宋_GB2312" w:cs="黑体"/>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14:paraId="372A13B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仿宋_GB2312" w:hAnsi="黑体" w:eastAsia="仿宋_GB2312"/>
          <w:sz w:val="32"/>
          <w:szCs w:val="32"/>
        </w:rPr>
        <w:t>。</w:t>
      </w:r>
    </w:p>
    <w:p w14:paraId="095D136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14:paraId="50678C2A">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27DC1E07">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楷体" w:hAnsi="楷体" w:eastAsia="楷体"/>
          <w:sz w:val="32"/>
          <w:szCs w:val="32"/>
          <w:u w:val="none"/>
        </w:rPr>
      </w:pPr>
      <w:r>
        <w:rPr>
          <w:rFonts w:hint="eastAsia" w:ascii="楷体" w:hAnsi="楷体" w:eastAsia="楷体"/>
          <w:sz w:val="32"/>
          <w:szCs w:val="32"/>
          <w:u w:val="none"/>
        </w:rPr>
        <w:t>屯昌县南坤镇榕仔中心小学</w:t>
      </w:r>
      <w:r>
        <w:rPr>
          <w:rFonts w:hint="eastAsia" w:ascii="楷体" w:hAnsi="楷体" w:eastAsia="楷体"/>
          <w:sz w:val="32"/>
          <w:szCs w:val="32"/>
          <w:u w:val="none"/>
          <w:lang w:eastAsia="zh-CN"/>
        </w:rPr>
        <w:t>202</w:t>
      </w:r>
      <w:r>
        <w:rPr>
          <w:rFonts w:hint="eastAsia" w:ascii="楷体" w:hAnsi="楷体" w:eastAsia="楷体"/>
          <w:sz w:val="32"/>
          <w:szCs w:val="32"/>
          <w:u w:val="none"/>
          <w:lang w:val="en-US" w:eastAsia="zh-CN"/>
        </w:rPr>
        <w:t>6</w:t>
      </w:r>
      <w:r>
        <w:rPr>
          <w:rFonts w:hint="eastAsia" w:ascii="楷体" w:hAnsi="楷体" w:eastAsia="楷体"/>
          <w:sz w:val="32"/>
          <w:szCs w:val="32"/>
          <w:u w:val="none"/>
        </w:rPr>
        <w:t>年政府性基金预算当年拨款0万元，与上年预算数持平，主要是无政府性基金预算。</w:t>
      </w:r>
    </w:p>
    <w:p w14:paraId="6683D392">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693BFFD3">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hint="eastAsia" w:ascii="仿宋_GB2312" w:hAnsi="黑体" w:eastAsia="仿宋_GB2312"/>
          <w:sz w:val="32"/>
          <w:szCs w:val="32"/>
        </w:rPr>
      </w:pPr>
      <w:r>
        <w:rPr>
          <w:rFonts w:hint="eastAsia" w:ascii="仿宋_GB2312" w:hAnsi="黑体" w:eastAsia="仿宋_GB2312"/>
          <w:sz w:val="32"/>
          <w:szCs w:val="32"/>
        </w:rPr>
        <w:t>无政府性基金预算。</w:t>
      </w:r>
    </w:p>
    <w:p w14:paraId="2B46155C">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32AFF5AF">
      <w:pPr>
        <w:ind w:firstLine="800" w:firstLineChars="250"/>
        <w:rPr>
          <w:rFonts w:hint="eastAsia" w:ascii="仿宋" w:hAnsi="仿宋" w:eastAsia="仿宋" w:cs="仿宋"/>
          <w:sz w:val="32"/>
          <w:szCs w:val="32"/>
        </w:rPr>
      </w:pPr>
      <w:r>
        <w:rPr>
          <w:rFonts w:hint="eastAsia" w:ascii="仿宋_GB2312" w:hAnsi="黑体" w:eastAsia="仿宋_GB2312"/>
          <w:sz w:val="32"/>
          <w:szCs w:val="32"/>
        </w:rPr>
        <w:t>无政府性基金预算。</w:t>
      </w:r>
    </w:p>
    <w:p w14:paraId="08A37779">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14:paraId="77D69914">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eastAsia="zh-CN"/>
        </w:rPr>
        <w:t>无国有资本经营预算。</w:t>
      </w:r>
    </w:p>
    <w:p w14:paraId="17066C4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14:paraId="0B3718D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rPr>
      </w:pPr>
      <w:r>
        <w:rPr>
          <w:rFonts w:hint="eastAsia" w:ascii="仿宋_GB2312" w:hAnsi="黑体" w:eastAsia="仿宋_GB2312" w:cs="仿宋_GB2312"/>
          <w:sz w:val="32"/>
          <w:szCs w:val="32"/>
        </w:rPr>
        <w:t>按照综合预算原则，屯昌县南坤镇榕仔中心小学所有收入和支出均纳入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预算管理。收入包括：一般公共预算收入</w:t>
      </w:r>
      <w:r>
        <w:rPr>
          <w:rFonts w:hint="eastAsia" w:ascii="仿宋_GB2312" w:hAnsi="黑体" w:eastAsia="仿宋_GB2312"/>
          <w:sz w:val="32"/>
          <w:szCs w:val="32"/>
        </w:rPr>
        <w:t>；支出包括：教育支出、社会保障和就业支出、卫生健康支出、住房保障支出。</w:t>
      </w:r>
      <w:r>
        <w:rPr>
          <w:rFonts w:hint="eastAsia" w:ascii="仿宋_GB2312" w:hAnsi="黑体" w:eastAsia="仿宋_GB2312" w:cs="仿宋_GB2312"/>
          <w:sz w:val="32"/>
          <w:szCs w:val="32"/>
        </w:rPr>
        <w:t>屯昌县南坤镇榕仔中心小学</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年收支总预算</w:t>
      </w:r>
      <w:r>
        <w:rPr>
          <w:rFonts w:hint="eastAsia" w:ascii="仿宋_GB2312" w:hAnsi="黑体" w:eastAsia="仿宋_GB2312" w:cs="仿宋_GB2312"/>
          <w:sz w:val="32"/>
          <w:szCs w:val="32"/>
        </w:rPr>
        <w:t>1302.53</w:t>
      </w:r>
      <w:r>
        <w:rPr>
          <w:rFonts w:hint="eastAsia" w:ascii="仿宋_GB2312" w:hAnsi="黑体" w:eastAsia="仿宋_GB2312"/>
          <w:sz w:val="32"/>
          <w:szCs w:val="32"/>
        </w:rPr>
        <w:t>万元。</w:t>
      </w:r>
    </w:p>
    <w:p w14:paraId="02D24A65">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14:paraId="2060814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rPr>
      </w:pPr>
      <w:r>
        <w:rPr>
          <w:rFonts w:hint="eastAsia" w:ascii="仿宋_GB2312" w:hAnsi="黑体" w:eastAsia="仿宋_GB2312"/>
          <w:sz w:val="32"/>
          <w:szCs w:val="32"/>
        </w:rPr>
        <w:t>屯昌县南坤镇榕仔中心小学</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年收入预算</w:t>
      </w:r>
      <w:r>
        <w:rPr>
          <w:rFonts w:hint="eastAsia" w:ascii="仿宋_GB2312" w:hAnsi="黑体" w:eastAsia="仿宋_GB2312" w:cs="仿宋_GB2312"/>
          <w:sz w:val="32"/>
          <w:szCs w:val="32"/>
        </w:rPr>
        <w:t>1302.53</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%；一般公共预算收入</w:t>
      </w:r>
      <w:r>
        <w:rPr>
          <w:rFonts w:hint="eastAsia" w:ascii="仿宋_GB2312" w:hAnsi="黑体" w:eastAsia="仿宋_GB2312" w:cs="仿宋_GB2312"/>
          <w:sz w:val="32"/>
          <w:szCs w:val="32"/>
        </w:rPr>
        <w:t>1302.53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%；专项收入</w:t>
      </w:r>
      <w:r>
        <w:rPr>
          <w:rFonts w:hint="eastAsia" w:ascii="仿宋_GB2312" w:hAnsi="黑体" w:eastAsia="仿宋_GB2312" w:cs="仿宋_GB2312"/>
          <w:sz w:val="32"/>
          <w:szCs w:val="32"/>
        </w:rPr>
        <w:t>0</w:t>
      </w:r>
      <w:r>
        <w:rPr>
          <w:rFonts w:hint="eastAsia" w:ascii="仿宋_GB2312" w:hAnsi="黑体" w:eastAsia="仿宋_GB2312"/>
          <w:sz w:val="32"/>
          <w:szCs w:val="32"/>
        </w:rPr>
        <w:t>万元，占</w:t>
      </w:r>
      <w:r>
        <w:rPr>
          <w:rFonts w:hint="eastAsia" w:ascii="仿宋_GB2312" w:hAnsi="黑体" w:eastAsia="仿宋_GB2312" w:cs="仿宋_GB2312"/>
          <w:sz w:val="32"/>
          <w:szCs w:val="32"/>
        </w:rPr>
        <w:t>0</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下降</w:t>
      </w:r>
      <w:r>
        <w:rPr>
          <w:rFonts w:hint="eastAsia" w:ascii="仿宋_GB2312" w:hAnsi="黑体" w:eastAsia="仿宋_GB2312"/>
          <w:sz w:val="32"/>
          <w:szCs w:val="32"/>
          <w:lang w:val="en-US" w:eastAsia="zh-CN"/>
        </w:rPr>
        <w:t>277.17</w:t>
      </w:r>
      <w:r>
        <w:rPr>
          <w:rFonts w:hint="eastAsia" w:ascii="仿宋_GB2312" w:hAnsi="黑体" w:eastAsia="仿宋_GB2312" w:cs="仿宋_GB2312"/>
          <w:sz w:val="32"/>
          <w:szCs w:val="32"/>
        </w:rPr>
        <w:t>万元，主要是</w:t>
      </w:r>
      <w:r>
        <w:rPr>
          <w:rFonts w:hint="eastAsia" w:ascii="仿宋_GB2312" w:hAnsi="黑体" w:eastAsia="仿宋_GB2312"/>
          <w:sz w:val="32"/>
          <w:szCs w:val="32"/>
          <w:lang w:eastAsia="zh-CN"/>
        </w:rPr>
        <w:t>学校人员减少</w:t>
      </w:r>
      <w:r>
        <w:rPr>
          <w:rFonts w:hint="eastAsia" w:ascii="仿宋" w:hAnsi="仿宋" w:eastAsia="仿宋" w:cs="仿宋"/>
          <w:sz w:val="32"/>
          <w:szCs w:val="32"/>
        </w:rPr>
        <w:t>。</w:t>
      </w:r>
    </w:p>
    <w:p w14:paraId="5E6FF4C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14:paraId="36CAB0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both"/>
        <w:textAlignment w:val="auto"/>
        <w:rPr>
          <w:sz w:val="32"/>
          <w:szCs w:val="32"/>
        </w:rPr>
      </w:pPr>
      <w:r>
        <w:rPr>
          <w:rFonts w:hint="eastAsia" w:ascii="仿宋_GB2312" w:hAnsi="黑体" w:eastAsia="仿宋_GB2312"/>
          <w:sz w:val="32"/>
          <w:szCs w:val="32"/>
          <w:lang w:eastAsia="zh-CN"/>
        </w:rPr>
        <w:t>屯</w:t>
      </w:r>
      <w:r>
        <w:rPr>
          <w:rFonts w:hint="eastAsia" w:ascii="仿宋_GB2312" w:hAnsi="黑体" w:eastAsia="仿宋_GB2312"/>
          <w:sz w:val="32"/>
          <w:szCs w:val="32"/>
        </w:rPr>
        <w:t>昌县南坤镇榕仔中心小学</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年支出预算</w:t>
      </w:r>
      <w:r>
        <w:rPr>
          <w:rFonts w:hint="eastAsia" w:ascii="仿宋_GB2312" w:hAnsi="黑体" w:eastAsia="仿宋_GB2312" w:cs="仿宋_GB2312"/>
          <w:sz w:val="32"/>
          <w:szCs w:val="32"/>
        </w:rPr>
        <w:t>1302.53</w:t>
      </w:r>
      <w:r>
        <w:rPr>
          <w:rFonts w:hint="eastAsia" w:ascii="仿宋_GB2312" w:hAnsi="黑体" w:eastAsia="仿宋_GB2312"/>
          <w:sz w:val="32"/>
          <w:szCs w:val="32"/>
        </w:rPr>
        <w:t>万元，其中：一般公共预算支出</w:t>
      </w:r>
      <w:r>
        <w:rPr>
          <w:rFonts w:hint="eastAsia" w:ascii="仿宋_GB2312" w:hAnsi="黑体" w:eastAsia="仿宋_GB2312" w:cs="仿宋_GB2312"/>
          <w:sz w:val="32"/>
          <w:szCs w:val="32"/>
        </w:rPr>
        <w:t>1302.53</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100</w:t>
      </w:r>
      <w:r>
        <w:rPr>
          <w:rFonts w:hint="eastAsia" w:ascii="仿宋_GB2312" w:hAnsi="黑体" w:eastAsia="仿宋_GB2312"/>
          <w:sz w:val="32"/>
          <w:szCs w:val="32"/>
        </w:rPr>
        <w:t>%；政府性基金预算支出</w:t>
      </w:r>
      <w:r>
        <w:rPr>
          <w:rFonts w:hint="eastAsia" w:ascii="仿宋_GB2312" w:hAnsi="黑体" w:eastAsia="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sz w:val="32"/>
          <w:szCs w:val="32"/>
          <w:lang w:val="en-US" w:eastAsia="zh-CN"/>
        </w:rPr>
        <w:t>0</w:t>
      </w:r>
      <w:r>
        <w:rPr>
          <w:rFonts w:hint="eastAsia" w:ascii="仿宋_GB2312" w:hAnsi="黑体" w:eastAsia="仿宋_GB2312"/>
          <w:sz w:val="32"/>
          <w:szCs w:val="32"/>
        </w:rPr>
        <w:t>%</w:t>
      </w:r>
      <w:r>
        <w:rPr>
          <w:rFonts w:hint="eastAsia" w:ascii="仿宋_GB2312" w:hAnsi="黑体" w:eastAsia="仿宋_GB2312"/>
          <w:sz w:val="32"/>
          <w:szCs w:val="32"/>
          <w:lang w:eastAsia="zh-CN"/>
        </w:rPr>
        <w:t>，结转</w:t>
      </w:r>
      <w:r>
        <w:rPr>
          <w:rFonts w:hint="eastAsia" w:ascii="仿宋_GB2312" w:hAnsi="黑体" w:eastAsia="仿宋_GB2312"/>
          <w:sz w:val="32"/>
          <w:szCs w:val="32"/>
          <w:lang w:val="en-US" w:eastAsia="zh-CN"/>
        </w:rPr>
        <w:t>0万元</w:t>
      </w:r>
      <w:r>
        <w:rPr>
          <w:rFonts w:hint="eastAsia" w:ascii="仿宋_GB2312" w:hAnsi="黑体" w:eastAsia="仿宋_GB2312"/>
          <w:sz w:val="32"/>
          <w:szCs w:val="32"/>
        </w:rPr>
        <w:t>。比上年预算数</w:t>
      </w:r>
      <w:r>
        <w:rPr>
          <w:rFonts w:hint="eastAsia" w:ascii="仿宋_GB2312" w:hAnsi="黑体" w:eastAsia="仿宋_GB2312"/>
          <w:sz w:val="32"/>
          <w:szCs w:val="32"/>
          <w:lang w:eastAsia="zh-CN"/>
        </w:rPr>
        <w:t>下降</w:t>
      </w:r>
      <w:r>
        <w:rPr>
          <w:rFonts w:hint="eastAsia" w:ascii="仿宋_GB2312" w:hAnsi="黑体" w:eastAsia="仿宋_GB2312"/>
          <w:sz w:val="32"/>
          <w:szCs w:val="32"/>
          <w:lang w:val="en-US" w:eastAsia="zh-CN"/>
        </w:rPr>
        <w:t>277.17</w:t>
      </w:r>
      <w:r>
        <w:rPr>
          <w:rFonts w:hint="eastAsia" w:ascii="仿宋_GB2312" w:hAnsi="黑体" w:eastAsia="仿宋_GB2312" w:cs="仿宋_GB2312"/>
          <w:sz w:val="32"/>
          <w:szCs w:val="32"/>
        </w:rPr>
        <w:t>万元，主要是</w:t>
      </w:r>
      <w:r>
        <w:rPr>
          <w:rFonts w:hint="eastAsia" w:ascii="仿宋_GB2312" w:hAnsi="黑体" w:eastAsia="仿宋_GB2312"/>
          <w:sz w:val="32"/>
          <w:szCs w:val="32"/>
          <w:lang w:eastAsia="zh-CN"/>
        </w:rPr>
        <w:t>学校人员减少</w:t>
      </w:r>
      <w:r>
        <w:rPr>
          <w:rFonts w:hint="eastAsia" w:ascii="仿宋" w:hAnsi="仿宋" w:eastAsia="仿宋" w:cs="仿宋"/>
          <w:sz w:val="32"/>
          <w:szCs w:val="32"/>
        </w:rPr>
        <w:t>。</w:t>
      </w:r>
    </w:p>
    <w:p w14:paraId="758C1B99">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14:paraId="3813592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21905BBD">
      <w:pPr>
        <w:ind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lang w:eastAsia="zh-CN"/>
        </w:rPr>
        <w:t>年屯昌县南坤镇榕仔中心小学机关运行经费预算0万元。</w:t>
      </w:r>
    </w:p>
    <w:p w14:paraId="1196572C">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14:paraId="3E69866F">
      <w:pPr>
        <w:spacing w:line="578" w:lineRule="exact"/>
        <w:ind w:firstLine="640"/>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2026年屯昌县南坤镇榕仔中心小学预算单位无政府采购预算。</w:t>
      </w:r>
    </w:p>
    <w:p w14:paraId="760DFCF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14:paraId="7ED5FBBA">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hint="eastAsia" w:ascii="仿宋" w:hAnsi="仿宋" w:eastAsia="仿宋" w:cs="仿宋"/>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w:t>
      </w:r>
      <w:r>
        <w:rPr>
          <w:rFonts w:hint="eastAsia" w:ascii="仿宋_GB2312" w:hAnsi="黑体" w:eastAsia="仿宋_GB2312" w:cs="仿宋_GB2312"/>
          <w:sz w:val="32"/>
          <w:szCs w:val="32"/>
        </w:rPr>
        <w:t>1日，屯昌县南坤镇榕仔中心小学</w:t>
      </w:r>
      <w:r>
        <w:rPr>
          <w:rFonts w:hint="eastAsia" w:ascii="仿宋_GB2312" w:hAnsi="黑体" w:eastAsia="仿宋_GB2312" w:cs="仿宋_GB2312"/>
          <w:sz w:val="32"/>
          <w:szCs w:val="32"/>
        </w:rPr>
        <w:t>本级及下属各预算单位共有车辆0辆，其中，领导干部用车0辆，机要通信应急用车0辆、一般执法执勤用车0辆、特种专业技术用车0辆、其他用车0辆。单位价值100万元以上设备0台（套）。教学楼</w:t>
      </w:r>
      <w:r>
        <w:rPr>
          <w:rFonts w:hint="eastAsia" w:ascii="仿宋_GB2312" w:hAnsi="黑体" w:eastAsia="仿宋_GB2312" w:cs="仿宋_GB2312"/>
          <w:sz w:val="32"/>
          <w:szCs w:val="32"/>
          <w:lang w:eastAsia="zh-CN"/>
        </w:rPr>
        <w:t>四</w:t>
      </w:r>
      <w:r>
        <w:rPr>
          <w:rFonts w:hint="eastAsia" w:ascii="仿宋_GB2312" w:hAnsi="黑体" w:eastAsia="仿宋_GB2312" w:cs="仿宋_GB2312"/>
          <w:sz w:val="32"/>
          <w:szCs w:val="32"/>
        </w:rPr>
        <w:t>幢，教</w:t>
      </w:r>
      <w:r>
        <w:rPr>
          <w:rFonts w:hint="eastAsia" w:ascii="仿宋_GB2312" w:hAnsi="黑体" w:eastAsia="仿宋_GB2312" w:cs="仿宋_GB2312"/>
          <w:sz w:val="32"/>
          <w:szCs w:val="32"/>
          <w:lang w:eastAsia="zh-CN"/>
        </w:rPr>
        <w:t>职</w:t>
      </w:r>
      <w:r>
        <w:rPr>
          <w:rFonts w:hint="eastAsia" w:ascii="仿宋_GB2312" w:hAnsi="黑体" w:eastAsia="仿宋_GB2312" w:cs="仿宋_GB2312"/>
          <w:sz w:val="32"/>
          <w:szCs w:val="32"/>
        </w:rPr>
        <w:t>工周转房一幢</w:t>
      </w:r>
      <w:r>
        <w:rPr>
          <w:rFonts w:hint="eastAsia" w:ascii="仿宋" w:hAnsi="仿宋" w:eastAsia="仿宋" w:cs="仿宋"/>
          <w:sz w:val="32"/>
          <w:szCs w:val="32"/>
        </w:rPr>
        <w:t>。</w:t>
      </w:r>
    </w:p>
    <w:p w14:paraId="0D46A76F">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50EEA64D">
      <w:pPr>
        <w:spacing w:line="578" w:lineRule="exact"/>
        <w:ind w:firstLine="640" w:firstLineChars="200"/>
        <w:rPr>
          <w:rFonts w:hint="eastAsia" w:ascii="黑体" w:hAnsi="黑体" w:eastAsia="黑体"/>
          <w:b w:val="0"/>
          <w:bCs/>
          <w:sz w:val="32"/>
          <w:szCs w:val="32"/>
          <w:u w:val="none"/>
          <w:lang w:eastAsia="zh-CN"/>
        </w:rPr>
      </w:pP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6</w:t>
      </w:r>
      <w:r>
        <w:rPr>
          <w:rFonts w:hint="eastAsia" w:ascii="仿宋" w:hAnsi="仿宋" w:eastAsia="仿宋" w:cs="仿宋"/>
          <w:sz w:val="32"/>
          <w:szCs w:val="32"/>
        </w:rPr>
        <w:t>年屯昌县南坤镇榕仔中心小学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个项目实行绩效目标管理</w:t>
      </w:r>
      <w:r>
        <w:rPr>
          <w:rFonts w:hint="eastAsia" w:ascii="仿宋" w:hAnsi="仿宋" w:eastAsia="仿宋" w:cs="仿宋"/>
          <w:sz w:val="32"/>
          <w:szCs w:val="32"/>
        </w:rPr>
        <w:t>。</w:t>
      </w:r>
      <w:bookmarkStart w:id="0" w:name="_GoBack"/>
      <w:bookmarkEnd w:id="0"/>
    </w:p>
    <w:p w14:paraId="55EE4D21">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3E874B4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eastAsia="仿宋_GB2312" w:cs="宋体"/>
          <w:bCs/>
          <w:color w:val="000000"/>
          <w:kern w:val="0"/>
          <w:sz w:val="32"/>
          <w:szCs w:val="32"/>
          <w:u w:val="none"/>
          <w:lang w:val="zh-CN"/>
        </w:rPr>
      </w:pPr>
    </w:p>
    <w:p w14:paraId="5ADB4912">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14:paraId="1CD8AB4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14:paraId="4F3844B3">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14:paraId="0F384C17">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14:paraId="379DC64B">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14:paraId="287E010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14:paraId="14B3D81F">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14:paraId="470C3EC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14:paraId="0F08D31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14:paraId="534C872A">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14:paraId="46A77A0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34EB2786">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14:paraId="3ECE7E4D">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14:paraId="4C69CCB1">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23B8DC2D">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14:paraId="2FFC2637"/>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MathJax_Vector">
    <w:panose1 w:val="02000603000000000000"/>
    <w:charset w:val="00"/>
    <w:family w:val="auto"/>
    <w:pitch w:val="default"/>
    <w:sig w:usb0="00000001" w:usb1="00000020" w:usb2="00000000" w:usb3="00000000" w:csb0="0000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85D2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06FABF9">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9264;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7M5a7tMAAAAEAQAADwAAAAAAAAABACAAAAAiAAAAZHJzL2Rvd25yZXYueG1s&#10;UEsBAhQAFAAAAAgAh07iQIWn1LU2AgAAYQQAAA4AAAAAAAAAAQAgAAAAIgEAAGRycy9lMm9Eb2Mu&#10;eG1sUEsFBgAAAAAGAAYAWQEAAMoFAAAAAA==&#10;">
              <v:fill on="f" focussize="0,0"/>
              <v:stroke on="f" weight="0.5pt"/>
              <v:imagedata o:title=""/>
              <o:lock v:ext="edit" aspectratio="f"/>
              <v:textbox inset="0mm,0mm,0mm,0mm">
                <w:txbxContent>
                  <w:p w14:paraId="106FABF9">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D7F66E0"/>
    <w:rsid w:val="415D6A9A"/>
    <w:rsid w:val="7DFB10BE"/>
    <w:rsid w:val="BF9D063D"/>
    <w:rsid w:val="F7D7E2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semiHidden/>
    <w:qFormat/>
    <w:uiPriority w:val="99"/>
    <w:rPr>
      <w:rFonts w:cs="Times New Roman"/>
      <w:color w:val="0000FF"/>
      <w:u w:val="single"/>
    </w:rPr>
  </w:style>
  <w:style w:type="paragraph" w:customStyle="1" w:styleId="7">
    <w:name w:val="List Paragraph"/>
    <w:basedOn w:val="1"/>
    <w:qFormat/>
    <w:uiPriority w:val="34"/>
    <w:pPr>
      <w:ind w:firstLine="420" w:firstLineChars="200"/>
    </w:pPr>
  </w:style>
  <w:style w:type="paragraph" w:customStyle="1" w:styleId="8">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11</Pages>
  <Words>0</Words>
  <Characters>0</Characters>
  <Lines>0</Lines>
  <Paragraphs>0</Paragraphs>
  <TotalTime>0</TotalTime>
  <ScaleCrop>false</ScaleCrop>
  <LinksUpToDate>false</LinksUpToDate>
  <CharactersWithSpaces>0</CharactersWithSpaces>
  <Application>WPS Office_12.1.2.23578_F1E327BC-269C-435d-A152-05C5408002CA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2026-02-28T16:07:00Z</dcterms:created>
  <dc:creator>子净</dc:creator>
  <cp:lastModifiedBy>GreatWall</cp:lastModifiedBy>
  <dcterms:modified xsi:type="dcterms:W3CDTF">2026-03-01T10:29:22Z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2052-12.1.2.23578</vt:lpwstr>
  </property>
  <property fmtid="{D5CDD505-2E9C-101B-9397-08002B2CF9AE}" pid="3" name="ICV">
    <vt:lpwstr>6771712725DD7CF4D69DA369609A37DC_42</vt:lpwstr>
  </property>
</Properties>
</file>