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年屯昌县南坤镇加握幼儿园</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单位</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屯昌县南坤镇加握幼儿园</w:t>
      </w:r>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屯昌县南坤镇加握幼儿园</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（一）认真贯彻执行《幼儿园工作规程》，结合本班幼儿的特点和个体差异及时制定好各类教育工作计划，并认真实施，有计划有步骤地开展班级保教工作。</w:t>
      </w:r>
    </w:p>
    <w:p>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（二）为儿童提供健康、丰富的生活和活动环境，促进幼儿体智德美等和谐发展，全面实施素质教育。</w:t>
      </w:r>
    </w:p>
    <w:p>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（三）严格执行幼儿园安全、卫生保健制度，保证幼儿身心健康和生命安全。</w:t>
      </w:r>
    </w:p>
    <w:p>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（四）充分利用幼儿和社区的资源优势，面向家长开展多种形式的早期教育宣传、指导等服务，促进家庭教育质量的不断提高。</w:t>
      </w:r>
    </w:p>
    <w:p>
      <w:pPr>
        <w:pStyle w:val="6"/>
        <w:numPr>
          <w:ilvl w:val="0"/>
          <w:numId w:val="0"/>
        </w:numPr>
        <w:ind w:leftChars="0" w:firstLine="640" w:firstLineChars="200"/>
        <w:jc w:val="lef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（五）贯彻幼儿教育法规、传播科学教育理念、开展教育科学研究、培训师资，发挥示范性幼儿园的示范、辐射作用。</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楷体_GB2312" w:cs="仿宋_GB2312"/>
          <w:sz w:val="32"/>
          <w:szCs w:val="32"/>
          <w:highlight w:val="none"/>
          <w:u w:val="none"/>
          <w:lang w:eastAsia="zh-CN"/>
        </w:rPr>
      </w:pPr>
      <w:r>
        <w:rPr>
          <w:rFonts w:hint="eastAsia" w:ascii="楷体_GB2312" w:hAnsi="楷体_GB2312" w:eastAsia="楷体_GB2312" w:cs="楷体_GB2312"/>
          <w:sz w:val="32"/>
          <w:szCs w:val="32"/>
        </w:rPr>
        <w:t>（六）承办上级主管部门交办的其他工作</w:t>
      </w:r>
      <w:r>
        <w:rPr>
          <w:rFonts w:hint="eastAsia" w:ascii="楷体_GB2312" w:hAnsi="楷体_GB2312" w:eastAsia="楷体_GB2312" w:cs="楷体_GB2312"/>
          <w:sz w:val="32"/>
          <w:szCs w:val="32"/>
          <w:lang w:eastAsia="zh-CN"/>
        </w:rPr>
        <w:t>。</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无</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一、关于屯昌县南坤镇加握幼儿园202</w:t>
      </w:r>
      <w:r>
        <w:rPr>
          <w:rFonts w:hint="eastAsia" w:ascii="方正黑体_GBK" w:hAnsi="方正黑体_GBK" w:eastAsia="方正黑体_GBK" w:cs="方正黑体_GBK"/>
          <w:sz w:val="32"/>
          <w:szCs w:val="32"/>
          <w:u w:val="none"/>
          <w:lang w:val="en-US" w:eastAsia="zh-CN"/>
        </w:rPr>
        <w:t>6</w:t>
      </w:r>
      <w:r>
        <w:rPr>
          <w:rFonts w:hint="eastAsia" w:ascii="方正黑体_GBK" w:hAnsi="方正黑体_GBK" w:eastAsia="方正黑体_GBK" w:cs="方正黑体_GBK"/>
          <w:sz w:val="32"/>
          <w:szCs w:val="32"/>
          <w:u w:val="none"/>
        </w:rPr>
        <w:t>年财政拨款收支预算情况的总体说明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olor w:val="auto"/>
          <w:sz w:val="32"/>
          <w:szCs w:val="32"/>
          <w:highlight w:val="none"/>
          <w:u w:val="none"/>
        </w:rPr>
      </w:pPr>
      <w:r>
        <w:rPr>
          <w:rFonts w:hint="eastAsia" w:ascii="仿宋_GB2312" w:hAnsi="黑体" w:eastAsia="仿宋_GB2312"/>
          <w:sz w:val="32"/>
          <w:szCs w:val="32"/>
          <w:u w:val="none"/>
        </w:rPr>
        <w:t>屯昌县南坤镇加握幼儿园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122.90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 w:hAnsi="仿宋" w:eastAsia="仿宋" w:cs="仿宋"/>
          <w:sz w:val="32"/>
          <w:szCs w:val="32"/>
        </w:rPr>
        <w:t>其中包括一般公共预算本年收入121.24万元、上年结转1.65万元</w:t>
      </w:r>
      <w:r>
        <w:rPr>
          <w:rFonts w:hint="eastAsia" w:ascii="仿宋" w:hAnsi="仿宋" w:eastAsia="仿宋" w:cs="仿宋"/>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减少19.11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教育支出减少16.29万元， 卫生健康</w:t>
      </w:r>
      <w:r>
        <w:rPr>
          <w:rFonts w:hint="eastAsia" w:ascii="仿宋_GB2312" w:hAnsi="黑体" w:eastAsia="仿宋_GB2312"/>
          <w:sz w:val="32"/>
          <w:szCs w:val="32"/>
          <w:u w:val="none"/>
        </w:rPr>
        <w:t>预算数</w:t>
      </w:r>
      <w:r>
        <w:rPr>
          <w:rFonts w:hint="eastAsia" w:ascii="仿宋_GB2312" w:hAnsi="黑体" w:eastAsia="仿宋_GB2312" w:cs="仿宋_GB2312"/>
          <w:sz w:val="32"/>
          <w:szCs w:val="32"/>
          <w:u w:val="none"/>
          <w:lang w:val="en-US" w:eastAsia="zh-CN"/>
        </w:rPr>
        <w:t>减少1.59万元， 住房保障</w:t>
      </w:r>
      <w:r>
        <w:rPr>
          <w:rFonts w:hint="eastAsia" w:ascii="仿宋_GB2312" w:hAnsi="黑体" w:eastAsia="仿宋_GB2312"/>
          <w:sz w:val="32"/>
          <w:szCs w:val="32"/>
          <w:u w:val="none"/>
        </w:rPr>
        <w:t>预算数</w:t>
      </w:r>
      <w:r>
        <w:rPr>
          <w:rFonts w:hint="eastAsia" w:ascii="仿宋_GB2312" w:hAnsi="黑体" w:eastAsia="仿宋_GB2312" w:cs="仿宋_GB2312"/>
          <w:sz w:val="32"/>
          <w:szCs w:val="32"/>
          <w:u w:val="none"/>
          <w:lang w:val="en-US" w:eastAsia="zh-CN"/>
        </w:rPr>
        <w:t>减少1.9万元</w:t>
      </w:r>
      <w:r>
        <w:rPr>
          <w:rFonts w:hint="eastAsia" w:ascii="仿宋_GB2312" w:hAnsi="黑体" w:eastAsia="仿宋_GB2312"/>
          <w:color w:val="auto"/>
          <w:sz w:val="32"/>
          <w:szCs w:val="32"/>
          <w:highlight w:val="none"/>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olor w:val="auto"/>
          <w:sz w:val="32"/>
          <w:szCs w:val="32"/>
          <w:highlight w:val="none"/>
          <w:u w:val="none"/>
        </w:rPr>
      </w:pPr>
      <w:r>
        <w:rPr>
          <w:rFonts w:hint="eastAsia" w:ascii="仿宋" w:hAnsi="仿宋" w:eastAsia="仿宋" w:cs="仿宋"/>
          <w:sz w:val="32"/>
          <w:szCs w:val="32"/>
        </w:rPr>
        <w:t>支出总计</w:t>
      </w:r>
      <w:r>
        <w:rPr>
          <w:rFonts w:hint="eastAsia" w:ascii="仿宋_GB2312" w:hAnsi="黑体" w:eastAsia="仿宋_GB2312" w:cs="仿宋_GB2312"/>
          <w:sz w:val="32"/>
          <w:szCs w:val="32"/>
          <w:u w:val="none"/>
          <w:lang w:val="en-US" w:eastAsia="zh-CN"/>
        </w:rPr>
        <w:t>122.90</w:t>
      </w:r>
      <w:r>
        <w:rPr>
          <w:rFonts w:hint="eastAsia" w:ascii="仿宋" w:hAnsi="仿宋" w:eastAsia="仿宋" w:cs="仿宋"/>
          <w:sz w:val="32"/>
          <w:szCs w:val="32"/>
        </w:rPr>
        <w:t>万元，包括教育支出85.09万元、社会保障和就业支出17.84万元、卫生健康支出11.29万元、住房保障支出8.68</w:t>
      </w:r>
      <w:r>
        <w:rPr>
          <w:rFonts w:hint="eastAsia" w:ascii="仿宋" w:hAnsi="仿宋" w:eastAsia="仿宋" w:cs="仿宋"/>
          <w:sz w:val="32"/>
          <w:szCs w:val="32"/>
          <w:lang w:eastAsia="zh-CN"/>
        </w:rPr>
        <w:t>万元</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w:t>
      </w:r>
      <w:r>
        <w:rPr>
          <w:rFonts w:hint="eastAsia" w:ascii="方正黑体_GBK" w:hAnsi="方正黑体_GBK" w:eastAsia="方正黑体_GBK" w:cs="方正黑体_GBK"/>
          <w:sz w:val="32"/>
          <w:szCs w:val="32"/>
          <w:u w:val="none"/>
        </w:rPr>
        <w:t>关于屯昌县南坤镇加握幼儿园202</w:t>
      </w:r>
      <w:r>
        <w:rPr>
          <w:rFonts w:hint="eastAsia" w:ascii="方正黑体_GBK" w:hAnsi="方正黑体_GBK" w:eastAsia="方正黑体_GBK" w:cs="方正黑体_GBK"/>
          <w:sz w:val="32"/>
          <w:szCs w:val="32"/>
          <w:u w:val="none"/>
          <w:lang w:val="en-US" w:eastAsia="zh-CN"/>
        </w:rPr>
        <w:t>6</w:t>
      </w:r>
      <w:r>
        <w:rPr>
          <w:rFonts w:hint="eastAsia" w:ascii="方正黑体_GBK" w:hAnsi="方正黑体_GBK" w:eastAsia="方正黑体_GBK" w:cs="方正黑体_GBK"/>
          <w:sz w:val="32"/>
          <w:szCs w:val="32"/>
          <w:u w:val="none"/>
        </w:rPr>
        <w:t>年</w:t>
      </w:r>
      <w:r>
        <w:rPr>
          <w:rFonts w:hint="eastAsia" w:ascii="黑体" w:hAnsi="黑体" w:eastAsia="黑体"/>
          <w:sz w:val="32"/>
          <w:szCs w:val="32"/>
          <w:u w:val="none"/>
        </w:rPr>
        <w:t>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u w:val="none"/>
        </w:rPr>
        <w:t>屯昌县南坤镇加握幼儿园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121.24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12.3</w:t>
      </w:r>
      <w:r>
        <w:rPr>
          <w:rFonts w:hint="eastAsia" w:ascii="仿宋_GB2312" w:hAnsi="黑体" w:eastAsia="仿宋_GB2312"/>
          <w:sz w:val="32"/>
          <w:szCs w:val="32"/>
          <w:u w:val="none"/>
        </w:rPr>
        <w:t>万元，</w:t>
      </w:r>
      <w:r>
        <w:rPr>
          <w:rFonts w:hint="eastAsia" w:ascii="仿宋_GB2312" w:hAnsi="黑体" w:eastAsia="仿宋_GB2312"/>
          <w:color w:val="auto"/>
          <w:sz w:val="32"/>
          <w:szCs w:val="32"/>
          <w:u w:val="none"/>
          <w:shd w:val="clear" w:color="auto" w:fill="auto"/>
        </w:rPr>
        <w:t>主要是</w:t>
      </w:r>
      <w:r>
        <w:rPr>
          <w:rFonts w:hint="eastAsia" w:ascii="仿宋_GB2312" w:hAnsi="黑体" w:eastAsia="仿宋_GB2312"/>
          <w:color w:val="auto"/>
          <w:sz w:val="32"/>
          <w:szCs w:val="32"/>
          <w:u w:val="none"/>
          <w:shd w:val="clear" w:color="auto" w:fill="auto"/>
          <w:lang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工资福利</w:t>
      </w:r>
      <w:r>
        <w:rPr>
          <w:rFonts w:hint="eastAsia" w:ascii="仿宋_GB2312" w:hAnsi="黑体" w:eastAsia="仿宋_GB2312"/>
          <w:color w:val="auto"/>
          <w:sz w:val="32"/>
          <w:szCs w:val="32"/>
          <w:lang w:val="en-US" w:eastAsia="zh-CN"/>
        </w:rPr>
        <w:t>减少</w:t>
      </w:r>
      <w:r>
        <w:rPr>
          <w:rFonts w:hint="eastAsia" w:ascii="仿宋_GB2312" w:hAnsi="黑体" w:eastAsia="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教育（类）支出85.09万元，占</w:t>
      </w:r>
      <w:r>
        <w:rPr>
          <w:rFonts w:hint="eastAsia" w:ascii="仿宋_GB2312" w:hAnsi="黑体" w:eastAsia="仿宋_GB2312" w:cs="仿宋_GB2312"/>
          <w:sz w:val="32"/>
          <w:szCs w:val="32"/>
          <w:u w:val="none"/>
          <w:lang w:val="en-US" w:eastAsia="zh-CN"/>
        </w:rPr>
        <w:t>69.23</w:t>
      </w:r>
      <w:r>
        <w:rPr>
          <w:rFonts w:hint="eastAsia" w:ascii="仿宋_GB2312" w:hAnsi="黑体" w:eastAsia="仿宋_GB2312" w:cs="仿宋_GB2312"/>
          <w:sz w:val="32"/>
          <w:szCs w:val="32"/>
          <w:u w:val="none"/>
        </w:rPr>
        <w:t>%；社会保障和就业（类）支出17.84万元，占</w:t>
      </w:r>
      <w:r>
        <w:rPr>
          <w:rFonts w:hint="eastAsia" w:ascii="仿宋_GB2312" w:hAnsi="黑体" w:eastAsia="仿宋_GB2312" w:cs="仿宋_GB2312"/>
          <w:sz w:val="32"/>
          <w:szCs w:val="32"/>
          <w:u w:val="none"/>
          <w:lang w:val="en-US" w:eastAsia="zh-CN"/>
        </w:rPr>
        <w:t>14.52</w:t>
      </w:r>
      <w:r>
        <w:rPr>
          <w:rFonts w:hint="eastAsia" w:ascii="仿宋_GB2312" w:hAnsi="黑体" w:eastAsia="仿宋_GB2312" w:cs="仿宋_GB2312"/>
          <w:sz w:val="32"/>
          <w:szCs w:val="32"/>
          <w:u w:val="none"/>
        </w:rPr>
        <w:t>%；卫生健康（类）支出11.29万元，占</w:t>
      </w:r>
      <w:r>
        <w:rPr>
          <w:rFonts w:hint="eastAsia" w:ascii="仿宋_GB2312" w:hAnsi="黑体" w:eastAsia="仿宋_GB2312" w:cs="仿宋_GB2312"/>
          <w:sz w:val="32"/>
          <w:szCs w:val="32"/>
          <w:u w:val="none"/>
          <w:lang w:val="en-US" w:eastAsia="zh-CN"/>
        </w:rPr>
        <w:t>9.19</w:t>
      </w:r>
      <w:r>
        <w:rPr>
          <w:rFonts w:hint="eastAsia" w:ascii="仿宋_GB2312" w:hAnsi="黑体" w:eastAsia="仿宋_GB2312" w:cs="仿宋_GB2312"/>
          <w:sz w:val="32"/>
          <w:szCs w:val="32"/>
          <w:u w:val="none"/>
        </w:rPr>
        <w:t>%；住房保障（类）支出8.68万元，占</w:t>
      </w:r>
      <w:r>
        <w:rPr>
          <w:rFonts w:hint="eastAsia" w:ascii="仿宋_GB2312" w:hAnsi="黑体" w:eastAsia="仿宋_GB2312" w:cs="仿宋_GB2312"/>
          <w:sz w:val="32"/>
          <w:szCs w:val="32"/>
          <w:u w:val="none"/>
          <w:lang w:val="en-US" w:eastAsia="zh-CN"/>
        </w:rPr>
        <w:t>7.06</w:t>
      </w:r>
      <w:r>
        <w:rPr>
          <w:rFonts w:hint="eastAsia" w:ascii="仿宋_GB2312" w:hAnsi="黑体" w:eastAsia="仿宋_GB2312" w:cs="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rPr>
      </w:pPr>
      <w:r>
        <w:rPr>
          <w:rFonts w:hint="eastAsia" w:ascii="楷体" w:hAnsi="楷体" w:eastAsia="楷体"/>
          <w:sz w:val="32"/>
          <w:szCs w:val="32"/>
          <w:u w:val="none"/>
        </w:rPr>
        <w:t>（三）一般公共预算当年拨款具体使用情况</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rPr>
        <w:t>1.教育支出（类）普通教育（款）学前教育（项）202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rPr>
        <w:t>85.09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sz w:val="32"/>
          <w:szCs w:val="32"/>
          <w:u w:val="none"/>
          <w:lang w:val="en-US" w:eastAsia="zh-CN"/>
        </w:rPr>
        <w:t>16.29</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工资福利</w:t>
      </w:r>
      <w:r>
        <w:rPr>
          <w:rFonts w:hint="eastAsia" w:ascii="仿宋_GB2312" w:hAnsi="黑体" w:eastAsia="仿宋_GB2312"/>
          <w:color w:val="auto"/>
          <w:sz w:val="32"/>
          <w:szCs w:val="32"/>
          <w:lang w:val="en-US" w:eastAsia="zh-CN"/>
        </w:rPr>
        <w:t>减少</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17.84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0.67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人员工资福利增加。</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rPr>
        <w:t>3.</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rPr>
        <w:t>11.29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u w:val="none"/>
          <w:lang w:val="en-US" w:eastAsia="zh-CN"/>
        </w:rPr>
        <w:t>1.59</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工资福利</w:t>
      </w:r>
      <w:r>
        <w:rPr>
          <w:rFonts w:hint="eastAsia" w:ascii="仿宋_GB2312" w:hAnsi="黑体" w:eastAsia="仿宋_GB2312"/>
          <w:color w:val="auto"/>
          <w:sz w:val="32"/>
          <w:szCs w:val="32"/>
          <w:lang w:val="en-US" w:eastAsia="zh-CN"/>
        </w:rPr>
        <w:t>减少</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rPr>
        <w:t>4.</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rPr>
        <w:t>8.68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u w:val="none"/>
          <w:lang w:val="en-US" w:eastAsia="zh-CN"/>
        </w:rPr>
        <w:t>1.9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工资福利</w:t>
      </w:r>
      <w:r>
        <w:rPr>
          <w:rFonts w:hint="eastAsia" w:ascii="仿宋_GB2312" w:hAnsi="黑体" w:eastAsia="仿宋_GB2312"/>
          <w:color w:val="auto"/>
          <w:sz w:val="32"/>
          <w:szCs w:val="32"/>
          <w:lang w:val="en-US" w:eastAsia="zh-CN"/>
        </w:rPr>
        <w:t>减少</w:t>
      </w:r>
      <w:r>
        <w:rPr>
          <w:rFonts w:hint="eastAsia" w:ascii="仿宋_GB2312" w:hAnsi="黑体" w:eastAsia="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屯昌县南坤镇加握幼儿园202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121.07</w:t>
      </w:r>
      <w:r>
        <w:rPr>
          <w:rFonts w:hint="eastAsia" w:ascii="仿宋_GB2312" w:hAnsi="黑体" w:eastAsia="仿宋_GB2312"/>
          <w:sz w:val="32"/>
          <w:szCs w:val="32"/>
        </w:rPr>
        <w:t>万元，其中：</w:t>
      </w:r>
      <w:bookmarkStart w:id="0" w:name="_GoBack"/>
      <w:bookmarkEnd w:id="0"/>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120.29</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万元，主要包括：基本工资、津贴补贴、奖金、绩效工资、机关事业单位基本养老保险缴费、城镇职工基本医疗保险缴费、公务员医疗补助缴费、其他社会保障缴费、住房公积金、医疗费等;</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公用经费0.</w:t>
      </w:r>
      <w:r>
        <w:rPr>
          <w:rFonts w:hint="eastAsia" w:ascii="仿宋_GB2312" w:hAnsi="黑体" w:eastAsia="仿宋_GB2312"/>
          <w:sz w:val="32"/>
          <w:szCs w:val="32"/>
          <w:lang w:val="en-US" w:eastAsia="zh-CN"/>
        </w:rPr>
        <w:t>78</w:t>
      </w:r>
      <w:r>
        <w:rPr>
          <w:rFonts w:hint="eastAsia" w:ascii="仿宋_GB2312" w:hAnsi="黑体" w:eastAsia="仿宋_GB2312"/>
          <w:sz w:val="32"/>
          <w:szCs w:val="32"/>
        </w:rPr>
        <w:t>万元，主要包括：工会经费。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（一）</w:t>
      </w:r>
      <w:r>
        <w:rPr>
          <w:rFonts w:hint="eastAsia" w:ascii="仿宋_GB2312" w:hAnsi="黑体" w:eastAsia="仿宋_GB2312"/>
          <w:sz w:val="32"/>
          <w:szCs w:val="32"/>
        </w:rPr>
        <w:t>屯昌县南坤镇加握幼儿园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（二）</w:t>
      </w:r>
      <w:r>
        <w:rPr>
          <w:rFonts w:hint="eastAsia" w:ascii="仿宋_GB2312" w:hAnsi="黑体" w:eastAsia="仿宋_GB2312"/>
          <w:sz w:val="32"/>
          <w:szCs w:val="32"/>
        </w:rPr>
        <w:t>屯昌县南坤镇加握幼儿园</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屯昌县南坤镇加握幼儿园202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numPr>
          <w:ilvl w:val="0"/>
          <w:numId w:val="3"/>
        </w:numPr>
        <w:ind w:left="-10" w:leftChars="0" w:firstLine="640" w:firstLineChars="0"/>
        <w:jc w:val="left"/>
        <w:rPr>
          <w:rFonts w:hint="eastAsia" w:ascii="楷体" w:hAnsi="楷体" w:eastAsia="楷体"/>
          <w:sz w:val="32"/>
          <w:szCs w:val="32"/>
        </w:rPr>
      </w:pPr>
      <w:r>
        <w:rPr>
          <w:rFonts w:hint="eastAsia" w:ascii="楷体" w:hAnsi="楷体" w:eastAsia="楷体"/>
          <w:sz w:val="32"/>
          <w:szCs w:val="32"/>
        </w:rPr>
        <w:t>政府性基金预算当年拨款结构情况</w:t>
      </w:r>
    </w:p>
    <w:p>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pPr>
        <w:numPr>
          <w:ilvl w:val="0"/>
          <w:numId w:val="4"/>
        </w:numPr>
        <w:ind w:firstLine="640"/>
        <w:jc w:val="left"/>
        <w:rPr>
          <w:rFonts w:hint="eastAsia" w:ascii="楷体" w:hAnsi="楷体" w:eastAsia="楷体"/>
          <w:sz w:val="32"/>
          <w:szCs w:val="32"/>
        </w:rPr>
      </w:pPr>
      <w:r>
        <w:rPr>
          <w:rFonts w:hint="eastAsia" w:ascii="楷体" w:hAnsi="楷体" w:eastAsia="楷体"/>
          <w:sz w:val="32"/>
          <w:szCs w:val="32"/>
        </w:rPr>
        <w:t>政府性基金预算当年拨款具体使用情况</w:t>
      </w:r>
    </w:p>
    <w:p>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pPr>
        <w:keepNext w:val="0"/>
        <w:keepLines w:val="0"/>
        <w:pageBreakBefore w:val="0"/>
        <w:numPr>
          <w:ilvl w:val="0"/>
          <w:numId w:val="5"/>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屯昌县南坤镇加握幼儿园</w:t>
      </w:r>
      <w:r>
        <w:rPr>
          <w:rFonts w:hint="eastAsia" w:ascii="仿宋_GB2312" w:hAnsi="黑体" w:eastAsia="仿宋_GB2312"/>
          <w:sz w:val="32"/>
          <w:szCs w:val="32"/>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rPr>
        <w:t>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屯昌县南坤镇加握幼儿园</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预算管理。收入包括：一般公共预算收入、上年结转收入</w:t>
      </w:r>
      <w:r>
        <w:rPr>
          <w:rFonts w:hint="eastAsia" w:ascii="仿宋_GB2312" w:hAnsi="黑体" w:eastAsia="仿宋_GB2312"/>
          <w:sz w:val="32"/>
          <w:szCs w:val="32"/>
        </w:rPr>
        <w:t>；支出包括：教育支出、社会保障和就业支出、卫生健康支出、住房保障支出。屯昌县南坤镇加握幼儿园</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26</w:t>
      </w:r>
      <w:r>
        <w:rPr>
          <w:rFonts w:hint="eastAsia" w:ascii="仿宋_GB2312" w:hAnsi="黑体" w:eastAsia="仿宋_GB2312"/>
          <w:sz w:val="32"/>
          <w:szCs w:val="32"/>
        </w:rPr>
        <w:t>年收支总预算</w:t>
      </w:r>
      <w:r>
        <w:rPr>
          <w:rFonts w:hint="eastAsia" w:ascii="仿宋_GB2312" w:hAnsi="黑体" w:eastAsia="仿宋_GB2312" w:cs="仿宋_GB2312"/>
          <w:sz w:val="32"/>
          <w:szCs w:val="32"/>
          <w:u w:val="none"/>
          <w:lang w:val="en-US" w:eastAsia="zh-CN"/>
        </w:rPr>
        <w:t>122.90</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rPr>
        <w:t>屯昌县南坤镇加握幼儿园</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26</w:t>
      </w:r>
      <w:r>
        <w:rPr>
          <w:rFonts w:hint="eastAsia" w:ascii="仿宋_GB2312" w:hAnsi="黑体" w:eastAsia="仿宋_GB2312"/>
          <w:sz w:val="32"/>
          <w:szCs w:val="32"/>
        </w:rPr>
        <w:t>年收入预算</w:t>
      </w:r>
      <w:r>
        <w:rPr>
          <w:rFonts w:hint="eastAsia" w:ascii="仿宋_GB2312" w:hAnsi="黑体" w:eastAsia="仿宋_GB2312" w:cs="仿宋_GB2312"/>
          <w:sz w:val="32"/>
          <w:szCs w:val="32"/>
          <w:u w:val="none"/>
          <w:lang w:val="en-US" w:eastAsia="zh-CN"/>
        </w:rPr>
        <w:t>122.90</w:t>
      </w:r>
      <w:r>
        <w:rPr>
          <w:rFonts w:hint="eastAsia" w:ascii="仿宋_GB2312" w:hAnsi="黑体" w:eastAsia="仿宋_GB2312"/>
          <w:sz w:val="32"/>
          <w:szCs w:val="32"/>
        </w:rPr>
        <w:t>万元，其中：上年结转</w:t>
      </w:r>
      <w:r>
        <w:rPr>
          <w:rFonts w:hint="eastAsia" w:ascii="仿宋" w:hAnsi="仿宋" w:eastAsia="仿宋" w:cs="仿宋"/>
          <w:sz w:val="32"/>
          <w:szCs w:val="32"/>
        </w:rPr>
        <w:t>1.65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1.34</w:t>
      </w:r>
      <w:r>
        <w:rPr>
          <w:rFonts w:hint="eastAsia" w:ascii="仿宋_GB2312" w:hAnsi="黑体" w:eastAsia="仿宋_GB2312"/>
          <w:sz w:val="32"/>
          <w:szCs w:val="32"/>
        </w:rPr>
        <w:t>%；一般公共预算收入</w:t>
      </w:r>
      <w:r>
        <w:rPr>
          <w:rFonts w:hint="eastAsia" w:ascii="仿宋" w:hAnsi="仿宋" w:eastAsia="仿宋" w:cs="仿宋"/>
          <w:sz w:val="32"/>
          <w:szCs w:val="32"/>
        </w:rPr>
        <w:t>121.24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98.65</w:t>
      </w:r>
      <w:r>
        <w:rPr>
          <w:rFonts w:hint="eastAsia" w:ascii="仿宋_GB2312" w:hAnsi="黑体" w:eastAsia="仿宋_GB2312"/>
          <w:sz w:val="32"/>
          <w:szCs w:val="32"/>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工资福利</w:t>
      </w:r>
      <w:r>
        <w:rPr>
          <w:rFonts w:hint="eastAsia" w:ascii="仿宋_GB2312" w:hAnsi="黑体" w:eastAsia="仿宋_GB2312"/>
          <w:color w:val="auto"/>
          <w:sz w:val="32"/>
          <w:szCs w:val="32"/>
          <w:lang w:val="en-US" w:eastAsia="zh-CN"/>
        </w:rPr>
        <w:t>减少</w:t>
      </w:r>
      <w:r>
        <w:rPr>
          <w:rFonts w:hint="eastAsia" w:ascii="仿宋_GB2312" w:hAnsi="黑体" w:eastAsia="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rPr>
        <w:t>屯昌县南坤镇加握幼儿园</w:t>
      </w:r>
      <w:r>
        <w:rPr>
          <w:rFonts w:hint="eastAsia" w:ascii="仿宋_GB2312" w:hAnsi="黑体" w:eastAsia="仿宋_GB2312"/>
          <w:sz w:val="32"/>
          <w:szCs w:val="32"/>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122.90</w:t>
      </w:r>
      <w:r>
        <w:rPr>
          <w:rFonts w:hint="eastAsia" w:ascii="仿宋_GB2312" w:hAnsi="黑体" w:eastAsia="仿宋_GB2312"/>
          <w:sz w:val="32"/>
          <w:szCs w:val="32"/>
          <w:u w:val="none"/>
        </w:rPr>
        <w:t>万元，其中：</w:t>
      </w:r>
      <w:r>
        <w:rPr>
          <w:rFonts w:hint="eastAsia" w:ascii="仿宋_GB2312" w:hAnsi="黑体" w:eastAsia="仿宋_GB2312" w:cs="仿宋_GB2312"/>
          <w:sz w:val="32"/>
          <w:szCs w:val="32"/>
        </w:rPr>
        <w:t>教育支出202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rPr>
        <w:t>85.09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sz w:val="32"/>
          <w:szCs w:val="32"/>
          <w:u w:val="none"/>
          <w:lang w:val="en-US" w:eastAsia="zh-CN"/>
        </w:rPr>
        <w:t>16.29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社会保障和就业支出（类）</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17.84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0.67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卫生健康支出（类）202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rPr>
        <w:t>11.29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u w:val="none"/>
          <w:lang w:val="en-US" w:eastAsia="zh-CN"/>
        </w:rPr>
        <w:t>1.59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住房保障支出（类）202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u w:val="none"/>
        </w:rPr>
        <w:t>8.68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u w:val="none"/>
          <w:lang w:val="en-US" w:eastAsia="zh-CN"/>
        </w:rPr>
        <w:t>1.9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年屯昌县南坤镇加握幼儿园</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年12月31日，屯昌县南坤镇加握幼儿园</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ascii="黑体" w:hAnsi="黑体" w:eastAsia="黑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年屯昌县南坤镇加握幼儿园</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个项目实行绩效目标管理，</w:t>
      </w:r>
      <w:r>
        <w:rPr>
          <w:rFonts w:hint="eastAsia" w:ascii="仿宋_GB2312" w:hAnsi="黑体" w:eastAsia="仿宋_GB2312" w:cs="仿宋_GB2312"/>
          <w:color w:val="000000"/>
          <w:sz w:val="32"/>
          <w:szCs w:val="32"/>
        </w:rPr>
        <w:t>涉及一般公共预算</w:t>
      </w:r>
      <w:r>
        <w:rPr>
          <w:rFonts w:hint="eastAsia" w:ascii="仿宋_GB2312" w:hAnsi="黑体" w:eastAsia="仿宋_GB2312" w:cs="仿宋_GB2312"/>
          <w:sz w:val="32"/>
          <w:szCs w:val="32"/>
          <w:u w:val="none"/>
        </w:rPr>
        <w:t>122.90</w:t>
      </w:r>
      <w:r>
        <w:rPr>
          <w:rFonts w:hint="eastAsia" w:ascii="仿宋_GB2312" w:hAnsi="黑体" w:eastAsia="仿宋_GB2312"/>
          <w:color w:val="000000"/>
          <w:sz w:val="32"/>
          <w:szCs w:val="32"/>
        </w:rPr>
        <w:t>万元、政府性基金</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078C74"/>
    <w:multiLevelType w:val="singleLevel"/>
    <w:tmpl w:val="A1078C74"/>
    <w:lvl w:ilvl="0" w:tentative="0">
      <w:start w:val="3"/>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F9D017B3"/>
    <w:multiLevelType w:val="singleLevel"/>
    <w:tmpl w:val="F9D017B3"/>
    <w:lvl w:ilvl="0" w:tentative="0">
      <w:start w:val="2"/>
      <w:numFmt w:val="chineseCounting"/>
      <w:suff w:val="nothing"/>
      <w:lvlText w:val="（%1）"/>
      <w:lvlJc w:val="left"/>
      <w:pPr>
        <w:ind w:left="-10"/>
      </w:pPr>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134979DE"/>
    <w:rsid w:val="1CA12461"/>
    <w:rsid w:val="3E8F3CD4"/>
    <w:rsid w:val="415D6A9A"/>
    <w:rsid w:val="4195036E"/>
    <w:rsid w:val="7A655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Administrator</cp:lastModifiedBy>
  <dcterms:modified xsi:type="dcterms:W3CDTF">2026-03-06T07:04:13Z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