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sz w:val="84"/>
          <w:szCs w:val="84"/>
          <w:u w:val="none"/>
        </w:rPr>
      </w:pPr>
    </w:p>
    <w:p>
      <w:pPr>
        <w:spacing w:line="560" w:lineRule="exact"/>
        <w:rPr>
          <w:sz w:val="84"/>
          <w:szCs w:val="84"/>
          <w:u w:val="none"/>
        </w:rPr>
      </w:pPr>
    </w:p>
    <w:p>
      <w:pPr>
        <w:spacing w:line="560" w:lineRule="exact"/>
        <w:rPr>
          <w:sz w:val="84"/>
          <w:szCs w:val="84"/>
          <w:u w:val="none"/>
        </w:rPr>
      </w:pPr>
    </w:p>
    <w:p>
      <w:pPr>
        <w:spacing w:line="560" w:lineRule="exact"/>
        <w:rPr>
          <w:sz w:val="84"/>
          <w:szCs w:val="84"/>
          <w:u w:val="none"/>
        </w:rPr>
      </w:pPr>
    </w:p>
    <w:p>
      <w:pPr>
        <w:spacing w:line="560" w:lineRule="exact"/>
        <w:jc w:val="center"/>
        <w:rPr>
          <w:rFonts w:hint="eastAsia"/>
          <w:sz w:val="52"/>
          <w:szCs w:val="52"/>
          <w:u w:val="none"/>
          <w:lang w:val="en-US" w:eastAsia="zh-CN"/>
        </w:rPr>
      </w:pPr>
    </w:p>
    <w:p>
      <w:pPr>
        <w:spacing w:line="560" w:lineRule="exact"/>
        <w:jc w:val="center"/>
        <w:rPr>
          <w:rFonts w:hint="eastAsia"/>
          <w:sz w:val="52"/>
          <w:szCs w:val="52"/>
          <w:u w:val="none"/>
          <w:lang w:val="en-US" w:eastAsia="zh-CN"/>
        </w:rPr>
      </w:pPr>
    </w:p>
    <w:p>
      <w:pPr>
        <w:spacing w:line="560" w:lineRule="exact"/>
        <w:jc w:val="center"/>
        <w:rPr>
          <w:rFonts w:hint="eastAsia"/>
          <w:sz w:val="52"/>
          <w:szCs w:val="52"/>
          <w:u w:val="none"/>
          <w:lang w:val="en-US" w:eastAsia="zh-CN"/>
        </w:rPr>
      </w:pPr>
    </w:p>
    <w:p>
      <w:pPr>
        <w:spacing w:line="560" w:lineRule="exact"/>
        <w:jc w:val="center"/>
        <w:rPr>
          <w:rFonts w:hint="eastAsia"/>
          <w:sz w:val="52"/>
          <w:szCs w:val="52"/>
          <w:u w:val="none"/>
          <w:lang w:val="en-US" w:eastAsia="zh-CN"/>
        </w:rPr>
      </w:pPr>
    </w:p>
    <w:p>
      <w:pPr>
        <w:spacing w:line="560" w:lineRule="exact"/>
        <w:jc w:val="center"/>
        <w:rPr>
          <w:rFonts w:hint="eastAsia"/>
          <w:sz w:val="52"/>
          <w:szCs w:val="52"/>
          <w:u w:val="none"/>
          <w:lang w:val="en-US" w:eastAsia="zh-CN"/>
        </w:rPr>
      </w:pPr>
    </w:p>
    <w:p>
      <w:pPr>
        <w:spacing w:line="560" w:lineRule="exact"/>
        <w:jc w:val="center"/>
        <w:rPr>
          <w:rFonts w:hint="eastAsia"/>
          <w:sz w:val="52"/>
          <w:szCs w:val="52"/>
          <w:u w:val="none"/>
          <w:lang w:val="en-US" w:eastAsia="zh-CN"/>
        </w:rPr>
      </w:pPr>
    </w:p>
    <w:p>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方正小标宋_GBK" w:hAnsi="方正小标宋_GBK" w:eastAsia="方正小标宋_GBK" w:cs="方正小标宋_GBK"/>
          <w:sz w:val="44"/>
          <w:szCs w:val="44"/>
          <w:u w:val="none"/>
          <w:lang w:eastAsia="zh-CN"/>
        </w:rPr>
      </w:pPr>
      <w:r>
        <w:rPr>
          <w:rFonts w:hint="eastAsia" w:ascii="方正小标宋_GBK" w:hAnsi="方正小标宋_GBK" w:eastAsia="方正小标宋_GBK" w:cs="方正小标宋_GBK"/>
          <w:sz w:val="44"/>
          <w:szCs w:val="44"/>
          <w:u w:val="none"/>
          <w:lang w:val="en-US" w:eastAsia="zh-CN"/>
        </w:rPr>
        <w:t>2026</w:t>
      </w:r>
      <w:r>
        <w:rPr>
          <w:rFonts w:hint="eastAsia" w:ascii="方正小标宋_GBK" w:hAnsi="方正小标宋_GBK" w:eastAsia="方正小标宋_GBK" w:cs="方正小标宋_GBK"/>
          <w:sz w:val="44"/>
          <w:szCs w:val="44"/>
          <w:u w:val="none"/>
        </w:rPr>
        <w:t>年</w:t>
      </w:r>
      <w:r>
        <w:rPr>
          <w:rFonts w:hint="eastAsia" w:ascii="方正小标宋_GBK" w:hAnsi="方正小标宋_GBK" w:eastAsia="方正小标宋_GBK" w:cs="方正小标宋_GBK"/>
          <w:sz w:val="44"/>
          <w:szCs w:val="44"/>
          <w:u w:val="none"/>
          <w:lang w:eastAsia="zh-CN"/>
        </w:rPr>
        <w:t>屯昌县南坤镇中心幼儿园</w:t>
      </w:r>
    </w:p>
    <w:p>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default" w:ascii="方正小标宋_GBK" w:hAnsi="方正小标宋_GBK" w:eastAsia="方正小标宋_GBK" w:cs="方正小标宋_GBK"/>
          <w:sz w:val="44"/>
          <w:szCs w:val="44"/>
          <w:u w:val="none"/>
          <w:lang w:val="en-US" w:eastAsia="zh-CN"/>
        </w:rPr>
      </w:pPr>
      <w:r>
        <w:rPr>
          <w:rFonts w:hint="eastAsia" w:ascii="方正小标宋_GBK" w:hAnsi="方正小标宋_GBK" w:eastAsia="方正小标宋_GBK" w:cs="方正小标宋_GBK"/>
          <w:sz w:val="44"/>
          <w:szCs w:val="44"/>
          <w:u w:val="none"/>
        </w:rPr>
        <w:t>预算</w:t>
      </w:r>
      <w:r>
        <w:rPr>
          <w:rFonts w:hint="eastAsia" w:ascii="方正小标宋_GBK" w:hAnsi="方正小标宋_GBK" w:eastAsia="方正小标宋_GBK" w:cs="方正小标宋_GBK"/>
          <w:sz w:val="44"/>
          <w:szCs w:val="44"/>
          <w:u w:val="none"/>
          <w:lang w:val="en-US" w:eastAsia="zh-CN"/>
        </w:rPr>
        <w:t>公开说明</w:t>
      </w:r>
    </w:p>
    <w:p>
      <w:pPr>
        <w:spacing w:line="560" w:lineRule="exact"/>
        <w:ind w:firstLine="1680"/>
        <w:jc w:val="center"/>
        <w:rPr>
          <w:sz w:val="84"/>
          <w:szCs w:val="84"/>
          <w:u w:val="none"/>
        </w:rPr>
      </w:pPr>
    </w:p>
    <w:p>
      <w:pPr>
        <w:spacing w:line="560" w:lineRule="exact"/>
        <w:ind w:firstLine="1680"/>
        <w:jc w:val="center"/>
        <w:rPr>
          <w:sz w:val="84"/>
          <w:szCs w:val="84"/>
          <w:u w:val="none"/>
        </w:rPr>
      </w:pPr>
    </w:p>
    <w:p>
      <w:pPr>
        <w:spacing w:line="560" w:lineRule="exact"/>
        <w:ind w:firstLine="1680"/>
        <w:jc w:val="center"/>
        <w:rPr>
          <w:sz w:val="84"/>
          <w:szCs w:val="84"/>
          <w:u w:val="none"/>
        </w:rPr>
      </w:pPr>
    </w:p>
    <w:p>
      <w:pPr>
        <w:spacing w:line="560" w:lineRule="exact"/>
        <w:ind w:firstLine="1680"/>
        <w:jc w:val="center"/>
        <w:rPr>
          <w:sz w:val="84"/>
          <w:szCs w:val="84"/>
          <w:u w:val="none"/>
        </w:rPr>
      </w:pPr>
    </w:p>
    <w:p>
      <w:pPr>
        <w:rPr>
          <w:sz w:val="84"/>
          <w:szCs w:val="84"/>
          <w:u w:val="none"/>
        </w:rPr>
      </w:pPr>
      <w:r>
        <w:rPr>
          <w:sz w:val="84"/>
          <w:szCs w:val="84"/>
          <w:u w:val="none"/>
        </w:rPr>
        <w:br w:type="page"/>
      </w:r>
    </w:p>
    <w:p>
      <w:pPr>
        <w:spacing w:line="240" w:lineRule="auto"/>
        <w:jc w:val="center"/>
        <w:rPr>
          <w:rFonts w:hint="eastAsia" w:ascii="黑体" w:hAnsi="黑体" w:eastAsia="黑体"/>
          <w:sz w:val="52"/>
          <w:szCs w:val="52"/>
          <w:u w:val="none"/>
        </w:rPr>
      </w:pPr>
      <w:r>
        <w:rPr>
          <w:rFonts w:hint="eastAsia" w:ascii="黑体" w:hAnsi="黑体" w:eastAsia="黑体"/>
          <w:sz w:val="52"/>
          <w:szCs w:val="52"/>
          <w:u w:val="none"/>
        </w:rPr>
        <w:t>目录</w:t>
      </w:r>
    </w:p>
    <w:p>
      <w:pPr>
        <w:pStyle w:val="6"/>
        <w:numPr>
          <w:ilvl w:val="0"/>
          <w:numId w:val="1"/>
        </w:numPr>
        <w:spacing w:line="240" w:lineRule="auto"/>
        <w:ind w:firstLineChars="0"/>
        <w:jc w:val="left"/>
        <w:rPr>
          <w:rFonts w:hint="eastAsia" w:ascii="方正黑体_GBK" w:hAnsi="方正黑体_GBK" w:eastAsia="方正黑体_GBK" w:cs="方正黑体_GBK"/>
          <w:sz w:val="32"/>
          <w:szCs w:val="32"/>
          <w:u w:val="none"/>
        </w:rPr>
      </w:pPr>
      <w:r>
        <w:rPr>
          <w:rFonts w:hint="eastAsia" w:ascii="黑体" w:hAnsi="黑体" w:eastAsia="黑体"/>
          <w:sz w:val="32"/>
          <w:szCs w:val="32"/>
          <w:u w:val="none"/>
          <w:lang w:val="en-US" w:eastAsia="zh-CN"/>
        </w:rPr>
        <w:t xml:space="preserve">  </w:t>
      </w:r>
      <w:r>
        <w:rPr>
          <w:rFonts w:hint="eastAsia" w:ascii="黑体" w:hAnsi="黑体" w:eastAsia="黑体" w:cs="仿宋_GB2312"/>
          <w:sz w:val="32"/>
          <w:szCs w:val="32"/>
        </w:rPr>
        <w:t>屯昌县南坤镇中心幼儿园</w:t>
      </w:r>
      <w:r>
        <w:rPr>
          <w:rFonts w:hint="eastAsia" w:ascii="方正黑体_GBK" w:hAnsi="方正黑体_GBK" w:eastAsia="方正黑体_GBK" w:cs="方正黑体_GBK"/>
          <w:sz w:val="32"/>
          <w:szCs w:val="32"/>
          <w:u w:val="none"/>
        </w:rPr>
        <w:t>概况</w:t>
      </w:r>
    </w:p>
    <w:p>
      <w:pPr>
        <w:pStyle w:val="6"/>
        <w:numPr>
          <w:ilvl w:val="-1"/>
          <w:numId w:val="0"/>
        </w:numPr>
        <w:spacing w:line="240" w:lineRule="auto"/>
        <w:ind w:left="0" w:firstLine="0" w:firstLineChars="0"/>
        <w:jc w:val="left"/>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lang w:eastAsia="zh-CN"/>
        </w:rPr>
        <w:t>一、</w:t>
      </w:r>
      <w:r>
        <w:rPr>
          <w:rFonts w:hint="eastAsia" w:ascii="方正仿宋_GBK" w:hAnsi="方正仿宋_GBK" w:eastAsia="方正仿宋_GBK" w:cs="方正仿宋_GBK"/>
          <w:sz w:val="32"/>
          <w:szCs w:val="32"/>
          <w:u w:val="none"/>
        </w:rPr>
        <w:t>主要职能</w:t>
      </w:r>
    </w:p>
    <w:p>
      <w:pPr>
        <w:pStyle w:val="6"/>
        <w:numPr>
          <w:ilvl w:val="-1"/>
          <w:numId w:val="0"/>
        </w:numPr>
        <w:spacing w:line="240" w:lineRule="auto"/>
        <w:ind w:left="0" w:firstLine="0" w:firstLineChars="0"/>
        <w:jc w:val="left"/>
        <w:rPr>
          <w:rFonts w:ascii="黑体" w:hAnsi="黑体" w:eastAsia="黑体"/>
          <w:sz w:val="32"/>
          <w:szCs w:val="32"/>
          <w:u w:val="none"/>
        </w:rPr>
      </w:pPr>
      <w:r>
        <w:rPr>
          <w:rFonts w:hint="eastAsia" w:ascii="方正仿宋_GBK" w:hAnsi="方正仿宋_GBK" w:eastAsia="方正仿宋_GBK" w:cs="方正仿宋_GBK"/>
          <w:sz w:val="32"/>
          <w:szCs w:val="32"/>
          <w:u w:val="none"/>
          <w:lang w:eastAsia="zh-CN"/>
        </w:rPr>
        <w:t>二、机构设置</w:t>
      </w:r>
    </w:p>
    <w:p>
      <w:pPr>
        <w:pStyle w:val="6"/>
        <w:numPr>
          <w:ilvl w:val="0"/>
          <w:numId w:val="1"/>
        </w:numPr>
        <w:spacing w:line="240" w:lineRule="auto"/>
        <w:ind w:firstLineChars="0"/>
        <w:rPr>
          <w:rFonts w:hint="eastAsia" w:ascii="方正黑体_GBK" w:hAnsi="方正黑体_GBK" w:eastAsia="方正黑体_GBK" w:cs="方正黑体_GBK"/>
          <w:sz w:val="32"/>
          <w:szCs w:val="32"/>
          <w:u w:val="none"/>
        </w:rPr>
      </w:pPr>
      <w:r>
        <w:rPr>
          <w:rFonts w:hint="eastAsia" w:ascii="黑体" w:hAnsi="黑体" w:eastAsia="黑体"/>
          <w:sz w:val="32"/>
          <w:szCs w:val="32"/>
          <w:u w:val="none"/>
        </w:rPr>
        <w:t xml:space="preserve"> </w:t>
      </w: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w:t>
      </w:r>
      <w:r>
        <w:rPr>
          <w:rFonts w:hint="eastAsia" w:ascii="方正黑体_GBK" w:hAnsi="方正黑体_GBK" w:eastAsia="方正黑体_GBK" w:cs="方正黑体_GBK"/>
          <w:sz w:val="32"/>
          <w:szCs w:val="32"/>
          <w:u w:val="none"/>
          <w:lang w:eastAsia="zh-CN"/>
        </w:rPr>
        <w:t>单位</w:t>
      </w:r>
      <w:r>
        <w:rPr>
          <w:rFonts w:hint="eastAsia" w:ascii="方正黑体_GBK" w:hAnsi="方正黑体_GBK" w:eastAsia="方正黑体_GBK" w:cs="方正黑体_GBK"/>
          <w:sz w:val="32"/>
          <w:szCs w:val="32"/>
          <w:u w:val="none"/>
        </w:rPr>
        <w:t>预算表</w:t>
      </w:r>
    </w:p>
    <w:p>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财政拨款收支总表</w:t>
      </w:r>
    </w:p>
    <w:p>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一般公共预算支出表</w:t>
      </w:r>
    </w:p>
    <w:p>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一般公共预算基本支出表</w:t>
      </w:r>
    </w:p>
    <w:p>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一般公共预算“三公”经费支出表</w:t>
      </w:r>
    </w:p>
    <w:p>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政府性基金预算支出表</w:t>
      </w:r>
    </w:p>
    <w:p>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政府性基金预算“三公”经费支出表</w:t>
      </w:r>
    </w:p>
    <w:p>
      <w:pPr>
        <w:pStyle w:val="6"/>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eastAsia="zh-CN"/>
        </w:rPr>
        <w:t>国有资本经营预算支出表</w:t>
      </w:r>
    </w:p>
    <w:p>
      <w:pPr>
        <w:pStyle w:val="6"/>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收支总表</w:t>
      </w:r>
    </w:p>
    <w:p>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收入总表</w:t>
      </w:r>
    </w:p>
    <w:p>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支出总表</w:t>
      </w:r>
    </w:p>
    <w:p>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项目支出绩效信息表</w:t>
      </w:r>
    </w:p>
    <w:p>
      <w:pPr>
        <w:pStyle w:val="6"/>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w:t>
      </w:r>
      <w:r>
        <w:rPr>
          <w:rFonts w:hint="eastAsia" w:ascii="方正黑体_GBK" w:hAnsi="方正黑体_GBK" w:eastAsia="方正黑体_GBK" w:cs="方正黑体_GBK"/>
          <w:sz w:val="32"/>
          <w:szCs w:val="32"/>
          <w:u w:val="none"/>
          <w:lang w:eastAsia="zh-CN"/>
        </w:rPr>
        <w:t>单位</w:t>
      </w:r>
      <w:r>
        <w:rPr>
          <w:rFonts w:hint="eastAsia" w:ascii="方正黑体_GBK" w:hAnsi="方正黑体_GBK" w:eastAsia="方正黑体_GBK" w:cs="方正黑体_GBK"/>
          <w:sz w:val="32"/>
          <w:szCs w:val="32"/>
          <w:u w:val="none"/>
        </w:rPr>
        <w:t>预算情况说明</w:t>
      </w:r>
    </w:p>
    <w:p>
      <w:pPr>
        <w:pStyle w:val="6"/>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rPr>
        <w:t xml:space="preserve">  名词解释</w:t>
      </w:r>
    </w:p>
    <w:p>
      <w:pPr>
        <w:jc w:val="left"/>
        <w:rPr>
          <w:rFonts w:hint="eastAsia" w:ascii="黑体" w:hAnsi="黑体" w:eastAsia="黑体"/>
          <w:sz w:val="52"/>
          <w:szCs w:val="52"/>
          <w:u w:val="none"/>
        </w:rPr>
      </w:pPr>
    </w:p>
    <w:p>
      <w:pPr>
        <w:pStyle w:val="6"/>
        <w:spacing w:line="560" w:lineRule="exact"/>
        <w:ind w:left="1320" w:firstLine="0" w:firstLineChars="0"/>
        <w:jc w:val="left"/>
        <w:rPr>
          <w:rFonts w:ascii="黑体" w:hAnsi="黑体" w:eastAsia="黑体"/>
          <w:sz w:val="32"/>
          <w:szCs w:val="32"/>
          <w:u w:val="none"/>
        </w:rPr>
      </w:pPr>
    </w:p>
    <w:p>
      <w:pPr>
        <w:jc w:val="center"/>
        <w:rPr>
          <w:rFonts w:hint="eastAsia" w:ascii="方正黑体_GBK" w:hAnsi="方正黑体_GBK" w:eastAsia="方正黑体_GBK" w:cs="方正黑体_GBK"/>
          <w:sz w:val="32"/>
          <w:szCs w:val="32"/>
          <w:u w:val="none"/>
        </w:rPr>
      </w:pPr>
      <w:r>
        <w:rPr>
          <w:rFonts w:ascii="黑体" w:hAnsi="黑体" w:eastAsia="黑体"/>
          <w:sz w:val="32"/>
          <w:szCs w:val="32"/>
          <w:u w:val="none"/>
        </w:rPr>
        <w:br w:type="page"/>
      </w:r>
      <w:r>
        <w:rPr>
          <w:rFonts w:hint="eastAsia" w:ascii="方正黑体_GBK" w:hAnsi="方正黑体_GBK" w:eastAsia="方正黑体_GBK" w:cs="方正黑体_GBK"/>
          <w:b w:val="0"/>
          <w:bCs/>
          <w:sz w:val="32"/>
          <w:szCs w:val="32"/>
          <w:u w:val="none"/>
          <w:lang w:eastAsia="zh-CN"/>
        </w:rPr>
        <w:t>第</w:t>
      </w:r>
      <w:r>
        <w:rPr>
          <w:rFonts w:hint="eastAsia" w:ascii="方正黑体_GBK" w:hAnsi="方正黑体_GBK" w:eastAsia="方正黑体_GBK" w:cs="方正黑体_GBK"/>
          <w:b w:val="0"/>
          <w:bCs/>
          <w:sz w:val="32"/>
          <w:szCs w:val="32"/>
          <w:u w:val="none"/>
          <w:lang w:val="en-US" w:eastAsia="zh-CN"/>
        </w:rPr>
        <w:t>一</w:t>
      </w:r>
      <w:r>
        <w:rPr>
          <w:rFonts w:hint="eastAsia" w:ascii="方正黑体_GBK" w:hAnsi="方正黑体_GBK" w:eastAsia="方正黑体_GBK" w:cs="方正黑体_GBK"/>
          <w:b w:val="0"/>
          <w:bCs/>
          <w:sz w:val="32"/>
          <w:szCs w:val="32"/>
          <w:u w:val="none"/>
          <w:lang w:eastAsia="zh-CN"/>
        </w:rPr>
        <w:t>部分</w:t>
      </w:r>
      <w:r>
        <w:rPr>
          <w:rFonts w:hint="eastAsia" w:ascii="方正黑体_GBK" w:hAnsi="方正黑体_GBK" w:eastAsia="方正黑体_GBK" w:cs="方正黑体_GBK"/>
          <w:b w:val="0"/>
          <w:bCs/>
          <w:sz w:val="32"/>
          <w:szCs w:val="32"/>
          <w:u w:val="none"/>
          <w:lang w:val="en-US" w:eastAsia="zh-CN"/>
        </w:rPr>
        <w:t xml:space="preserve">  </w:t>
      </w:r>
      <w:r>
        <w:rPr>
          <w:rFonts w:hint="eastAsia" w:ascii="方正黑体_GBK" w:hAnsi="方正黑体_GBK" w:eastAsia="方正黑体_GBK" w:cs="方正黑体_GBK"/>
          <w:sz w:val="32"/>
          <w:szCs w:val="32"/>
          <w:u w:val="none"/>
        </w:rPr>
        <w:t>屯昌县南坤镇中心幼儿园概况</w:t>
      </w:r>
    </w:p>
    <w:p>
      <w:pPr>
        <w:keepNext w:val="0"/>
        <w:keepLines w:val="0"/>
        <w:pageBreakBefore w:val="0"/>
        <w:kinsoku/>
        <w:wordWrap/>
        <w:overflowPunct/>
        <w:topLinePunct w:val="0"/>
        <w:autoSpaceDE/>
        <w:autoSpaceDN/>
        <w:bidi w:val="0"/>
        <w:adjustRightInd/>
        <w:snapToGrid/>
        <w:spacing w:line="590" w:lineRule="exact"/>
        <w:jc w:val="both"/>
        <w:textAlignment w:val="auto"/>
        <w:rPr>
          <w:rFonts w:ascii="仿宋_GB2312" w:hAnsi="仿宋_GB2312" w:eastAsia="仿宋_GB2312" w:cs="仿宋_GB2312"/>
          <w:sz w:val="32"/>
          <w:szCs w:val="32"/>
          <w:u w:val="none"/>
        </w:rPr>
      </w:pPr>
    </w:p>
    <w:p>
      <w:pPr>
        <w:pStyle w:val="6"/>
        <w:keepNext w:val="0"/>
        <w:keepLines w:val="0"/>
        <w:pageBreakBefore w:val="0"/>
        <w:numPr>
          <w:ilvl w:val="0"/>
          <w:numId w:val="3"/>
        </w:numPr>
        <w:kinsoku/>
        <w:wordWrap/>
        <w:overflowPunct/>
        <w:topLinePunct w:val="0"/>
        <w:autoSpaceDE/>
        <w:autoSpaceDN/>
        <w:bidi w:val="0"/>
        <w:adjustRightInd/>
        <w:snapToGrid/>
        <w:spacing w:line="590" w:lineRule="exact"/>
        <w:ind w:left="0" w:firstLine="640" w:firstLineChars="200"/>
        <w:jc w:val="both"/>
        <w:textAlignment w:val="auto"/>
        <w:rPr>
          <w:rFonts w:hint="eastAsia" w:ascii="黑体" w:hAnsi="黑体" w:eastAsia="黑体" w:cs="仿宋_GB2312"/>
          <w:sz w:val="32"/>
          <w:szCs w:val="32"/>
          <w:u w:val="none"/>
        </w:rPr>
      </w:pPr>
      <w:r>
        <w:rPr>
          <w:rFonts w:hint="eastAsia" w:ascii="黑体" w:hAnsi="黑体" w:eastAsia="黑体" w:cs="仿宋_GB2312"/>
          <w:sz w:val="32"/>
          <w:szCs w:val="32"/>
          <w:u w:val="none"/>
        </w:rPr>
        <w:t>主要职能</w:t>
      </w:r>
    </w:p>
    <w:p>
      <w:pPr>
        <w:spacing w:line="600" w:lineRule="exact"/>
        <w:ind w:firstLine="640" w:firstLineChars="200"/>
        <w:jc w:val="left"/>
        <w:rPr>
          <w:rFonts w:ascii="仿宋_GB2312" w:hAnsi="黑体" w:eastAsia="仿宋_GB2312"/>
          <w:sz w:val="32"/>
          <w:szCs w:val="32"/>
        </w:rPr>
      </w:pPr>
      <w:r>
        <w:rPr>
          <w:rFonts w:hint="eastAsia" w:ascii="仿宋_GB2312" w:hAnsi="黑体" w:eastAsia="仿宋_GB2312"/>
          <w:sz w:val="32"/>
          <w:szCs w:val="32"/>
        </w:rPr>
        <w:t>1.为适应现代教育发展的需要，深化教育改革，全面贯彻国家的教育方针，积极推进素质教育，全面提高教育教学质量和办学效益。</w:t>
      </w:r>
    </w:p>
    <w:p>
      <w:pPr>
        <w:spacing w:line="600" w:lineRule="exact"/>
        <w:ind w:firstLine="640" w:firstLineChars="200"/>
        <w:jc w:val="left"/>
        <w:rPr>
          <w:rFonts w:ascii="仿宋_GB2312" w:hAnsi="黑体" w:eastAsia="仿宋_GB2312"/>
          <w:sz w:val="32"/>
          <w:szCs w:val="32"/>
        </w:rPr>
      </w:pPr>
      <w:r>
        <w:rPr>
          <w:rFonts w:hint="eastAsia" w:ascii="仿宋_GB2312" w:hAnsi="黑体" w:eastAsia="仿宋_GB2312"/>
          <w:sz w:val="32"/>
          <w:szCs w:val="32"/>
        </w:rPr>
        <w:t>2.实行保育和教育相结合的原则，对幼儿实施体、智、德、美诸方面全面发展的教育，促进其身心和谐发展。通过组织、指挥、协调、控制等管理职能，合理利用幼儿园建设与事业发展的各种资源，确保保教质量的提高，较好的实现预期的教育培养目标和服务队伍、服务家长的任务。</w:t>
      </w:r>
    </w:p>
    <w:p>
      <w:pPr>
        <w:spacing w:line="600" w:lineRule="exact"/>
        <w:ind w:firstLine="640" w:firstLineChars="200"/>
        <w:jc w:val="left"/>
        <w:rPr>
          <w:rFonts w:ascii="仿宋_GB2312" w:hAnsi="黑体" w:eastAsia="仿宋_GB2312"/>
          <w:sz w:val="32"/>
          <w:szCs w:val="32"/>
        </w:rPr>
      </w:pPr>
      <w:r>
        <w:rPr>
          <w:rFonts w:hint="eastAsia" w:ascii="仿宋_GB2312" w:hAnsi="黑体" w:eastAsia="仿宋_GB2312"/>
          <w:sz w:val="32"/>
          <w:szCs w:val="32"/>
        </w:rPr>
        <w:t>3.幼儿园管理人员和有关幼教执行人员遵照一定的教育方针和保教工作的客观规律，优质高效的实现国家所规定的培养目标和幼儿园工作任务。</w:t>
      </w:r>
    </w:p>
    <w:p>
      <w:pPr>
        <w:keepNext w:val="0"/>
        <w:keepLines w:val="0"/>
        <w:pageBreakBefore w:val="0"/>
        <w:numPr>
          <w:ilvl w:val="-1"/>
          <w:numId w:val="0"/>
        </w:numPr>
        <w:kinsoku/>
        <w:wordWrap/>
        <w:overflowPunct/>
        <w:topLinePunct w:val="0"/>
        <w:autoSpaceDE/>
        <w:autoSpaceDN/>
        <w:bidi w:val="0"/>
        <w:adjustRightInd/>
        <w:snapToGrid/>
        <w:spacing w:line="590" w:lineRule="exact"/>
        <w:ind w:firstLine="640" w:firstLineChars="200"/>
        <w:jc w:val="both"/>
        <w:textAlignment w:val="auto"/>
        <w:rPr>
          <w:rFonts w:hint="eastAsia" w:ascii="黑体" w:hAnsi="黑体" w:eastAsia="黑体" w:cs="仿宋_GB2312"/>
          <w:sz w:val="32"/>
          <w:szCs w:val="32"/>
          <w:highlight w:val="none"/>
          <w:u w:val="none"/>
          <w:lang w:eastAsia="zh-CN"/>
        </w:rPr>
      </w:pPr>
      <w:r>
        <w:rPr>
          <w:rFonts w:hint="eastAsia" w:ascii="黑体" w:hAnsi="黑体" w:eastAsia="黑体" w:cs="仿宋_GB2312"/>
          <w:sz w:val="32"/>
          <w:szCs w:val="32"/>
          <w:highlight w:val="none"/>
          <w:u w:val="none"/>
          <w:lang w:eastAsia="zh-CN"/>
        </w:rPr>
        <w:t>二、机构设置</w:t>
      </w:r>
    </w:p>
    <w:p>
      <w:pPr>
        <w:pStyle w:val="6"/>
        <w:keepNext w:val="0"/>
        <w:keepLines w:val="0"/>
        <w:pageBreakBefore w:val="0"/>
        <w:numPr>
          <w:ilvl w:val="-1"/>
          <w:numId w:val="0"/>
        </w:numPr>
        <w:kinsoku/>
        <w:wordWrap/>
        <w:overflowPunct/>
        <w:topLinePunct w:val="0"/>
        <w:autoSpaceDE/>
        <w:autoSpaceDN/>
        <w:bidi w:val="0"/>
        <w:adjustRightInd/>
        <w:snapToGrid/>
        <w:spacing w:line="590" w:lineRule="exact"/>
        <w:ind w:left="800" w:firstLine="0" w:firstLineChars="0"/>
        <w:jc w:val="both"/>
        <w:textAlignment w:val="auto"/>
        <w:rPr>
          <w:rFonts w:hint="eastAsia" w:ascii="仿宋_GB2312" w:hAnsi="黑体" w:eastAsia="仿宋_GB2312" w:cs="仿宋_GB2312"/>
          <w:sz w:val="32"/>
          <w:szCs w:val="32"/>
          <w:highlight w:val="none"/>
          <w:u w:val="none"/>
          <w:lang w:eastAsia="zh-CN"/>
        </w:rPr>
      </w:pPr>
      <w:r>
        <w:rPr>
          <w:rFonts w:hint="eastAsia" w:ascii="仿宋_GB2312" w:hAnsi="黑体" w:eastAsia="仿宋_GB2312" w:cs="仿宋_GB2312"/>
          <w:sz w:val="32"/>
          <w:szCs w:val="32"/>
          <w:highlight w:val="none"/>
          <w:u w:val="none"/>
          <w:lang w:eastAsia="zh-CN"/>
        </w:rPr>
        <w:t>无下属单位</w:t>
      </w:r>
    </w:p>
    <w:p>
      <w:pPr>
        <w:pStyle w:val="6"/>
        <w:keepNext w:val="0"/>
        <w:keepLines w:val="0"/>
        <w:pageBreakBefore w:val="0"/>
        <w:numPr>
          <w:ilvl w:val="-1"/>
          <w:numId w:val="0"/>
        </w:numPr>
        <w:kinsoku/>
        <w:wordWrap/>
        <w:overflowPunct/>
        <w:topLinePunct w:val="0"/>
        <w:autoSpaceDE/>
        <w:autoSpaceDN/>
        <w:bidi w:val="0"/>
        <w:adjustRightInd/>
        <w:snapToGrid/>
        <w:spacing w:line="590" w:lineRule="exact"/>
        <w:ind w:left="800" w:firstLine="0" w:firstLineChars="0"/>
        <w:jc w:val="both"/>
        <w:textAlignment w:val="auto"/>
        <w:rPr>
          <w:rFonts w:ascii="仿宋_GB2312" w:hAnsi="黑体" w:eastAsia="仿宋_GB2312" w:cs="仿宋_GB2312"/>
          <w:sz w:val="32"/>
          <w:szCs w:val="32"/>
          <w:highlight w:val="yellow"/>
          <w:u w:val="none"/>
        </w:rPr>
      </w:pPr>
    </w:p>
    <w:p>
      <w:pPr>
        <w:pStyle w:val="6"/>
        <w:keepNext w:val="0"/>
        <w:keepLines w:val="0"/>
        <w:pageBreakBefore w:val="0"/>
        <w:numPr>
          <w:ilvl w:val="0"/>
          <w:numId w:val="0"/>
        </w:numPr>
        <w:kinsoku/>
        <w:wordWrap/>
        <w:overflowPunct/>
        <w:topLinePunct w:val="0"/>
        <w:autoSpaceDE/>
        <w:autoSpaceDN/>
        <w:bidi w:val="0"/>
        <w:adjustRightInd/>
        <w:snapToGrid/>
        <w:spacing w:line="590" w:lineRule="exact"/>
        <w:jc w:val="center"/>
        <w:textAlignment w:val="auto"/>
        <w:rPr>
          <w:rFonts w:ascii="黑体" w:hAnsi="黑体" w:eastAsia="黑体"/>
          <w:sz w:val="32"/>
          <w:szCs w:val="32"/>
          <w:u w:val="none"/>
        </w:rPr>
      </w:pPr>
      <w:r>
        <w:rPr>
          <w:rFonts w:hint="eastAsia" w:ascii="方正黑体_GBK" w:hAnsi="方正黑体_GBK" w:eastAsia="方正黑体_GBK" w:cs="方正黑体_GBK"/>
          <w:b w:val="0"/>
          <w:bCs/>
          <w:sz w:val="32"/>
          <w:szCs w:val="32"/>
          <w:u w:val="none"/>
          <w:lang w:eastAsia="zh-CN"/>
        </w:rPr>
        <w:t>第二部分</w:t>
      </w:r>
      <w:r>
        <w:rPr>
          <w:rFonts w:hint="eastAsia" w:ascii="方正黑体_GBK" w:hAnsi="方正黑体_GBK" w:eastAsia="方正黑体_GBK" w:cs="方正黑体_GBK"/>
          <w:b w:val="0"/>
          <w:bCs/>
          <w:sz w:val="32"/>
          <w:szCs w:val="32"/>
          <w:u w:val="none"/>
          <w:lang w:val="en-US" w:eastAsia="zh-CN"/>
        </w:rPr>
        <w:t xml:space="preserve">  2026</w:t>
      </w:r>
      <w:r>
        <w:rPr>
          <w:rFonts w:hint="eastAsia" w:ascii="方正黑体_GBK" w:hAnsi="方正黑体_GBK" w:eastAsia="方正黑体_GBK" w:cs="方正黑体_GBK"/>
          <w:b w:val="0"/>
          <w:bCs/>
          <w:sz w:val="32"/>
          <w:szCs w:val="32"/>
          <w:u w:val="none"/>
        </w:rPr>
        <w:t>年</w:t>
      </w:r>
      <w:r>
        <w:rPr>
          <w:rFonts w:hint="eastAsia" w:ascii="方正黑体_GBK" w:hAnsi="方正黑体_GBK" w:eastAsia="方正黑体_GBK" w:cs="方正黑体_GBK"/>
          <w:b w:val="0"/>
          <w:bCs/>
          <w:sz w:val="32"/>
          <w:szCs w:val="32"/>
          <w:u w:val="none"/>
          <w:lang w:eastAsia="zh-CN"/>
        </w:rPr>
        <w:t>单位</w:t>
      </w:r>
      <w:r>
        <w:rPr>
          <w:rFonts w:hint="eastAsia" w:ascii="方正黑体_GBK" w:hAnsi="方正黑体_GBK" w:eastAsia="方正黑体_GBK" w:cs="方正黑体_GBK"/>
          <w:b w:val="0"/>
          <w:bCs/>
          <w:sz w:val="32"/>
          <w:szCs w:val="32"/>
          <w:u w:val="none"/>
        </w:rPr>
        <w:t>预算表</w:t>
      </w:r>
    </w:p>
    <w:p>
      <w:pPr>
        <w:keepNext w:val="0"/>
        <w:keepLines w:val="0"/>
        <w:pageBreakBefore w:val="0"/>
        <w:kinsoku/>
        <w:wordWrap/>
        <w:overflowPunct/>
        <w:topLinePunct w:val="0"/>
        <w:autoSpaceDE/>
        <w:autoSpaceDN/>
        <w:bidi w:val="0"/>
        <w:adjustRightInd/>
        <w:snapToGrid/>
        <w:spacing w:line="590" w:lineRule="exact"/>
        <w:ind w:left="0"/>
        <w:jc w:val="both"/>
        <w:textAlignment w:val="auto"/>
        <w:rPr>
          <w:rFonts w:hint="eastAsia" w:ascii="仿宋_GB2312" w:hAnsi="黑体" w:eastAsia="仿宋_GB2312"/>
          <w:b/>
          <w:sz w:val="32"/>
          <w:szCs w:val="32"/>
          <w:u w:val="none"/>
        </w:rPr>
      </w:pPr>
    </w:p>
    <w:p>
      <w:pPr>
        <w:keepNext w:val="0"/>
        <w:keepLines w:val="0"/>
        <w:pageBreakBefore w:val="0"/>
        <w:kinsoku/>
        <w:wordWrap/>
        <w:overflowPunct/>
        <w:topLinePunct w:val="0"/>
        <w:autoSpaceDE/>
        <w:autoSpaceDN/>
        <w:bidi w:val="0"/>
        <w:adjustRightInd/>
        <w:snapToGrid/>
        <w:spacing w:line="590" w:lineRule="exact"/>
        <w:ind w:left="0"/>
        <w:jc w:val="center"/>
        <w:textAlignment w:val="auto"/>
        <w:rPr>
          <w:rFonts w:hint="eastAsia" w:ascii="仿宋_GB2312" w:hAnsi="黑体" w:eastAsia="仿宋_GB2312"/>
          <w:b/>
          <w:bCs w:val="0"/>
          <w:sz w:val="32"/>
          <w:szCs w:val="32"/>
          <w:u w:val="none"/>
        </w:rPr>
      </w:pPr>
      <w:r>
        <w:rPr>
          <w:rFonts w:hint="eastAsia" w:ascii="仿宋_GB2312" w:hAnsi="黑体" w:eastAsia="仿宋_GB2312"/>
          <w:b/>
          <w:bCs w:val="0"/>
          <w:sz w:val="32"/>
          <w:szCs w:val="32"/>
          <w:u w:val="none"/>
        </w:rPr>
        <w:t>（此部分内容即为单位预算公开表）</w:t>
      </w:r>
    </w:p>
    <w:p>
      <w:pPr>
        <w:keepNext w:val="0"/>
        <w:keepLines w:val="0"/>
        <w:pageBreakBefore w:val="0"/>
        <w:kinsoku/>
        <w:wordWrap/>
        <w:overflowPunct/>
        <w:topLinePunct w:val="0"/>
        <w:autoSpaceDE/>
        <w:autoSpaceDN/>
        <w:bidi w:val="0"/>
        <w:adjustRightInd/>
        <w:snapToGrid/>
        <w:spacing w:line="590" w:lineRule="exact"/>
        <w:ind w:left="800"/>
        <w:jc w:val="both"/>
        <w:textAlignment w:val="auto"/>
        <w:rPr>
          <w:rFonts w:hint="eastAsia" w:ascii="仿宋_GB2312" w:hAnsi="黑体" w:eastAsia="仿宋_GB2312"/>
          <w:b/>
          <w:sz w:val="32"/>
          <w:szCs w:val="32"/>
          <w:u w:val="none"/>
        </w:rPr>
      </w:pPr>
    </w:p>
    <w:p>
      <w:pPr>
        <w:keepNext w:val="0"/>
        <w:keepLines w:val="0"/>
        <w:pageBreakBefore w:val="0"/>
        <w:kinsoku/>
        <w:wordWrap/>
        <w:overflowPunct/>
        <w:topLinePunct w:val="0"/>
        <w:autoSpaceDE/>
        <w:autoSpaceDN/>
        <w:bidi w:val="0"/>
        <w:adjustRightInd/>
        <w:snapToGrid/>
        <w:spacing w:line="590" w:lineRule="exact"/>
        <w:ind w:firstLine="0" w:firstLineChars="0"/>
        <w:jc w:val="center"/>
        <w:textAlignment w:val="auto"/>
        <w:rPr>
          <w:rFonts w:ascii="黑体" w:hAnsi="黑体" w:eastAsia="黑体"/>
          <w:sz w:val="32"/>
          <w:szCs w:val="32"/>
          <w:u w:val="none"/>
        </w:rPr>
      </w:pPr>
      <w:r>
        <w:rPr>
          <w:rFonts w:hint="eastAsia" w:ascii="黑体" w:hAnsi="黑体" w:eastAsia="黑体"/>
          <w:sz w:val="32"/>
          <w:szCs w:val="32"/>
          <w:u w:val="none"/>
          <w:lang w:eastAsia="zh-CN"/>
        </w:rPr>
        <w:t>第三部分</w:t>
      </w:r>
      <w:r>
        <w:rPr>
          <w:rFonts w:hint="eastAsia" w:ascii="黑体" w:hAnsi="黑体" w:eastAsia="黑体"/>
          <w:sz w:val="32"/>
          <w:szCs w:val="32"/>
          <w:u w:val="none"/>
          <w:lang w:val="en-US" w:eastAsia="zh-CN"/>
        </w:rPr>
        <w:t xml:space="preserve">  2026</w:t>
      </w:r>
      <w:r>
        <w:rPr>
          <w:rFonts w:hint="eastAsia" w:ascii="黑体" w:hAnsi="黑体" w:eastAsia="黑体"/>
          <w:sz w:val="32"/>
          <w:szCs w:val="32"/>
          <w:u w:val="none"/>
        </w:rPr>
        <w:t>年</w:t>
      </w:r>
      <w:r>
        <w:rPr>
          <w:rFonts w:hint="eastAsia" w:ascii="黑体" w:hAnsi="黑体" w:eastAsia="黑体"/>
          <w:sz w:val="32"/>
          <w:szCs w:val="32"/>
          <w:u w:val="none"/>
          <w:lang w:eastAsia="zh-CN"/>
        </w:rPr>
        <w:t>单位</w:t>
      </w:r>
      <w:r>
        <w:rPr>
          <w:rFonts w:hint="eastAsia" w:ascii="黑体" w:hAnsi="黑体" w:eastAsia="黑体"/>
          <w:sz w:val="32"/>
          <w:szCs w:val="32"/>
          <w:u w:val="none"/>
        </w:rPr>
        <w:t>预算情况说明</w:t>
      </w:r>
    </w:p>
    <w:p>
      <w:pPr>
        <w:keepNext w:val="0"/>
        <w:keepLines w:val="0"/>
        <w:pageBreakBefore w:val="0"/>
        <w:kinsoku/>
        <w:wordWrap/>
        <w:overflowPunct/>
        <w:topLinePunct w:val="0"/>
        <w:autoSpaceDE/>
        <w:autoSpaceDN/>
        <w:bidi w:val="0"/>
        <w:adjustRightInd/>
        <w:snapToGrid/>
        <w:spacing w:line="590" w:lineRule="exact"/>
        <w:jc w:val="both"/>
        <w:textAlignment w:val="auto"/>
        <w:rPr>
          <w:rFonts w:ascii="黑体" w:hAnsi="黑体" w:eastAsia="黑体"/>
          <w:sz w:val="32"/>
          <w:szCs w:val="32"/>
          <w:u w:val="none"/>
        </w:rPr>
      </w:pP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黑体" w:hAnsi="黑体" w:eastAsia="黑体" w:cs="黑体"/>
          <w:sz w:val="32"/>
          <w:szCs w:val="32"/>
          <w:u w:val="none"/>
        </w:rPr>
      </w:pPr>
      <w:r>
        <w:rPr>
          <w:rFonts w:hint="eastAsia" w:ascii="黑体" w:hAnsi="黑体" w:eastAsia="黑体" w:cs="黑体"/>
          <w:sz w:val="32"/>
          <w:szCs w:val="32"/>
          <w:u w:val="none"/>
        </w:rPr>
        <w:t>一、财政拨款收支预算</w:t>
      </w:r>
      <w:r>
        <w:rPr>
          <w:rFonts w:hint="eastAsia" w:ascii="黑体" w:hAnsi="黑体" w:eastAsia="黑体" w:cs="黑体"/>
          <w:sz w:val="32"/>
          <w:szCs w:val="32"/>
          <w:u w:val="none"/>
          <w:lang w:eastAsia="zh-CN"/>
        </w:rPr>
        <w:t>总体</w:t>
      </w:r>
      <w:r>
        <w:rPr>
          <w:rFonts w:hint="eastAsia" w:ascii="黑体" w:hAnsi="黑体" w:eastAsia="黑体" w:cs="黑体"/>
          <w:sz w:val="32"/>
          <w:szCs w:val="32"/>
          <w:u w:val="none"/>
        </w:rPr>
        <w:t>情况说明</w:t>
      </w:r>
    </w:p>
    <w:p>
      <w:pPr>
        <w:spacing w:line="600" w:lineRule="exact"/>
        <w:ind w:firstLine="640" w:firstLineChars="200"/>
        <w:jc w:val="left"/>
        <w:rPr>
          <w:rFonts w:ascii="仿宋_GB2312" w:hAnsi="黑体" w:eastAsia="仿宋_GB2312"/>
          <w:sz w:val="32"/>
          <w:szCs w:val="32"/>
          <w:u w:val="none"/>
        </w:rPr>
      </w:pPr>
      <w:r>
        <w:rPr>
          <w:rFonts w:hint="eastAsia" w:ascii="仿宋_GB2312" w:hAnsi="黑体" w:eastAsia="仿宋_GB2312"/>
          <w:sz w:val="32"/>
          <w:szCs w:val="32"/>
        </w:rPr>
        <w:t>屯昌县南坤镇中心幼儿园</w:t>
      </w:r>
      <w:r>
        <w:rPr>
          <w:rFonts w:hint="eastAsia" w:ascii="仿宋_GB2312" w:hAnsi="黑体" w:eastAsia="仿宋_GB2312"/>
          <w:sz w:val="32"/>
          <w:szCs w:val="32"/>
          <w:u w:val="none"/>
          <w:lang w:val="en-US" w:eastAsia="zh-CN"/>
        </w:rPr>
        <w:t>2</w:t>
      </w:r>
      <w:r>
        <w:rPr>
          <w:rFonts w:hint="eastAsia" w:ascii="仿宋_GB2312" w:hAnsi="黑体" w:eastAsia="仿宋_GB2312" w:cs="仿宋_GB2312"/>
          <w:sz w:val="32"/>
          <w:szCs w:val="32"/>
          <w:u w:val="none"/>
          <w:lang w:val="en-US" w:eastAsia="zh-CN"/>
        </w:rPr>
        <w:t>026</w:t>
      </w:r>
      <w:r>
        <w:rPr>
          <w:rFonts w:hint="eastAsia" w:ascii="仿宋_GB2312" w:hAnsi="黑体" w:eastAsia="仿宋_GB2312"/>
          <w:sz w:val="32"/>
          <w:szCs w:val="32"/>
          <w:u w:val="none"/>
        </w:rPr>
        <w:t>年财政拨款收支总预算</w:t>
      </w:r>
      <w:r>
        <w:rPr>
          <w:rFonts w:hint="eastAsia" w:ascii="仿宋_GB2312" w:hAnsi="黑体" w:eastAsia="仿宋_GB2312" w:cs="仿宋_GB2312"/>
          <w:sz w:val="32"/>
          <w:szCs w:val="32"/>
          <w:u w:val="none"/>
        </w:rPr>
        <w:t>233.40</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增加减少</w:t>
      </w:r>
      <w:r>
        <w:rPr>
          <w:rFonts w:hint="eastAsia" w:ascii="仿宋_GB2312" w:hAnsi="黑体" w:eastAsia="仿宋_GB2312" w:cs="仿宋_GB2312"/>
          <w:sz w:val="32"/>
          <w:szCs w:val="32"/>
          <w:u w:val="none"/>
          <w:lang w:val="en-US" w:eastAsia="zh-CN"/>
        </w:rPr>
        <w:t>51.6</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eastAsia="zh-CN"/>
        </w:rPr>
        <w:t>人员减少</w:t>
      </w:r>
      <w:r>
        <w:rPr>
          <w:rFonts w:hint="eastAsia" w:ascii="仿宋_GB2312" w:hAnsi="黑体" w:eastAsia="仿宋_GB2312"/>
          <w:color w:val="auto"/>
          <w:sz w:val="32"/>
          <w:szCs w:val="32"/>
          <w:highlight w:val="none"/>
          <w:u w:val="none"/>
        </w:rPr>
        <w:t>。其中，收入总计</w:t>
      </w:r>
      <w:r>
        <w:rPr>
          <w:rFonts w:hint="eastAsia" w:ascii="仿宋_GB2312" w:hAnsi="黑体" w:eastAsia="仿宋_GB2312" w:cs="仿宋_GB2312"/>
          <w:sz w:val="32"/>
          <w:szCs w:val="32"/>
          <w:u w:val="none"/>
        </w:rPr>
        <w:t>233.40</w:t>
      </w:r>
      <w:r>
        <w:rPr>
          <w:rFonts w:hint="eastAsia" w:ascii="仿宋_GB2312" w:hAnsi="黑体" w:eastAsia="仿宋_GB2312"/>
          <w:color w:val="auto"/>
          <w:sz w:val="32"/>
          <w:szCs w:val="32"/>
          <w:highlight w:val="none"/>
          <w:u w:val="none"/>
        </w:rPr>
        <w:t>万元，包括一般公共预算本年收入</w:t>
      </w:r>
      <w:r>
        <w:rPr>
          <w:rFonts w:hint="eastAsia" w:ascii="仿宋_GB2312" w:hAnsi="黑体" w:eastAsia="仿宋_GB2312" w:cs="仿宋_GB2312"/>
          <w:color w:val="auto"/>
          <w:sz w:val="32"/>
          <w:szCs w:val="32"/>
          <w:highlight w:val="none"/>
          <w:u w:val="none"/>
        </w:rPr>
        <w:t>230.25</w:t>
      </w:r>
      <w:r>
        <w:rPr>
          <w:rFonts w:hint="eastAsia" w:ascii="仿宋_GB2312" w:hAnsi="黑体" w:eastAsia="仿宋_GB2312"/>
          <w:color w:val="auto"/>
          <w:sz w:val="32"/>
          <w:szCs w:val="32"/>
          <w:highlight w:val="none"/>
          <w:u w:val="none"/>
        </w:rPr>
        <w:t>万元、上年结转</w:t>
      </w:r>
      <w:r>
        <w:rPr>
          <w:rFonts w:hint="eastAsia" w:ascii="仿宋_GB2312" w:hAnsi="黑体" w:eastAsia="仿宋_GB2312" w:cs="仿宋_GB2312"/>
          <w:color w:val="auto"/>
          <w:sz w:val="32"/>
          <w:szCs w:val="32"/>
          <w:highlight w:val="none"/>
          <w:u w:val="none"/>
        </w:rPr>
        <w:t>3.15</w:t>
      </w:r>
      <w:r>
        <w:rPr>
          <w:rFonts w:hint="eastAsia" w:ascii="仿宋_GB2312" w:hAnsi="黑体" w:eastAsia="仿宋_GB2312"/>
          <w:color w:val="auto"/>
          <w:sz w:val="32"/>
          <w:szCs w:val="32"/>
          <w:highlight w:val="none"/>
          <w:u w:val="none"/>
        </w:rPr>
        <w:t>万元，政府性基金预算本年收入</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万元、上年结转</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w:t>
      </w:r>
      <w:r>
        <w:rPr>
          <w:rFonts w:hint="eastAsia" w:ascii="仿宋_GB2312" w:hAnsi="黑体" w:eastAsia="仿宋_GB2312"/>
          <w:color w:val="auto"/>
          <w:sz w:val="32"/>
          <w:szCs w:val="32"/>
          <w:highlight w:val="none"/>
          <w:u w:val="none"/>
          <w:lang w:eastAsia="zh-CN"/>
        </w:rPr>
        <w:t>，国有资本经营预算本年收入</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万元、上年结转</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w:t>
      </w:r>
      <w:r>
        <w:rPr>
          <w:rFonts w:hint="eastAsia" w:ascii="仿宋_GB2312" w:hAnsi="黑体" w:eastAsia="仿宋_GB2312"/>
          <w:color w:val="auto"/>
          <w:sz w:val="32"/>
          <w:szCs w:val="32"/>
          <w:highlight w:val="none"/>
          <w:u w:val="none"/>
          <w:lang w:eastAsia="zh-CN"/>
        </w:rPr>
        <w:t>；</w:t>
      </w:r>
      <w:r>
        <w:rPr>
          <w:rFonts w:hint="eastAsia" w:ascii="仿宋_GB2312" w:hAnsi="黑体" w:eastAsia="仿宋_GB2312"/>
          <w:color w:val="auto"/>
          <w:sz w:val="32"/>
          <w:szCs w:val="32"/>
          <w:highlight w:val="none"/>
          <w:u w:val="none"/>
        </w:rPr>
        <w:t>支出总计</w:t>
      </w:r>
      <w:r>
        <w:rPr>
          <w:rFonts w:hint="eastAsia" w:ascii="仿宋_GB2312" w:hAnsi="黑体" w:eastAsia="仿宋_GB2312" w:cs="仿宋_GB2312"/>
          <w:sz w:val="32"/>
          <w:szCs w:val="32"/>
          <w:u w:val="none"/>
        </w:rPr>
        <w:t>233.40</w:t>
      </w:r>
      <w:r>
        <w:rPr>
          <w:rFonts w:hint="eastAsia" w:ascii="仿宋_GB2312" w:hAnsi="黑体" w:eastAsia="仿宋_GB2312"/>
          <w:color w:val="auto"/>
          <w:sz w:val="32"/>
          <w:szCs w:val="32"/>
          <w:u w:val="none"/>
        </w:rPr>
        <w:t>万元，包括</w:t>
      </w:r>
      <w:r>
        <w:rPr>
          <w:rFonts w:hint="eastAsia" w:ascii="仿宋_GB2312" w:hAnsi="黑体" w:eastAsia="仿宋_GB2312"/>
          <w:sz w:val="32"/>
          <w:szCs w:val="32"/>
        </w:rPr>
        <w:t>包括教育支出</w:t>
      </w:r>
      <w:r>
        <w:rPr>
          <w:rFonts w:hint="eastAsia" w:ascii="仿宋_GB2312" w:hAnsi="黑体" w:eastAsia="仿宋_GB2312" w:cs="仿宋_GB2312"/>
          <w:sz w:val="32"/>
          <w:szCs w:val="32"/>
          <w:lang w:val="en-US" w:eastAsia="zh-CN"/>
        </w:rPr>
        <w:t>160.34</w:t>
      </w:r>
      <w:r>
        <w:rPr>
          <w:rFonts w:hint="eastAsia" w:ascii="仿宋_GB2312" w:hAnsi="黑体" w:eastAsia="仿宋_GB2312"/>
          <w:sz w:val="32"/>
          <w:szCs w:val="32"/>
        </w:rPr>
        <w:t>万元、社会保障和就业支出</w:t>
      </w:r>
      <w:r>
        <w:rPr>
          <w:rFonts w:hint="eastAsia" w:ascii="仿宋_GB2312" w:hAnsi="黑体" w:eastAsia="仿宋_GB2312" w:cs="仿宋_GB2312"/>
          <w:sz w:val="32"/>
          <w:szCs w:val="32"/>
          <w:lang w:val="en-US" w:eastAsia="zh-CN"/>
        </w:rPr>
        <w:t>34.86</w:t>
      </w:r>
      <w:r>
        <w:rPr>
          <w:rFonts w:hint="eastAsia" w:ascii="仿宋_GB2312" w:hAnsi="黑体" w:eastAsia="仿宋_GB2312"/>
          <w:sz w:val="32"/>
          <w:szCs w:val="32"/>
        </w:rPr>
        <w:t>万元、卫生健康支出</w:t>
      </w:r>
      <w:r>
        <w:rPr>
          <w:rFonts w:hint="eastAsia" w:ascii="仿宋_GB2312" w:hAnsi="黑体" w:eastAsia="仿宋_GB2312" w:cs="仿宋_GB2312"/>
          <w:sz w:val="32"/>
          <w:szCs w:val="32"/>
          <w:lang w:val="en-US" w:eastAsia="zh-CN"/>
        </w:rPr>
        <w:t>21.76</w:t>
      </w:r>
      <w:r>
        <w:rPr>
          <w:rFonts w:hint="eastAsia" w:ascii="仿宋_GB2312" w:hAnsi="黑体" w:eastAsia="仿宋_GB2312"/>
          <w:sz w:val="32"/>
          <w:szCs w:val="32"/>
        </w:rPr>
        <w:t>万元、住房保障支出</w:t>
      </w:r>
      <w:r>
        <w:rPr>
          <w:rFonts w:hint="eastAsia" w:ascii="仿宋_GB2312" w:hAnsi="黑体" w:eastAsia="仿宋_GB2312"/>
          <w:sz w:val="32"/>
          <w:szCs w:val="32"/>
          <w:lang w:val="en-US" w:eastAsia="zh-CN"/>
        </w:rPr>
        <w:t>16.44</w:t>
      </w:r>
      <w:r>
        <w:rPr>
          <w:rFonts w:hint="eastAsia" w:ascii="仿宋_GB2312" w:hAnsi="黑体" w:eastAsia="仿宋_GB2312"/>
          <w:sz w:val="32"/>
          <w:szCs w:val="32"/>
        </w:rPr>
        <w:t>万元，结转下年</w:t>
      </w:r>
      <w:r>
        <w:rPr>
          <w:rFonts w:hint="eastAsia" w:ascii="仿宋_GB2312" w:hAnsi="黑体" w:eastAsia="仿宋_GB2312" w:cs="仿宋_GB2312"/>
          <w:sz w:val="32"/>
          <w:szCs w:val="32"/>
        </w:rPr>
        <w:t>0</w:t>
      </w:r>
      <w:r>
        <w:rPr>
          <w:rFonts w:hint="eastAsia" w:ascii="仿宋_GB2312" w:hAnsi="黑体" w:eastAsia="仿宋_GB2312"/>
          <w:sz w:val="32"/>
          <w:szCs w:val="32"/>
        </w:rPr>
        <w:t>万元。</w:t>
      </w:r>
    </w:p>
    <w:p>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黑体" w:hAnsi="黑体" w:eastAsia="黑体"/>
          <w:sz w:val="32"/>
          <w:szCs w:val="32"/>
          <w:u w:val="none"/>
        </w:rPr>
      </w:pPr>
      <w:r>
        <w:rPr>
          <w:rFonts w:hint="eastAsia" w:ascii="黑体" w:hAnsi="黑体" w:eastAsia="黑体"/>
          <w:sz w:val="32"/>
          <w:szCs w:val="32"/>
          <w:u w:val="none"/>
        </w:rPr>
        <w:t>二、一般公共预算当年拨款情况说明</w:t>
      </w:r>
    </w:p>
    <w:p>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楷体" w:hAnsi="楷体" w:eastAsia="楷体"/>
          <w:sz w:val="32"/>
          <w:szCs w:val="32"/>
          <w:u w:val="none"/>
        </w:rPr>
      </w:pPr>
      <w:r>
        <w:rPr>
          <w:rFonts w:hint="eastAsia" w:ascii="楷体" w:hAnsi="楷体" w:eastAsia="楷体"/>
          <w:sz w:val="32"/>
          <w:szCs w:val="32"/>
          <w:u w:val="none"/>
        </w:rPr>
        <w:t>（一）一般公共预算当年规模变化情况</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hAnsi="黑体" w:eastAsia="仿宋_GB2312"/>
          <w:sz w:val="32"/>
          <w:szCs w:val="32"/>
          <w:u w:val="none"/>
        </w:rPr>
      </w:pPr>
      <w:r>
        <w:rPr>
          <w:rFonts w:hint="eastAsia" w:ascii="仿宋_GB2312" w:hAnsi="黑体" w:eastAsia="仿宋_GB2312"/>
          <w:sz w:val="32"/>
          <w:szCs w:val="32"/>
        </w:rPr>
        <w:t>屯昌县南坤镇中心幼儿园</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年一般公共预算当年拨款</w:t>
      </w:r>
      <w:r>
        <w:rPr>
          <w:rFonts w:hint="eastAsia" w:ascii="仿宋_GB2312" w:hAnsi="黑体" w:eastAsia="仿宋_GB2312" w:cs="仿宋_GB2312"/>
          <w:sz w:val="32"/>
          <w:szCs w:val="32"/>
          <w:u w:val="none"/>
        </w:rPr>
        <w:t>233.40</w:t>
      </w:r>
      <w:r>
        <w:rPr>
          <w:rFonts w:hint="eastAsia" w:ascii="仿宋_GB2312" w:hAnsi="黑体" w:eastAsia="仿宋_GB2312"/>
          <w:sz w:val="32"/>
          <w:szCs w:val="32"/>
          <w:u w:val="none"/>
        </w:rPr>
        <w:t>万元，比上年预算数</w:t>
      </w:r>
      <w:r>
        <w:rPr>
          <w:rFonts w:hint="eastAsia" w:ascii="仿宋_GB2312" w:hAnsi="黑体" w:eastAsia="仿宋_GB2312" w:cs="仿宋_GB2312"/>
          <w:sz w:val="32"/>
          <w:szCs w:val="32"/>
          <w:u w:val="none"/>
        </w:rPr>
        <w:t>减少</w:t>
      </w:r>
      <w:r>
        <w:rPr>
          <w:rFonts w:hint="eastAsia" w:ascii="仿宋_GB2312" w:hAnsi="黑体" w:eastAsia="仿宋_GB2312" w:cs="仿宋_GB2312"/>
          <w:sz w:val="32"/>
          <w:szCs w:val="32"/>
          <w:u w:val="none"/>
          <w:lang w:val="en-US" w:eastAsia="zh-CN"/>
        </w:rPr>
        <w:t>51.6</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eastAsia="zh-CN"/>
        </w:rPr>
        <w:t>人员减少，经费减少。</w:t>
      </w:r>
    </w:p>
    <w:p>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楷体" w:hAnsi="楷体" w:eastAsia="楷体"/>
          <w:sz w:val="32"/>
          <w:szCs w:val="32"/>
          <w:u w:val="none"/>
        </w:rPr>
      </w:pPr>
      <w:r>
        <w:rPr>
          <w:rFonts w:hint="eastAsia" w:ascii="楷体" w:hAnsi="楷体" w:eastAsia="楷体"/>
          <w:sz w:val="32"/>
          <w:szCs w:val="32"/>
          <w:u w:val="none"/>
        </w:rPr>
        <w:t>（二）一般公共预算当年拨款结构情况</w:t>
      </w:r>
    </w:p>
    <w:p>
      <w:pPr>
        <w:spacing w:line="600" w:lineRule="exact"/>
        <w:ind w:firstLine="800" w:firstLineChars="250"/>
        <w:rPr>
          <w:rFonts w:ascii="仿宋_GB2312" w:hAnsi="黑体" w:eastAsia="仿宋_GB2312"/>
          <w:sz w:val="32"/>
          <w:szCs w:val="32"/>
        </w:rPr>
      </w:pPr>
      <w:r>
        <w:rPr>
          <w:rFonts w:hint="eastAsia" w:ascii="仿宋_GB2312" w:hAnsi="黑体" w:eastAsia="仿宋_GB2312" w:cs="仿宋_GB2312"/>
          <w:sz w:val="32"/>
          <w:szCs w:val="32"/>
        </w:rPr>
        <w:t>教育（类）支出</w:t>
      </w:r>
      <w:r>
        <w:rPr>
          <w:rFonts w:hint="eastAsia" w:ascii="仿宋_GB2312" w:hAnsi="黑体" w:eastAsia="仿宋_GB2312" w:cs="仿宋_GB2312"/>
          <w:sz w:val="32"/>
          <w:szCs w:val="32"/>
          <w:lang w:val="en-US" w:eastAsia="zh-CN"/>
        </w:rPr>
        <w:t>160.34</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68.70</w:t>
      </w:r>
      <w:r>
        <w:rPr>
          <w:rFonts w:hint="eastAsia" w:ascii="仿宋_GB2312" w:hAnsi="黑体" w:eastAsia="仿宋_GB2312"/>
          <w:sz w:val="32"/>
          <w:szCs w:val="32"/>
        </w:rPr>
        <w:t>%；社会保障和就业（类）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34.86</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14.94</w:t>
      </w:r>
      <w:r>
        <w:rPr>
          <w:rFonts w:hint="eastAsia" w:ascii="仿宋_GB2312" w:hAnsi="黑体" w:eastAsia="仿宋_GB2312"/>
          <w:sz w:val="32"/>
          <w:szCs w:val="32"/>
        </w:rPr>
        <w:t>%；卫生健康（类）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21.76</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9.32</w:t>
      </w:r>
      <w:r>
        <w:rPr>
          <w:rFonts w:hint="eastAsia" w:ascii="仿宋_GB2312" w:hAnsi="黑体" w:eastAsia="仿宋_GB2312"/>
          <w:sz w:val="32"/>
          <w:szCs w:val="32"/>
        </w:rPr>
        <w:t>%；住房保障（类）</w:t>
      </w:r>
      <w:r>
        <w:rPr>
          <w:rFonts w:hint="eastAsia" w:ascii="仿宋_GB2312" w:hAnsi="黑体" w:eastAsia="仿宋_GB2312" w:cs="仿宋_GB2312"/>
          <w:sz w:val="32"/>
          <w:szCs w:val="32"/>
        </w:rPr>
        <w:t>支出</w:t>
      </w:r>
      <w:r>
        <w:rPr>
          <w:rFonts w:hint="eastAsia" w:ascii="仿宋_GB2312" w:hAnsi="黑体" w:eastAsia="仿宋_GB2312"/>
          <w:sz w:val="32"/>
          <w:szCs w:val="32"/>
          <w:lang w:val="en-US" w:eastAsia="zh-CN"/>
        </w:rPr>
        <w:t>16.44</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7.04</w:t>
      </w:r>
      <w:r>
        <w:rPr>
          <w:rFonts w:hint="eastAsia" w:ascii="仿宋_GB2312" w:hAnsi="黑体" w:eastAsia="仿宋_GB2312"/>
          <w:sz w:val="32"/>
          <w:szCs w:val="32"/>
        </w:rPr>
        <w:t>%。</w:t>
      </w:r>
    </w:p>
    <w:p>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楷体" w:hAnsi="楷体" w:eastAsia="楷体"/>
          <w:sz w:val="32"/>
          <w:szCs w:val="32"/>
          <w:u w:val="none"/>
        </w:rPr>
      </w:pPr>
      <w:r>
        <w:rPr>
          <w:rFonts w:hint="eastAsia" w:ascii="楷体" w:hAnsi="楷体" w:eastAsia="楷体"/>
          <w:sz w:val="32"/>
          <w:szCs w:val="32"/>
          <w:u w:val="none"/>
        </w:rPr>
        <w:t>（三）一般公共预算当年拨款具体使用情况</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1. </w:t>
      </w:r>
      <w:r>
        <w:rPr>
          <w:rFonts w:hint="eastAsia" w:ascii="仿宋_GB2312" w:hAnsi="仿宋_GB2312" w:eastAsia="仿宋_GB2312" w:cs="仿宋_GB2312"/>
          <w:sz w:val="32"/>
          <w:szCs w:val="32"/>
        </w:rPr>
        <w:t>教育支出（类）普通教育（款）学前教育（项）</w:t>
      </w:r>
      <w:r>
        <w:rPr>
          <w:rFonts w:hint="eastAsia" w:ascii="仿宋_GB2312" w:hAnsi="仿宋_GB2312" w:eastAsia="仿宋_GB2312" w:cs="仿宋_GB2312"/>
          <w:sz w:val="32"/>
          <w:szCs w:val="32"/>
          <w:lang w:val="en-US" w:eastAsia="zh-CN"/>
        </w:rPr>
        <w:t>2026</w:t>
      </w:r>
      <w:r>
        <w:rPr>
          <w:rFonts w:hint="eastAsia" w:ascii="仿宋_GB2312" w:hAnsi="仿宋_GB2312" w:eastAsia="仿宋_GB2312" w:cs="仿宋_GB2312"/>
          <w:sz w:val="32"/>
          <w:szCs w:val="32"/>
        </w:rPr>
        <w:t>年预算数为</w:t>
      </w:r>
      <w:r>
        <w:rPr>
          <w:rFonts w:hint="eastAsia" w:ascii="仿宋_GB2312" w:hAnsi="仿宋_GB2312" w:eastAsia="仿宋_GB2312" w:cs="仿宋_GB2312"/>
          <w:sz w:val="32"/>
          <w:szCs w:val="32"/>
          <w:lang w:val="en-US" w:eastAsia="zh-CN"/>
        </w:rPr>
        <w:t>160.34</w:t>
      </w:r>
      <w:r>
        <w:rPr>
          <w:rFonts w:hint="eastAsia" w:ascii="仿宋_GB2312" w:hAnsi="仿宋_GB2312" w:eastAsia="仿宋_GB2312" w:cs="仿宋_GB2312"/>
          <w:sz w:val="32"/>
          <w:szCs w:val="32"/>
        </w:rPr>
        <w:t>万元，比上年预算数</w:t>
      </w:r>
      <w:r>
        <w:rPr>
          <w:rFonts w:hint="eastAsia" w:ascii="仿宋_GB2312" w:hAnsi="仿宋_GB2312" w:eastAsia="仿宋_GB2312" w:cs="仿宋_GB2312"/>
          <w:sz w:val="32"/>
          <w:szCs w:val="32"/>
          <w:lang w:eastAsia="zh-CN"/>
        </w:rPr>
        <w:t>减少</w:t>
      </w:r>
      <w:r>
        <w:rPr>
          <w:rFonts w:hint="eastAsia" w:ascii="仿宋_GB2312" w:hAnsi="仿宋_GB2312" w:eastAsia="仿宋_GB2312" w:cs="仿宋_GB2312"/>
          <w:sz w:val="32"/>
          <w:szCs w:val="32"/>
          <w:lang w:val="en-US" w:eastAsia="zh-CN"/>
        </w:rPr>
        <w:t>39.31</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主要是人员减少</w:t>
      </w:r>
      <w:r>
        <w:rPr>
          <w:rFonts w:hint="eastAsia" w:ascii="仿宋_GB2312" w:hAnsi="仿宋_GB2312" w:eastAsia="仿宋_GB2312" w:cs="仿宋_GB2312"/>
          <w:sz w:val="32"/>
          <w:szCs w:val="32"/>
          <w:lang w:val="en-US" w:eastAsia="zh-CN"/>
        </w:rPr>
        <w:t>,经费减少</w:t>
      </w:r>
      <w:r>
        <w:rPr>
          <w:rFonts w:hint="eastAsia" w:ascii="仿宋_GB2312" w:hAnsi="仿宋_GB2312" w:eastAsia="仿宋_GB2312" w:cs="仿宋_GB2312"/>
          <w:sz w:val="32"/>
          <w:szCs w:val="32"/>
        </w:rPr>
        <w:t>。</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2.社会保障和就业支出（类）行政事业单位养老支出（款）机关事业单位基本养老保险缴费支出（项）202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年预算数为34.86万元，比上年预算数</w:t>
      </w:r>
      <w:r>
        <w:rPr>
          <w:rFonts w:hint="eastAsia" w:ascii="仿宋_GB2312" w:hAnsi="仿宋_GB2312" w:eastAsia="仿宋_GB2312" w:cs="仿宋_GB2312"/>
          <w:sz w:val="32"/>
          <w:szCs w:val="32"/>
          <w:lang w:eastAsia="zh-CN"/>
        </w:rPr>
        <w:t>减少</w:t>
      </w:r>
      <w:r>
        <w:rPr>
          <w:rFonts w:hint="eastAsia" w:ascii="仿宋_GB2312" w:hAnsi="仿宋_GB2312" w:eastAsia="仿宋_GB2312" w:cs="仿宋_GB2312"/>
          <w:sz w:val="32"/>
          <w:szCs w:val="32"/>
          <w:lang w:val="en-US" w:eastAsia="zh-CN"/>
        </w:rPr>
        <w:t>1.55</w:t>
      </w:r>
      <w:r>
        <w:rPr>
          <w:rFonts w:hint="eastAsia" w:ascii="仿宋_GB2312" w:hAnsi="仿宋_GB2312" w:eastAsia="仿宋_GB2312" w:cs="仿宋_GB2312"/>
          <w:sz w:val="32"/>
          <w:szCs w:val="32"/>
        </w:rPr>
        <w:t>万元，主要是</w:t>
      </w:r>
      <w:r>
        <w:rPr>
          <w:rFonts w:hint="eastAsia" w:ascii="仿宋_GB2312" w:hAnsi="仿宋_GB2312" w:eastAsia="仿宋_GB2312" w:cs="仿宋_GB2312"/>
          <w:sz w:val="32"/>
          <w:szCs w:val="32"/>
          <w:lang w:eastAsia="zh-CN"/>
        </w:rPr>
        <w:t>人员减少</w:t>
      </w:r>
      <w:r>
        <w:rPr>
          <w:rFonts w:hint="eastAsia" w:ascii="仿宋_GB2312" w:hAnsi="仿宋_GB2312" w:eastAsia="仿宋_GB2312" w:cs="仿宋_GB2312"/>
          <w:sz w:val="32"/>
          <w:szCs w:val="32"/>
          <w:lang w:val="en-US" w:eastAsia="zh-CN"/>
        </w:rPr>
        <w:t>,经费减少</w:t>
      </w:r>
      <w:r>
        <w:rPr>
          <w:rFonts w:hint="eastAsia" w:ascii="仿宋_GB2312" w:hAnsi="仿宋_GB2312" w:eastAsia="仿宋_GB2312" w:cs="仿宋_GB2312"/>
          <w:sz w:val="32"/>
          <w:szCs w:val="32"/>
        </w:rPr>
        <w:t>。</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3.卫生健康支出（类）行政事业单位医疗（款）事业单位医疗（项）202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年预算数为</w:t>
      </w:r>
      <w:r>
        <w:rPr>
          <w:rFonts w:hint="eastAsia" w:ascii="仿宋_GB2312" w:hAnsi="仿宋_GB2312" w:eastAsia="仿宋_GB2312" w:cs="仿宋_GB2312"/>
          <w:sz w:val="32"/>
          <w:szCs w:val="32"/>
          <w:lang w:val="en-US" w:eastAsia="zh-CN"/>
        </w:rPr>
        <w:t>7.68</w:t>
      </w:r>
      <w:r>
        <w:rPr>
          <w:rFonts w:hint="eastAsia" w:ascii="仿宋_GB2312" w:hAnsi="仿宋_GB2312" w:eastAsia="仿宋_GB2312" w:cs="仿宋_GB2312"/>
          <w:sz w:val="32"/>
          <w:szCs w:val="32"/>
        </w:rPr>
        <w:t>万元，公务员医疗补助（项）202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年预算数为</w:t>
      </w:r>
      <w:r>
        <w:rPr>
          <w:rFonts w:hint="eastAsia" w:ascii="仿宋_GB2312" w:hAnsi="仿宋_GB2312" w:eastAsia="仿宋_GB2312" w:cs="仿宋_GB2312"/>
          <w:sz w:val="32"/>
          <w:szCs w:val="32"/>
          <w:lang w:val="en-US" w:eastAsia="zh-CN"/>
        </w:rPr>
        <w:t>13.37</w:t>
      </w:r>
      <w:r>
        <w:rPr>
          <w:rFonts w:hint="eastAsia" w:ascii="仿宋_GB2312" w:hAnsi="仿宋_GB2312" w:eastAsia="仿宋_GB2312" w:cs="仿宋_GB2312"/>
          <w:sz w:val="32"/>
          <w:szCs w:val="32"/>
        </w:rPr>
        <w:t>万元，其他行政事业单位医疗支出（项）202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年预算数为</w:t>
      </w:r>
      <w:r>
        <w:rPr>
          <w:rFonts w:hint="eastAsia" w:ascii="仿宋_GB2312" w:hAnsi="仿宋_GB2312" w:eastAsia="仿宋_GB2312" w:cs="仿宋_GB2312"/>
          <w:sz w:val="32"/>
          <w:szCs w:val="32"/>
          <w:lang w:val="en-US" w:eastAsia="zh-CN"/>
        </w:rPr>
        <w:t>0.71</w:t>
      </w:r>
      <w:r>
        <w:rPr>
          <w:rFonts w:hint="eastAsia" w:ascii="仿宋_GB2312" w:hAnsi="仿宋_GB2312" w:eastAsia="仿宋_GB2312" w:cs="仿宋_GB2312"/>
          <w:sz w:val="32"/>
          <w:szCs w:val="32"/>
        </w:rPr>
        <w:t>万元，合计：</w:t>
      </w:r>
      <w:r>
        <w:rPr>
          <w:rFonts w:hint="eastAsia" w:ascii="仿宋_GB2312" w:hAnsi="仿宋_GB2312" w:eastAsia="仿宋_GB2312" w:cs="仿宋_GB2312"/>
          <w:sz w:val="32"/>
          <w:szCs w:val="32"/>
          <w:lang w:val="en-US" w:eastAsia="zh-CN"/>
        </w:rPr>
        <w:t>21.76</w:t>
      </w:r>
      <w:r>
        <w:rPr>
          <w:rFonts w:hint="eastAsia" w:ascii="仿宋_GB2312" w:hAnsi="仿宋_GB2312" w:eastAsia="仿宋_GB2312" w:cs="仿宋_GB2312"/>
          <w:sz w:val="32"/>
          <w:szCs w:val="32"/>
        </w:rPr>
        <w:t>，比上年预算数</w:t>
      </w:r>
      <w:r>
        <w:rPr>
          <w:rFonts w:hint="eastAsia" w:ascii="仿宋_GB2312" w:hAnsi="仿宋_GB2312" w:eastAsia="仿宋_GB2312" w:cs="仿宋_GB2312"/>
          <w:sz w:val="32"/>
          <w:szCs w:val="32"/>
          <w:lang w:eastAsia="zh-CN"/>
        </w:rPr>
        <w:t>减少</w:t>
      </w:r>
      <w:r>
        <w:rPr>
          <w:rFonts w:hint="eastAsia" w:ascii="仿宋_GB2312" w:hAnsi="仿宋_GB2312" w:eastAsia="仿宋_GB2312" w:cs="仿宋_GB2312"/>
          <w:sz w:val="32"/>
          <w:szCs w:val="32"/>
          <w:lang w:val="en-US" w:eastAsia="zh-CN"/>
        </w:rPr>
        <w:t>5.38</w:t>
      </w:r>
      <w:r>
        <w:rPr>
          <w:rFonts w:hint="eastAsia" w:ascii="仿宋_GB2312" w:hAnsi="仿宋_GB2312" w:eastAsia="仿宋_GB2312" w:cs="仿宋_GB2312"/>
          <w:sz w:val="32"/>
          <w:szCs w:val="32"/>
        </w:rPr>
        <w:t>万元，主要是</w:t>
      </w:r>
      <w:r>
        <w:rPr>
          <w:rFonts w:hint="eastAsia" w:ascii="仿宋_GB2312" w:hAnsi="仿宋_GB2312" w:eastAsia="仿宋_GB2312" w:cs="仿宋_GB2312"/>
          <w:sz w:val="32"/>
          <w:szCs w:val="32"/>
          <w:lang w:eastAsia="zh-CN"/>
        </w:rPr>
        <w:t>人员减少</w:t>
      </w:r>
      <w:r>
        <w:rPr>
          <w:rFonts w:hint="eastAsia" w:ascii="仿宋_GB2312" w:hAnsi="仿宋_GB2312" w:eastAsia="仿宋_GB2312" w:cs="仿宋_GB2312"/>
          <w:sz w:val="32"/>
          <w:szCs w:val="32"/>
          <w:lang w:val="en-US" w:eastAsia="zh-CN"/>
        </w:rPr>
        <w:t>,经费减少</w:t>
      </w:r>
      <w:r>
        <w:rPr>
          <w:rFonts w:hint="eastAsia" w:ascii="仿宋_GB2312" w:hAnsi="仿宋_GB2312" w:eastAsia="仿宋_GB2312" w:cs="仿宋_GB2312"/>
          <w:sz w:val="32"/>
          <w:szCs w:val="32"/>
        </w:rPr>
        <w:t>。</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4.住房保障支出（类）住房改革支出（款）住房公积金（项）202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年预算数为16.44</w:t>
      </w:r>
      <w:r>
        <w:rPr>
          <w:rFonts w:hint="eastAsia" w:ascii="仿宋_GB2312" w:hAnsi="仿宋_GB2312" w:eastAsia="仿宋_GB2312" w:cs="仿宋_GB2312"/>
          <w:sz w:val="32"/>
          <w:szCs w:val="32"/>
          <w:lang w:val="en-US" w:eastAsia="zh-CN"/>
        </w:rPr>
        <w:t xml:space="preserve">  21.81</w:t>
      </w:r>
      <w:r>
        <w:rPr>
          <w:rFonts w:hint="eastAsia" w:ascii="仿宋_GB2312" w:hAnsi="仿宋_GB2312" w:eastAsia="仿宋_GB2312" w:cs="仿宋_GB2312"/>
          <w:sz w:val="32"/>
          <w:szCs w:val="32"/>
        </w:rPr>
        <w:t>万元，比上年预算数</w:t>
      </w:r>
      <w:r>
        <w:rPr>
          <w:rFonts w:hint="eastAsia" w:ascii="仿宋_GB2312" w:hAnsi="仿宋_GB2312" w:eastAsia="仿宋_GB2312" w:cs="仿宋_GB2312"/>
          <w:sz w:val="32"/>
          <w:szCs w:val="32"/>
          <w:lang w:eastAsia="zh-CN"/>
        </w:rPr>
        <w:t>减少</w:t>
      </w:r>
      <w:r>
        <w:rPr>
          <w:rFonts w:hint="eastAsia" w:ascii="仿宋_GB2312" w:hAnsi="仿宋_GB2312" w:eastAsia="仿宋_GB2312" w:cs="仿宋_GB2312"/>
          <w:sz w:val="32"/>
          <w:szCs w:val="32"/>
          <w:lang w:val="en-US" w:eastAsia="zh-CN"/>
        </w:rPr>
        <w:t>5.37</w:t>
      </w:r>
      <w:r>
        <w:rPr>
          <w:rFonts w:hint="eastAsia" w:ascii="仿宋_GB2312" w:hAnsi="仿宋_GB2312" w:eastAsia="仿宋_GB2312" w:cs="仿宋_GB2312"/>
          <w:sz w:val="32"/>
          <w:szCs w:val="32"/>
        </w:rPr>
        <w:t>万元，主要是</w:t>
      </w:r>
      <w:r>
        <w:rPr>
          <w:rFonts w:hint="eastAsia" w:ascii="仿宋_GB2312" w:hAnsi="仿宋_GB2312" w:eastAsia="仿宋_GB2312" w:cs="仿宋_GB2312"/>
          <w:sz w:val="32"/>
          <w:szCs w:val="32"/>
          <w:lang w:eastAsia="zh-CN"/>
        </w:rPr>
        <w:t>人员减少</w:t>
      </w:r>
      <w:r>
        <w:rPr>
          <w:rFonts w:hint="eastAsia" w:ascii="仿宋_GB2312" w:hAnsi="仿宋_GB2312" w:eastAsia="仿宋_GB2312" w:cs="仿宋_GB2312"/>
          <w:sz w:val="32"/>
          <w:szCs w:val="32"/>
          <w:lang w:val="en-US" w:eastAsia="zh-CN"/>
        </w:rPr>
        <w:t>,经费减少</w:t>
      </w:r>
      <w:r>
        <w:rPr>
          <w:rFonts w:hint="eastAsia" w:ascii="仿宋_GB2312" w:hAnsi="仿宋_GB2312" w:eastAsia="仿宋_GB2312" w:cs="仿宋_GB2312"/>
          <w:sz w:val="32"/>
          <w:szCs w:val="32"/>
        </w:rPr>
        <w:t>。</w:t>
      </w:r>
    </w:p>
    <w:p>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黑体" w:hAnsi="黑体" w:eastAsia="黑体"/>
          <w:sz w:val="32"/>
          <w:szCs w:val="32"/>
          <w:u w:val="none"/>
        </w:rPr>
      </w:pPr>
      <w:r>
        <w:rPr>
          <w:rFonts w:hint="eastAsia" w:ascii="黑体" w:hAnsi="黑体" w:eastAsia="黑体"/>
          <w:sz w:val="32"/>
          <w:szCs w:val="32"/>
          <w:u w:val="none"/>
        </w:rPr>
        <w:t>三、一般公共预算基本支出情况说明</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rPr>
        <w:t>屯昌县南坤镇中心幼儿园</w:t>
      </w:r>
      <w:r>
        <w:rPr>
          <w:rFonts w:hint="eastAsia" w:ascii="仿宋_GB2312" w:hAnsi="仿宋_GB2312" w:eastAsia="仿宋_GB2312" w:cs="仿宋_GB2312"/>
          <w:sz w:val="32"/>
          <w:szCs w:val="32"/>
          <w:u w:val="none"/>
          <w:lang w:val="en-US" w:eastAsia="zh-CN"/>
        </w:rPr>
        <w:t>2026</w:t>
      </w:r>
      <w:r>
        <w:rPr>
          <w:rFonts w:hint="eastAsia" w:ascii="仿宋_GB2312" w:hAnsi="仿宋_GB2312" w:eastAsia="仿宋_GB2312" w:cs="仿宋_GB2312"/>
          <w:sz w:val="32"/>
          <w:szCs w:val="32"/>
          <w:u w:val="none"/>
        </w:rPr>
        <w:t>年一般公共预算基本支出为229.09万元，其中：</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u w:val="none"/>
        </w:rPr>
        <w:t>人员经费227.56万元，主要包括：</w:t>
      </w:r>
      <w:r>
        <w:rPr>
          <w:rFonts w:hint="eastAsia" w:ascii="仿宋_GB2312" w:hAnsi="仿宋_GB2312" w:eastAsia="仿宋_GB2312" w:cs="仿宋_GB2312"/>
          <w:sz w:val="32"/>
          <w:szCs w:val="32"/>
        </w:rPr>
        <w:t>基本工资、津贴补贴、绩效工资、机关事业单位基本养老保险缴费、职工基本医疗保险缴费、公务员医疗补助缴费、其他社会保障缴费、住房公积金、医疗费、邮电费;</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rPr>
      </w:pPr>
      <w:r>
        <w:rPr>
          <w:rFonts w:hint="eastAsia" w:ascii="仿宋_GB2312" w:hAnsi="仿宋_GB2312" w:eastAsia="仿宋_GB2312" w:cs="仿宋_GB2312"/>
          <w:sz w:val="32"/>
          <w:szCs w:val="32"/>
          <w:u w:val="none"/>
        </w:rPr>
        <w:t>公用经费1.53万元，</w:t>
      </w:r>
      <w:r>
        <w:rPr>
          <w:rFonts w:hint="eastAsia" w:ascii="仿宋_GB2312" w:hAnsi="仿宋_GB2312" w:eastAsia="仿宋_GB2312" w:cs="仿宋_GB2312"/>
          <w:sz w:val="32"/>
          <w:szCs w:val="32"/>
        </w:rPr>
        <w:t>主要包括：工会经费。</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黑体" w:hAnsi="黑体" w:eastAsia="黑体" w:cs="Times New Roman"/>
          <w:sz w:val="32"/>
          <w:szCs w:val="32"/>
          <w:u w:val="none"/>
          <w:shd w:val="clear" w:color="auto" w:fill="FFFFFF"/>
        </w:rPr>
      </w:pPr>
      <w:r>
        <w:rPr>
          <w:rFonts w:hint="eastAsia" w:ascii="黑体" w:hAnsi="黑体" w:eastAsia="黑体" w:cs="Times New Roman"/>
          <w:sz w:val="32"/>
          <w:szCs w:val="32"/>
          <w:u w:val="none"/>
          <w:shd w:val="clear" w:color="auto" w:fill="FFFFFF"/>
        </w:rPr>
        <w:t>四、</w:t>
      </w:r>
      <w:r>
        <w:rPr>
          <w:rFonts w:ascii="黑体" w:hAnsi="黑体" w:eastAsia="黑体" w:cs="Times New Roman"/>
          <w:sz w:val="32"/>
          <w:szCs w:val="32"/>
          <w:u w:val="none"/>
          <w:shd w:val="clear" w:color="auto" w:fill="FFFFFF"/>
        </w:rPr>
        <w:t>“三公”经费预算情况</w:t>
      </w:r>
      <w:r>
        <w:rPr>
          <w:rFonts w:hint="eastAsia" w:ascii="黑体" w:hAnsi="黑体" w:eastAsia="黑体" w:cs="Times New Roman"/>
          <w:sz w:val="32"/>
          <w:szCs w:val="32"/>
          <w:u w:val="none"/>
          <w:shd w:val="clear" w:color="auto" w:fill="FFFFFF"/>
        </w:rPr>
        <w:t>说明</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u w:val="none"/>
        </w:rPr>
      </w:pPr>
      <w:r>
        <w:rPr>
          <w:rFonts w:hint="eastAsia" w:ascii="仿宋_GB2312" w:hAnsi="黑体" w:eastAsia="仿宋_GB2312"/>
          <w:sz w:val="32"/>
          <w:szCs w:val="32"/>
          <w:u w:val="none"/>
        </w:rPr>
        <w:t>（一）</w:t>
      </w:r>
      <w:r>
        <w:rPr>
          <w:rFonts w:hint="eastAsia" w:ascii="仿宋_GB2312" w:hAnsi="黑体" w:eastAsia="仿宋_GB2312"/>
          <w:sz w:val="32"/>
          <w:szCs w:val="32"/>
        </w:rPr>
        <w:t>屯昌县南坤镇中心幼儿园</w:t>
      </w:r>
      <w:r>
        <w:rPr>
          <w:rFonts w:hint="eastAsia" w:ascii="仿宋_GB2312" w:hAnsi="黑体" w:eastAsia="仿宋_GB2312"/>
          <w:sz w:val="32"/>
          <w:szCs w:val="32"/>
          <w:u w:val="none"/>
          <w:lang w:val="en-US" w:eastAsia="zh-CN"/>
        </w:rPr>
        <w:t>2026</w:t>
      </w:r>
      <w:r>
        <w:rPr>
          <w:rFonts w:hint="eastAsia" w:ascii="仿宋_GB2312" w:hAnsi="黑体" w:eastAsia="仿宋_GB2312"/>
          <w:sz w:val="32"/>
          <w:szCs w:val="32"/>
          <w:u w:val="none"/>
        </w:rPr>
        <w:t>年一般公共预算“三公”经费预算数为</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万元，其中：</w:t>
      </w:r>
    </w:p>
    <w:p>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hint="eastAsia" w:ascii="仿宋_GB2312" w:hAnsi="黑体" w:eastAsia="仿宋_GB2312"/>
          <w:sz w:val="32"/>
          <w:szCs w:val="32"/>
        </w:rPr>
      </w:pPr>
      <w:r>
        <w:rPr>
          <w:rFonts w:hint="eastAsia" w:ascii="仿宋_GB2312" w:hAnsi="黑体" w:eastAsia="仿宋_GB2312"/>
          <w:sz w:val="32"/>
          <w:szCs w:val="32"/>
        </w:rPr>
        <w:t>因公出国（境）经费0</w:t>
      </w:r>
      <w:r>
        <w:rPr>
          <w:rFonts w:hint="eastAsia" w:ascii="仿宋_GB2312" w:hAnsi="黑体" w:eastAsia="仿宋_GB2312"/>
          <w:sz w:val="32"/>
          <w:szCs w:val="32"/>
        </w:rPr>
        <w:t>万元，与上年预算持平。</w:t>
      </w:r>
    </w:p>
    <w:p>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hint="eastAsia" w:ascii="仿宋_GB2312" w:hAnsi="黑体" w:eastAsia="仿宋_GB2312"/>
          <w:sz w:val="32"/>
          <w:szCs w:val="32"/>
        </w:rPr>
      </w:pPr>
      <w:r>
        <w:rPr>
          <w:rFonts w:hint="eastAsia" w:ascii="仿宋_GB2312" w:hAnsi="黑体" w:eastAsia="仿宋_GB2312"/>
          <w:sz w:val="32"/>
          <w:szCs w:val="32"/>
        </w:rPr>
        <w:t>公务用车购置及运行费0</w:t>
      </w:r>
      <w:r>
        <w:rPr>
          <w:rFonts w:hint="eastAsia" w:ascii="仿宋_GB2312" w:hAnsi="黑体" w:eastAsia="仿宋_GB2312"/>
          <w:sz w:val="32"/>
          <w:szCs w:val="32"/>
        </w:rPr>
        <w:t>万元，与上年预算持平。</w:t>
      </w:r>
    </w:p>
    <w:p>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Times New Roman" w:hAnsi="Times New Roman" w:eastAsia="仿宋_GB2312" w:cs="Times New Roman"/>
          <w:sz w:val="32"/>
          <w:shd w:val="clear" w:color="auto" w:fill="FFFFFF"/>
        </w:rPr>
      </w:pPr>
      <w:r>
        <w:rPr>
          <w:rFonts w:hint="eastAsia" w:ascii="仿宋_GB2312" w:hAnsi="黑体" w:eastAsia="仿宋_GB2312"/>
          <w:sz w:val="32"/>
          <w:szCs w:val="32"/>
        </w:rPr>
        <w:t>公务接待费0万元，与上年预算持平。</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u w:val="none"/>
        </w:rPr>
      </w:pPr>
      <w:r>
        <w:rPr>
          <w:rFonts w:hint="eastAsia" w:ascii="仿宋_GB2312" w:hAnsi="黑体" w:eastAsia="仿宋_GB2312"/>
          <w:sz w:val="32"/>
          <w:szCs w:val="32"/>
          <w:u w:val="none"/>
        </w:rPr>
        <w:t>（二）</w:t>
      </w:r>
      <w:r>
        <w:rPr>
          <w:rFonts w:hint="eastAsia" w:ascii="仿宋_GB2312" w:hAnsi="黑体" w:eastAsia="仿宋_GB2312"/>
          <w:sz w:val="32"/>
          <w:szCs w:val="32"/>
        </w:rPr>
        <w:t>屯昌县南坤镇中心幼儿园</w:t>
      </w:r>
      <w:r>
        <w:rPr>
          <w:rFonts w:hint="eastAsia" w:ascii="仿宋_GB2312" w:hAnsi="黑体" w:eastAsia="仿宋_GB2312"/>
          <w:sz w:val="32"/>
          <w:szCs w:val="32"/>
          <w:u w:val="none"/>
          <w:lang w:eastAsia="zh-CN"/>
        </w:rPr>
        <w:t>2</w:t>
      </w:r>
      <w:r>
        <w:rPr>
          <w:rFonts w:hint="eastAsia" w:ascii="仿宋_GB2312" w:hAnsi="黑体" w:eastAsia="仿宋_GB2312"/>
          <w:sz w:val="32"/>
          <w:szCs w:val="32"/>
          <w:u w:val="none"/>
          <w:lang w:val="en-US" w:eastAsia="zh-CN"/>
        </w:rPr>
        <w:t>026</w:t>
      </w:r>
      <w:r>
        <w:rPr>
          <w:rFonts w:hint="eastAsia" w:ascii="仿宋_GB2312" w:hAnsi="黑体" w:eastAsia="仿宋_GB2312"/>
          <w:sz w:val="32"/>
          <w:szCs w:val="32"/>
          <w:u w:val="none"/>
        </w:rPr>
        <w:t>年政府性基金预算“三公”经费预算数为</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万元，其中：</w:t>
      </w:r>
    </w:p>
    <w:p>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hint="eastAsia" w:ascii="仿宋_GB2312" w:hAnsi="黑体" w:eastAsia="仿宋_GB2312"/>
          <w:sz w:val="32"/>
          <w:szCs w:val="32"/>
        </w:rPr>
      </w:pPr>
      <w:r>
        <w:rPr>
          <w:rFonts w:hint="eastAsia" w:ascii="仿宋_GB2312" w:hAnsi="黑体" w:eastAsia="仿宋_GB2312"/>
          <w:sz w:val="32"/>
          <w:szCs w:val="32"/>
        </w:rPr>
        <w:t>因公出国（境）经费0</w:t>
      </w:r>
      <w:r>
        <w:rPr>
          <w:rFonts w:hint="eastAsia" w:ascii="仿宋_GB2312" w:hAnsi="黑体" w:eastAsia="仿宋_GB2312"/>
          <w:sz w:val="32"/>
          <w:szCs w:val="32"/>
        </w:rPr>
        <w:t>万元，与上年预算持平。</w:t>
      </w:r>
    </w:p>
    <w:p>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hint="eastAsia" w:ascii="仿宋_GB2312" w:hAnsi="黑体" w:eastAsia="仿宋_GB2312"/>
          <w:sz w:val="32"/>
          <w:szCs w:val="32"/>
        </w:rPr>
      </w:pPr>
      <w:r>
        <w:rPr>
          <w:rFonts w:hint="eastAsia" w:ascii="仿宋_GB2312" w:hAnsi="黑体" w:eastAsia="仿宋_GB2312"/>
          <w:sz w:val="32"/>
          <w:szCs w:val="32"/>
        </w:rPr>
        <w:t>公务用车购置及运行费0</w:t>
      </w:r>
      <w:r>
        <w:rPr>
          <w:rFonts w:hint="eastAsia" w:ascii="仿宋_GB2312" w:hAnsi="黑体" w:eastAsia="仿宋_GB2312"/>
          <w:sz w:val="32"/>
          <w:szCs w:val="32"/>
        </w:rPr>
        <w:t>万元，与上年预算持平</w:t>
      </w:r>
    </w:p>
    <w:p>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hint="eastAsia" w:ascii="仿宋_GB2312" w:hAnsi="黑体" w:eastAsia="仿宋_GB2312"/>
          <w:sz w:val="32"/>
          <w:szCs w:val="32"/>
        </w:rPr>
      </w:pPr>
      <w:r>
        <w:rPr>
          <w:rFonts w:hint="eastAsia" w:ascii="仿宋_GB2312" w:hAnsi="黑体" w:eastAsia="仿宋_GB2312"/>
          <w:sz w:val="32"/>
          <w:szCs w:val="32"/>
        </w:rPr>
        <w:t>公务接待费0万元，与上年预算持平。</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黑体" w:hAnsi="黑体" w:eastAsia="黑体" w:cs="Times New Roman"/>
          <w:sz w:val="32"/>
          <w:szCs w:val="32"/>
          <w:u w:val="none"/>
          <w:shd w:val="clear" w:color="auto" w:fill="FFFFFF"/>
        </w:rPr>
      </w:pPr>
      <w:r>
        <w:rPr>
          <w:rFonts w:hint="eastAsia" w:ascii="黑体" w:hAnsi="黑体" w:eastAsia="黑体" w:cs="Times New Roman"/>
          <w:sz w:val="32"/>
          <w:szCs w:val="32"/>
          <w:u w:val="none"/>
          <w:shd w:val="clear" w:color="auto" w:fill="FFFFFF"/>
        </w:rPr>
        <w:t>五、政府性基金预算当年拨款情况说明</w:t>
      </w:r>
    </w:p>
    <w:p>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楷体" w:hAnsi="楷体" w:eastAsia="楷体"/>
          <w:sz w:val="32"/>
          <w:szCs w:val="32"/>
          <w:u w:val="none"/>
        </w:rPr>
      </w:pPr>
      <w:r>
        <w:rPr>
          <w:rFonts w:hint="eastAsia" w:ascii="楷体" w:hAnsi="楷体" w:eastAsia="楷体"/>
          <w:sz w:val="32"/>
          <w:szCs w:val="32"/>
          <w:u w:val="none"/>
        </w:rPr>
        <w:t>（一）政府性基金预算当年规模变化情况</w:t>
      </w:r>
    </w:p>
    <w:p>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hint="eastAsia" w:ascii="仿宋_GB2312" w:hAnsi="黑体" w:eastAsia="仿宋_GB2312" w:cs="仿宋_GB2312"/>
          <w:sz w:val="32"/>
          <w:szCs w:val="32"/>
        </w:rPr>
      </w:pPr>
      <w:r>
        <w:rPr>
          <w:rFonts w:hint="eastAsia" w:ascii="仿宋_GB2312" w:hAnsi="黑体" w:eastAsia="仿宋_GB2312"/>
          <w:sz w:val="32"/>
          <w:szCs w:val="32"/>
        </w:rPr>
        <w:t>屯昌县南坤镇中心幼儿园</w:t>
      </w: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年政府性基金预算当年拨款</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hint="eastAsia" w:ascii="仿宋_GB2312" w:hAnsi="Times New Roman" w:eastAsia="仿宋_GB2312" w:cs="Times New Roman"/>
          <w:sz w:val="32"/>
          <w:shd w:val="clear" w:color="auto" w:fill="FFFFFF"/>
        </w:rPr>
        <w:t>与</w:t>
      </w:r>
      <w:r>
        <w:rPr>
          <w:rFonts w:hint="eastAsia" w:ascii="仿宋_GB2312" w:hAnsi="黑体" w:eastAsia="仿宋_GB2312"/>
          <w:sz w:val="32"/>
          <w:szCs w:val="32"/>
        </w:rPr>
        <w:t>上年预算</w:t>
      </w:r>
      <w:r>
        <w:rPr>
          <w:rFonts w:hint="eastAsia" w:ascii="仿宋_GB2312" w:hAnsi="黑体" w:eastAsia="仿宋_GB2312" w:cs="仿宋_GB2312"/>
          <w:sz w:val="32"/>
          <w:szCs w:val="32"/>
        </w:rPr>
        <w:t>持平。</w:t>
      </w:r>
    </w:p>
    <w:p>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楷体" w:hAnsi="楷体" w:eastAsia="楷体"/>
          <w:sz w:val="32"/>
          <w:szCs w:val="32"/>
          <w:u w:val="none"/>
        </w:rPr>
      </w:pPr>
      <w:r>
        <w:rPr>
          <w:rFonts w:hint="eastAsia" w:ascii="楷体" w:hAnsi="楷体" w:eastAsia="楷体"/>
          <w:sz w:val="32"/>
          <w:szCs w:val="32"/>
          <w:u w:val="none"/>
        </w:rPr>
        <w:t>（二）政府性基金预算当年拨款结构情况</w:t>
      </w:r>
    </w:p>
    <w:p>
      <w:pPr>
        <w:spacing w:line="600" w:lineRule="exact"/>
        <w:ind w:firstLine="800" w:firstLineChars="250"/>
        <w:rPr>
          <w:rFonts w:ascii="仿宋_GB2312" w:hAnsi="黑体" w:eastAsia="仿宋_GB2312"/>
          <w:sz w:val="32"/>
          <w:szCs w:val="32"/>
        </w:rPr>
      </w:pPr>
      <w:r>
        <w:rPr>
          <w:rFonts w:hint="eastAsia" w:ascii="仿宋_GB2312" w:hAnsi="黑体" w:eastAsia="仿宋_GB2312" w:cs="仿宋_GB2312"/>
          <w:sz w:val="32"/>
          <w:szCs w:val="32"/>
        </w:rPr>
        <w:t>无</w:t>
      </w:r>
    </w:p>
    <w:p>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楷体" w:hAnsi="楷体" w:eastAsia="楷体"/>
          <w:sz w:val="32"/>
          <w:szCs w:val="32"/>
          <w:u w:val="none"/>
        </w:rPr>
      </w:pPr>
      <w:r>
        <w:rPr>
          <w:rFonts w:hint="eastAsia" w:ascii="楷体" w:hAnsi="楷体" w:eastAsia="楷体"/>
          <w:sz w:val="32"/>
          <w:szCs w:val="32"/>
          <w:u w:val="none"/>
        </w:rPr>
        <w:t>（三）政府性基金预算当年拨款具体使用情况</w:t>
      </w:r>
    </w:p>
    <w:p>
      <w:pPr>
        <w:spacing w:line="600" w:lineRule="exact"/>
        <w:ind w:firstLine="800" w:firstLineChars="250"/>
        <w:rPr>
          <w:rFonts w:ascii="仿宋_GB2312" w:hAnsi="黑体" w:eastAsia="仿宋_GB2312"/>
          <w:sz w:val="32"/>
          <w:szCs w:val="32"/>
        </w:rPr>
      </w:pPr>
      <w:r>
        <w:rPr>
          <w:rFonts w:hint="eastAsia" w:ascii="仿宋_GB2312" w:hAnsi="黑体" w:eastAsia="仿宋_GB2312" w:cs="仿宋_GB2312"/>
          <w:sz w:val="32"/>
          <w:szCs w:val="32"/>
        </w:rPr>
        <w:t>无</w:t>
      </w:r>
    </w:p>
    <w:p>
      <w:pPr>
        <w:keepNext w:val="0"/>
        <w:keepLines w:val="0"/>
        <w:pageBreakBefore w:val="0"/>
        <w:numPr>
          <w:ilvl w:val="0"/>
          <w:numId w:val="4"/>
        </w:numPr>
        <w:kinsoku/>
        <w:wordWrap/>
        <w:overflowPunct/>
        <w:topLinePunct w:val="0"/>
        <w:autoSpaceDE/>
        <w:autoSpaceDN/>
        <w:bidi w:val="0"/>
        <w:adjustRightInd/>
        <w:snapToGrid/>
        <w:spacing w:line="590" w:lineRule="exact"/>
        <w:ind w:left="-10" w:leftChars="0" w:firstLine="640" w:firstLineChars="0"/>
        <w:jc w:val="both"/>
        <w:textAlignment w:val="auto"/>
        <w:rPr>
          <w:rFonts w:hint="eastAsia" w:ascii="黑体" w:hAnsi="黑体" w:eastAsia="黑体" w:cs="Times New Roman"/>
          <w:sz w:val="32"/>
          <w:szCs w:val="32"/>
          <w:u w:val="none"/>
          <w:shd w:val="clear" w:color="auto" w:fill="FFFFFF"/>
          <w:lang w:eastAsia="zh-CN"/>
        </w:rPr>
      </w:pPr>
      <w:r>
        <w:rPr>
          <w:rFonts w:hint="eastAsia" w:ascii="黑体" w:hAnsi="黑体" w:eastAsia="黑体" w:cs="Times New Roman"/>
          <w:sz w:val="32"/>
          <w:szCs w:val="32"/>
          <w:u w:val="none"/>
          <w:shd w:val="clear" w:color="auto" w:fill="FFFFFF"/>
          <w:lang w:eastAsia="zh-CN"/>
        </w:rPr>
        <w:t>国有资本经营预算当年拨款情况说明</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hAnsi="黑体" w:eastAsia="仿宋_GB2312"/>
          <w:sz w:val="32"/>
          <w:szCs w:val="32"/>
          <w:u w:val="none"/>
        </w:rPr>
      </w:pPr>
      <w:r>
        <w:rPr>
          <w:rFonts w:hint="eastAsia" w:ascii="仿宋_GB2312" w:hAnsi="黑体" w:eastAsia="仿宋_GB2312"/>
          <w:sz w:val="32"/>
          <w:szCs w:val="32"/>
          <w:u w:val="none"/>
          <w:lang w:eastAsia="zh-CN"/>
        </w:rPr>
        <w:t>屯昌县南坤镇中心幼儿园</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r>
        <w:rPr>
          <w:rFonts w:hint="eastAsia" w:ascii="仿宋_GB2312" w:hAnsi="黑体" w:eastAsia="仿宋_GB2312"/>
          <w:sz w:val="32"/>
          <w:szCs w:val="32"/>
          <w:u w:val="none"/>
          <w:lang w:eastAsia="zh-CN"/>
        </w:rPr>
        <w:t>国有资本经营</w:t>
      </w:r>
      <w:r>
        <w:rPr>
          <w:rFonts w:hint="eastAsia" w:ascii="仿宋_GB2312" w:hAnsi="黑体" w:eastAsia="仿宋_GB2312"/>
          <w:sz w:val="32"/>
          <w:szCs w:val="32"/>
          <w:u w:val="none"/>
        </w:rPr>
        <w:t>预算当年拨款</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与上年持平。</w:t>
      </w:r>
    </w:p>
    <w:p>
      <w:pPr>
        <w:keepNext w:val="0"/>
        <w:keepLines w:val="0"/>
        <w:pageBreakBefore w:val="0"/>
        <w:numPr>
          <w:ilvl w:val="0"/>
          <w:numId w:val="4"/>
        </w:numPr>
        <w:kinsoku/>
        <w:wordWrap/>
        <w:overflowPunct/>
        <w:topLinePunct w:val="0"/>
        <w:autoSpaceDE/>
        <w:autoSpaceDN/>
        <w:bidi w:val="0"/>
        <w:adjustRightInd/>
        <w:snapToGrid/>
        <w:spacing w:line="590" w:lineRule="exact"/>
        <w:ind w:left="-10" w:leftChars="0" w:firstLine="640" w:firstLineChars="0"/>
        <w:jc w:val="both"/>
        <w:textAlignment w:val="auto"/>
        <w:rPr>
          <w:rFonts w:hint="eastAsia" w:ascii="黑体" w:hAnsi="黑体" w:eastAsia="黑体" w:cs="Times New Roman"/>
          <w:sz w:val="32"/>
          <w:szCs w:val="32"/>
          <w:u w:val="none"/>
          <w:shd w:val="clear" w:color="auto" w:fill="FFFFFF"/>
        </w:rPr>
      </w:pPr>
      <w:r>
        <w:rPr>
          <w:rFonts w:hint="eastAsia" w:ascii="黑体" w:hAnsi="黑体" w:eastAsia="黑体" w:cs="Times New Roman"/>
          <w:sz w:val="32"/>
          <w:szCs w:val="32"/>
          <w:u w:val="none"/>
          <w:shd w:val="clear" w:color="auto" w:fill="FFFFFF"/>
        </w:rPr>
        <w:t>收支预算总体情况说明</w:t>
      </w:r>
    </w:p>
    <w:p>
      <w:pPr>
        <w:spacing w:line="600" w:lineRule="exact"/>
        <w:ind w:firstLine="640" w:firstLineChars="200"/>
        <w:rPr>
          <w:rFonts w:ascii="仿宋_GB2312" w:hAnsi="黑体" w:eastAsia="仿宋_GB2312"/>
          <w:sz w:val="32"/>
          <w:szCs w:val="32"/>
        </w:rPr>
      </w:pPr>
      <w:r>
        <w:rPr>
          <w:rFonts w:hint="eastAsia" w:ascii="仿宋_GB2312" w:hAnsi="黑体" w:eastAsia="仿宋_GB2312" w:cs="仿宋_GB2312"/>
          <w:sz w:val="32"/>
          <w:szCs w:val="32"/>
        </w:rPr>
        <w:t>按照综合预算原则，</w:t>
      </w:r>
      <w:r>
        <w:rPr>
          <w:rFonts w:hint="eastAsia" w:ascii="仿宋_GB2312" w:hAnsi="黑体" w:eastAsia="仿宋_GB2312"/>
          <w:sz w:val="32"/>
          <w:szCs w:val="32"/>
        </w:rPr>
        <w:t>屯昌县南坤镇中心幼儿园</w:t>
      </w:r>
      <w:r>
        <w:rPr>
          <w:rFonts w:hint="eastAsia" w:ascii="仿宋_GB2312" w:hAnsi="黑体" w:eastAsia="仿宋_GB2312" w:cs="仿宋_GB2312"/>
          <w:sz w:val="32"/>
          <w:szCs w:val="32"/>
        </w:rPr>
        <w:t>所有收入和支出均纳入部门预算管理。收入包括：一般公共预算收入</w:t>
      </w:r>
      <w:r>
        <w:rPr>
          <w:rFonts w:hint="eastAsia" w:ascii="仿宋_GB2312" w:hAnsi="黑体" w:eastAsia="仿宋_GB2312"/>
          <w:sz w:val="32"/>
          <w:szCs w:val="32"/>
        </w:rPr>
        <w:t>；支出包括：教育支出、社会保障和就业支出、卫生健康支出、住房保障支出。屯昌县南坤镇中心幼儿园</w:t>
      </w: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年收支总预算</w:t>
      </w:r>
      <w:r>
        <w:rPr>
          <w:rFonts w:hint="eastAsia" w:ascii="仿宋_GB2312" w:hAnsi="黑体" w:eastAsia="仿宋_GB2312" w:cs="仿宋_GB2312"/>
          <w:sz w:val="32"/>
          <w:szCs w:val="32"/>
          <w:u w:val="none"/>
        </w:rPr>
        <w:t>233.40</w:t>
      </w:r>
      <w:r>
        <w:rPr>
          <w:rFonts w:hint="eastAsia" w:ascii="仿宋_GB2312" w:hAnsi="黑体" w:eastAsia="仿宋_GB2312"/>
          <w:sz w:val="32"/>
          <w:szCs w:val="32"/>
        </w:rPr>
        <w:t>万元。</w:t>
      </w:r>
    </w:p>
    <w:p>
      <w:pPr>
        <w:keepNext w:val="0"/>
        <w:keepLines w:val="0"/>
        <w:pageBreakBefore w:val="0"/>
        <w:numPr>
          <w:ilvl w:val="0"/>
          <w:numId w:val="4"/>
        </w:numPr>
        <w:kinsoku/>
        <w:wordWrap/>
        <w:overflowPunct/>
        <w:topLinePunct w:val="0"/>
        <w:autoSpaceDE/>
        <w:autoSpaceDN/>
        <w:bidi w:val="0"/>
        <w:adjustRightInd/>
        <w:snapToGrid/>
        <w:spacing w:line="590" w:lineRule="exact"/>
        <w:ind w:left="-10" w:leftChars="0" w:firstLine="640" w:firstLineChars="0"/>
        <w:jc w:val="both"/>
        <w:textAlignment w:val="auto"/>
        <w:rPr>
          <w:rFonts w:hint="eastAsia" w:ascii="黑体" w:hAnsi="黑体" w:eastAsia="黑体" w:cs="Times New Roman"/>
          <w:sz w:val="32"/>
          <w:szCs w:val="32"/>
          <w:u w:val="none"/>
          <w:shd w:val="clear" w:color="auto" w:fill="FFFFFF"/>
        </w:rPr>
      </w:pPr>
      <w:r>
        <w:rPr>
          <w:rFonts w:hint="eastAsia" w:ascii="黑体" w:hAnsi="黑体" w:eastAsia="黑体" w:cs="Times New Roman"/>
          <w:sz w:val="32"/>
          <w:szCs w:val="32"/>
          <w:u w:val="none"/>
          <w:shd w:val="clear" w:color="auto" w:fill="FFFFFF"/>
        </w:rPr>
        <w:t>收入预算情况说明</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屯昌县南坤镇中心幼儿园</w:t>
      </w: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年收入预算</w:t>
      </w:r>
      <w:r>
        <w:rPr>
          <w:rFonts w:hint="eastAsia" w:ascii="仿宋_GB2312" w:hAnsi="黑体" w:eastAsia="仿宋_GB2312" w:cs="仿宋_GB2312"/>
          <w:sz w:val="32"/>
          <w:szCs w:val="32"/>
          <w:u w:val="none"/>
        </w:rPr>
        <w:t>233.40</w:t>
      </w:r>
      <w:r>
        <w:rPr>
          <w:rFonts w:hint="eastAsia" w:ascii="仿宋_GB2312" w:hAnsi="黑体" w:eastAsia="仿宋_GB2312"/>
          <w:sz w:val="32"/>
          <w:szCs w:val="32"/>
        </w:rPr>
        <w:t>万元，其中：一般公共预算收入</w:t>
      </w:r>
      <w:r>
        <w:rPr>
          <w:rFonts w:hint="eastAsia" w:ascii="仿宋_GB2312" w:hAnsi="黑体" w:eastAsia="仿宋_GB2312"/>
          <w:sz w:val="32"/>
          <w:szCs w:val="32"/>
          <w:lang w:val="en-US" w:eastAsia="zh-CN"/>
        </w:rPr>
        <w:t xml:space="preserve">230.25 </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98.65</w:t>
      </w:r>
      <w:r>
        <w:rPr>
          <w:rFonts w:hint="eastAsia" w:ascii="仿宋_GB2312" w:hAnsi="黑体" w:eastAsia="仿宋_GB2312"/>
          <w:sz w:val="32"/>
          <w:szCs w:val="32"/>
        </w:rPr>
        <w:t>%；上年结转</w:t>
      </w:r>
      <w:r>
        <w:rPr>
          <w:rFonts w:hint="eastAsia" w:ascii="仿宋_GB2312" w:hAnsi="黑体" w:eastAsia="仿宋_GB2312" w:cs="仿宋_GB2312"/>
          <w:sz w:val="32"/>
          <w:szCs w:val="32"/>
          <w:lang w:val="en-US" w:eastAsia="zh-CN"/>
        </w:rPr>
        <w:t>3.15</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1.35</w:t>
      </w:r>
      <w:r>
        <w:rPr>
          <w:rFonts w:hint="eastAsia" w:ascii="仿宋_GB2312" w:hAnsi="黑体" w:eastAsia="仿宋_GB2312"/>
          <w:sz w:val="32"/>
          <w:szCs w:val="32"/>
        </w:rPr>
        <w:t>%；比上年预算数</w:t>
      </w:r>
      <w:r>
        <w:rPr>
          <w:rFonts w:hint="eastAsia" w:ascii="仿宋_GB2312" w:hAnsi="黑体" w:eastAsia="仿宋_GB2312"/>
          <w:sz w:val="32"/>
          <w:szCs w:val="32"/>
          <w:lang w:eastAsia="zh-CN"/>
        </w:rPr>
        <w:t>减少</w:t>
      </w:r>
      <w:r>
        <w:rPr>
          <w:rFonts w:hint="eastAsia" w:ascii="仿宋_GB2312" w:hAnsi="黑体" w:eastAsia="仿宋_GB2312"/>
          <w:sz w:val="32"/>
          <w:szCs w:val="32"/>
          <w:lang w:val="en-US" w:eastAsia="zh-CN"/>
        </w:rPr>
        <w:t>51.6</w:t>
      </w:r>
      <w:r>
        <w:rPr>
          <w:rFonts w:hint="eastAsia" w:ascii="仿宋_GB2312" w:hAnsi="黑体" w:eastAsia="仿宋_GB2312" w:cs="仿宋_GB2312"/>
          <w:sz w:val="32"/>
          <w:szCs w:val="32"/>
        </w:rPr>
        <w:t>万元，</w:t>
      </w:r>
      <w:r>
        <w:rPr>
          <w:rFonts w:hint="eastAsia" w:ascii="仿宋_GB2312" w:hAnsi="黑体" w:eastAsia="仿宋_GB2312"/>
          <w:sz w:val="32"/>
          <w:szCs w:val="32"/>
          <w:lang w:eastAsia="zh-CN"/>
        </w:rPr>
        <w:t>人员减少</w:t>
      </w:r>
      <w:r>
        <w:rPr>
          <w:rFonts w:hint="eastAsia" w:ascii="仿宋_GB2312" w:hAnsi="黑体" w:eastAsia="仿宋_GB2312"/>
          <w:sz w:val="32"/>
          <w:szCs w:val="32"/>
          <w:lang w:val="en-US" w:eastAsia="zh-CN"/>
        </w:rPr>
        <w:t>,经费减少</w:t>
      </w:r>
      <w:r>
        <w:rPr>
          <w:rFonts w:hint="eastAsia" w:ascii="仿宋_GB2312" w:hAnsi="黑体" w:eastAsia="仿宋_GB2312"/>
          <w:sz w:val="32"/>
          <w:szCs w:val="32"/>
        </w:rPr>
        <w:t>。</w:t>
      </w:r>
    </w:p>
    <w:p>
      <w:pPr>
        <w:keepNext w:val="0"/>
        <w:keepLines w:val="0"/>
        <w:pageBreakBefore w:val="0"/>
        <w:numPr>
          <w:ilvl w:val="0"/>
          <w:numId w:val="4"/>
        </w:numPr>
        <w:kinsoku/>
        <w:wordWrap/>
        <w:overflowPunct/>
        <w:topLinePunct w:val="0"/>
        <w:autoSpaceDE/>
        <w:autoSpaceDN/>
        <w:bidi w:val="0"/>
        <w:adjustRightInd/>
        <w:snapToGrid/>
        <w:spacing w:line="590" w:lineRule="exact"/>
        <w:ind w:left="-10" w:leftChars="0" w:firstLine="640" w:firstLineChars="0"/>
        <w:jc w:val="both"/>
        <w:textAlignment w:val="auto"/>
        <w:rPr>
          <w:rFonts w:hint="eastAsia" w:ascii="黑体" w:hAnsi="黑体" w:eastAsia="黑体" w:cs="Times New Roman"/>
          <w:sz w:val="32"/>
          <w:szCs w:val="32"/>
          <w:u w:val="none"/>
          <w:shd w:val="clear" w:color="auto" w:fill="FFFFFF"/>
        </w:rPr>
      </w:pPr>
      <w:r>
        <w:rPr>
          <w:rFonts w:hint="eastAsia" w:ascii="黑体" w:hAnsi="黑体" w:eastAsia="黑体" w:cs="Times New Roman"/>
          <w:sz w:val="32"/>
          <w:szCs w:val="32"/>
          <w:u w:val="none"/>
          <w:shd w:val="clear" w:color="auto" w:fill="FFFFFF"/>
        </w:rPr>
        <w:t>支出预算情况说明</w:t>
      </w:r>
    </w:p>
    <w:p>
      <w:pPr>
        <w:spacing w:line="600" w:lineRule="exact"/>
        <w:ind w:firstLine="640" w:firstLineChars="200"/>
        <w:rPr>
          <w:rFonts w:hint="eastAsia" w:ascii="仿宋_GB2312" w:hAnsi="黑体" w:eastAsia="仿宋_GB2312" w:cs="仿宋_GB2312"/>
          <w:sz w:val="32"/>
          <w:szCs w:val="32"/>
        </w:rPr>
      </w:pPr>
      <w:r>
        <w:rPr>
          <w:rFonts w:hint="eastAsia" w:ascii="仿宋_GB2312" w:hAnsi="黑体" w:eastAsia="仿宋_GB2312"/>
          <w:sz w:val="32"/>
          <w:szCs w:val="32"/>
        </w:rPr>
        <w:t>屯昌县南坤镇中心幼儿园</w:t>
      </w: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年支出预算</w:t>
      </w:r>
      <w:r>
        <w:rPr>
          <w:rFonts w:hint="eastAsia" w:ascii="仿宋_GB2312" w:hAnsi="黑体" w:eastAsia="仿宋_GB2312" w:cs="仿宋_GB2312"/>
          <w:sz w:val="32"/>
          <w:szCs w:val="32"/>
          <w:u w:val="none"/>
        </w:rPr>
        <w:t>233.40</w:t>
      </w:r>
      <w:r>
        <w:rPr>
          <w:rFonts w:hint="eastAsia" w:ascii="仿宋_GB2312" w:hAnsi="黑体" w:eastAsia="仿宋_GB2312"/>
          <w:sz w:val="32"/>
          <w:szCs w:val="32"/>
        </w:rPr>
        <w:t>万元，其中：基本支出</w:t>
      </w:r>
      <w:r>
        <w:rPr>
          <w:rFonts w:hint="eastAsia" w:ascii="仿宋_GB2312" w:hAnsi="黑体" w:eastAsia="仿宋_GB2312"/>
          <w:sz w:val="32"/>
          <w:szCs w:val="32"/>
          <w:lang w:val="en-US" w:eastAsia="zh-CN"/>
        </w:rPr>
        <w:t xml:space="preserve">229.09 </w:t>
      </w:r>
      <w:r>
        <w:rPr>
          <w:rFonts w:hint="eastAsia" w:ascii="仿宋_GB2312" w:hAnsi="黑体" w:eastAsia="仿宋_GB2312"/>
          <w:sz w:val="32"/>
          <w:szCs w:val="32"/>
        </w:rPr>
        <w:t>，占</w:t>
      </w:r>
      <w:r>
        <w:rPr>
          <w:rFonts w:hint="eastAsia" w:ascii="仿宋_GB2312" w:hAnsi="黑体" w:eastAsia="仿宋_GB2312" w:cs="仿宋_GB2312"/>
          <w:sz w:val="32"/>
          <w:szCs w:val="32"/>
          <w:lang w:val="en-US" w:eastAsia="zh-CN"/>
        </w:rPr>
        <w:t>98.15</w:t>
      </w:r>
      <w:r>
        <w:rPr>
          <w:rFonts w:hint="eastAsia" w:ascii="仿宋_GB2312" w:hAnsi="黑体" w:eastAsia="仿宋_GB2312"/>
          <w:sz w:val="32"/>
          <w:szCs w:val="32"/>
        </w:rPr>
        <w:t>%；项目支出</w:t>
      </w:r>
      <w:r>
        <w:rPr>
          <w:rFonts w:hint="eastAsia" w:ascii="仿宋_GB2312" w:hAnsi="黑体" w:eastAsia="仿宋_GB2312"/>
          <w:sz w:val="32"/>
          <w:szCs w:val="32"/>
          <w:lang w:val="en-US" w:eastAsia="zh-CN"/>
        </w:rPr>
        <w:t>4.31</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1.85</w:t>
      </w:r>
      <w:r>
        <w:rPr>
          <w:rFonts w:hint="eastAsia" w:ascii="仿宋_GB2312" w:hAnsi="黑体" w:eastAsia="仿宋_GB2312"/>
          <w:sz w:val="32"/>
          <w:szCs w:val="32"/>
        </w:rPr>
        <w:t>%。比上年预算数</w:t>
      </w:r>
      <w:r>
        <w:rPr>
          <w:rFonts w:hint="eastAsia" w:ascii="仿宋_GB2312" w:hAnsi="黑体" w:eastAsia="仿宋_GB2312"/>
          <w:sz w:val="32"/>
          <w:szCs w:val="32"/>
          <w:lang w:eastAsia="zh-CN"/>
        </w:rPr>
        <w:t>减少</w:t>
      </w:r>
      <w:r>
        <w:rPr>
          <w:rFonts w:hint="eastAsia" w:ascii="仿宋_GB2312" w:hAnsi="黑体" w:eastAsia="仿宋_GB2312"/>
          <w:sz w:val="32"/>
          <w:szCs w:val="32"/>
          <w:lang w:val="en-US" w:eastAsia="zh-CN"/>
        </w:rPr>
        <w:t>51.6</w:t>
      </w:r>
      <w:r>
        <w:rPr>
          <w:rFonts w:hint="eastAsia" w:ascii="仿宋_GB2312" w:hAnsi="黑体" w:eastAsia="仿宋_GB2312" w:cs="仿宋_GB2312"/>
          <w:sz w:val="32"/>
          <w:szCs w:val="32"/>
        </w:rPr>
        <w:t>万元，</w:t>
      </w:r>
      <w:r>
        <w:rPr>
          <w:rFonts w:hint="eastAsia" w:ascii="仿宋_GB2312" w:hAnsi="黑体" w:eastAsia="仿宋_GB2312"/>
          <w:sz w:val="32"/>
          <w:szCs w:val="32"/>
          <w:lang w:eastAsia="zh-CN"/>
        </w:rPr>
        <w:t>人员减少</w:t>
      </w:r>
      <w:r>
        <w:rPr>
          <w:rFonts w:hint="eastAsia" w:ascii="仿宋_GB2312" w:hAnsi="黑体" w:eastAsia="仿宋_GB2312"/>
          <w:sz w:val="32"/>
          <w:szCs w:val="32"/>
          <w:lang w:val="en-US" w:eastAsia="zh-CN"/>
        </w:rPr>
        <w:t>,经费减少</w:t>
      </w:r>
      <w:r>
        <w:rPr>
          <w:rFonts w:hint="eastAsia" w:ascii="仿宋_GB2312" w:hAnsi="黑体" w:eastAsia="仿宋_GB2312"/>
          <w:sz w:val="32"/>
          <w:szCs w:val="32"/>
        </w:rPr>
        <w:t>。</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黑体" w:hAnsi="黑体" w:eastAsia="黑体" w:cs="Times New Roman"/>
          <w:sz w:val="32"/>
          <w:szCs w:val="32"/>
          <w:u w:val="none"/>
          <w:shd w:val="clear" w:color="auto" w:fill="FFFFFF"/>
        </w:rPr>
      </w:pPr>
      <w:r>
        <w:rPr>
          <w:rFonts w:hint="eastAsia" w:ascii="黑体" w:hAnsi="黑体" w:eastAsia="黑体" w:cs="Times New Roman"/>
          <w:sz w:val="32"/>
          <w:szCs w:val="32"/>
          <w:u w:val="none"/>
          <w:shd w:val="clear" w:color="auto" w:fill="FFFFFF"/>
          <w:lang w:eastAsia="zh-CN"/>
        </w:rPr>
        <w:t>十</w:t>
      </w:r>
      <w:r>
        <w:rPr>
          <w:rFonts w:hint="eastAsia" w:ascii="黑体" w:hAnsi="黑体" w:eastAsia="黑体" w:cs="Times New Roman"/>
          <w:sz w:val="32"/>
          <w:szCs w:val="32"/>
          <w:u w:val="none"/>
          <w:shd w:val="clear" w:color="auto" w:fill="FFFFFF"/>
        </w:rPr>
        <w:t>、其他重要事项的情况说明</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楷体" w:hAnsi="楷体" w:eastAsia="楷体"/>
          <w:sz w:val="32"/>
          <w:szCs w:val="32"/>
          <w:u w:val="none"/>
        </w:rPr>
      </w:pPr>
      <w:r>
        <w:rPr>
          <w:rFonts w:hint="eastAsia" w:ascii="楷体" w:hAnsi="楷体" w:eastAsia="楷体"/>
          <w:sz w:val="32"/>
          <w:szCs w:val="32"/>
          <w:u w:val="none"/>
        </w:rPr>
        <w:t>（一）机关运行经费</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楷体" w:hAnsi="楷体" w:eastAsia="楷体"/>
          <w:sz w:val="32"/>
          <w:szCs w:val="32"/>
          <w:u w:val="none"/>
        </w:rPr>
      </w:pP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年屯昌县南坤镇中心幼儿园</w:t>
      </w:r>
      <w:r>
        <w:rPr>
          <w:rFonts w:hint="eastAsia" w:ascii="仿宋_GB2312" w:hAnsi="黑体" w:eastAsia="仿宋_GB2312" w:cs="仿宋_GB2312"/>
          <w:sz w:val="32"/>
          <w:szCs w:val="32"/>
        </w:rPr>
        <w:t>无</w:t>
      </w:r>
      <w:r>
        <w:rPr>
          <w:rFonts w:hint="eastAsia" w:ascii="仿宋_GB2312" w:hAnsi="黑体" w:eastAsia="仿宋_GB2312"/>
          <w:sz w:val="32"/>
          <w:szCs w:val="32"/>
        </w:rPr>
        <w:t>机关运行经费</w:t>
      </w:r>
      <w:r>
        <w:rPr>
          <w:rFonts w:hint="eastAsia" w:ascii="仿宋_GB2312" w:hAnsi="黑体" w:eastAsia="仿宋_GB2312"/>
          <w:sz w:val="32"/>
          <w:szCs w:val="32"/>
          <w:lang w:eastAsia="zh-CN"/>
        </w:rPr>
        <w:t>。</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楷体" w:hAnsi="楷体" w:eastAsia="楷体"/>
          <w:sz w:val="32"/>
          <w:szCs w:val="32"/>
          <w:u w:val="none"/>
        </w:rPr>
      </w:pPr>
      <w:r>
        <w:rPr>
          <w:rFonts w:hint="eastAsia" w:ascii="楷体" w:hAnsi="楷体" w:eastAsia="楷体"/>
          <w:sz w:val="32"/>
          <w:szCs w:val="32"/>
          <w:u w:val="none"/>
        </w:rPr>
        <w:t>（二）政府采购情况</w:t>
      </w:r>
    </w:p>
    <w:p>
      <w:pPr>
        <w:spacing w:line="600" w:lineRule="exact"/>
        <w:ind w:firstLine="640"/>
        <w:rPr>
          <w:rFonts w:ascii="仿宋_GB2312" w:hAnsi="黑体" w:eastAsia="仿宋_GB2312"/>
          <w:sz w:val="32"/>
          <w:szCs w:val="32"/>
        </w:rPr>
      </w:pP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年屯昌县南坤镇中心幼儿园</w:t>
      </w:r>
      <w:r>
        <w:rPr>
          <w:rFonts w:hint="eastAsia" w:ascii="仿宋_GB2312" w:hAnsi="黑体" w:eastAsia="仿宋_GB2312" w:cs="仿宋_GB2312"/>
          <w:sz w:val="32"/>
          <w:szCs w:val="32"/>
        </w:rPr>
        <w:t>无政府采购预算</w:t>
      </w:r>
      <w:r>
        <w:rPr>
          <w:rFonts w:hint="eastAsia" w:ascii="仿宋_GB2312" w:hAnsi="黑体" w:eastAsia="仿宋_GB2312"/>
          <w:sz w:val="32"/>
          <w:szCs w:val="32"/>
        </w:rPr>
        <w:t>。</w:t>
      </w:r>
    </w:p>
    <w:p>
      <w:pPr>
        <w:keepNext w:val="0"/>
        <w:keepLines w:val="0"/>
        <w:pageBreakBefore w:val="0"/>
        <w:numPr>
          <w:ilvl w:val="0"/>
          <w:numId w:val="5"/>
        </w:numPr>
        <w:kinsoku/>
        <w:wordWrap/>
        <w:overflowPunct/>
        <w:topLinePunct w:val="0"/>
        <w:autoSpaceDE/>
        <w:autoSpaceDN/>
        <w:bidi w:val="0"/>
        <w:adjustRightInd/>
        <w:snapToGrid/>
        <w:spacing w:line="590" w:lineRule="exact"/>
        <w:ind w:firstLine="640" w:firstLineChars="200"/>
        <w:jc w:val="both"/>
        <w:textAlignment w:val="auto"/>
        <w:rPr>
          <w:rFonts w:hint="default" w:ascii="楷体" w:hAnsi="楷体" w:eastAsia="楷体"/>
          <w:sz w:val="32"/>
          <w:szCs w:val="32"/>
          <w:u w:val="none"/>
          <w:lang w:val="en-US" w:eastAsia="zh-CN"/>
        </w:rPr>
      </w:pPr>
      <w:r>
        <w:rPr>
          <w:rFonts w:hint="eastAsia" w:ascii="楷体" w:hAnsi="楷体" w:eastAsia="楷体"/>
          <w:sz w:val="32"/>
          <w:szCs w:val="32"/>
          <w:u w:val="none"/>
        </w:rPr>
        <w:t>国有资产占有使用情况</w:t>
      </w:r>
    </w:p>
    <w:p>
      <w:pPr>
        <w:spacing w:line="600" w:lineRule="exact"/>
        <w:ind w:firstLine="640" w:firstLineChars="200"/>
        <w:rPr>
          <w:rFonts w:hint="eastAsia" w:ascii="仿宋_GB2312" w:hAnsi="黑体" w:eastAsia="仿宋_GB2312" w:cs="仿宋_GB2312"/>
          <w:sz w:val="32"/>
          <w:szCs w:val="32"/>
          <w:u w:val="none"/>
        </w:rPr>
      </w:pPr>
      <w:r>
        <w:rPr>
          <w:rFonts w:hint="eastAsia" w:ascii="仿宋_GB2312" w:hAnsi="黑体" w:eastAsia="仿宋_GB2312" w:cs="仿宋_GB2312"/>
          <w:sz w:val="32"/>
          <w:szCs w:val="32"/>
          <w:highlight w:val="none"/>
          <w:u w:val="none"/>
        </w:rPr>
        <w:t>截至</w:t>
      </w:r>
      <w:r>
        <w:rPr>
          <w:rFonts w:hint="eastAsia" w:ascii="仿宋_GB2312" w:hAnsi="黑体" w:eastAsia="仿宋_GB2312" w:cs="仿宋_GB2312"/>
          <w:sz w:val="32"/>
          <w:szCs w:val="32"/>
          <w:highlight w:val="none"/>
          <w:u w:val="none"/>
          <w:lang w:val="en-US" w:eastAsia="zh-CN"/>
        </w:rPr>
        <w:t>2025</w:t>
      </w:r>
      <w:r>
        <w:rPr>
          <w:rFonts w:hint="eastAsia" w:ascii="仿宋_GB2312" w:hAnsi="黑体" w:eastAsia="仿宋_GB2312"/>
          <w:sz w:val="32"/>
          <w:szCs w:val="32"/>
          <w:highlight w:val="none"/>
          <w:u w:val="none"/>
        </w:rPr>
        <w:t>年12月31日，</w:t>
      </w:r>
      <w:r>
        <w:rPr>
          <w:rFonts w:hint="eastAsia" w:ascii="仿宋_GB2312" w:hAnsi="黑体" w:eastAsia="仿宋_GB2312"/>
          <w:sz w:val="32"/>
          <w:szCs w:val="32"/>
        </w:rPr>
        <w:t>屯昌县南坤镇中心幼儿园</w:t>
      </w:r>
      <w:r>
        <w:rPr>
          <w:rFonts w:hint="eastAsia" w:ascii="仿宋_GB2312" w:hAnsi="黑体" w:eastAsia="仿宋_GB2312" w:cs="仿宋_GB2312"/>
          <w:sz w:val="32"/>
          <w:szCs w:val="32"/>
        </w:rPr>
        <w:t>本级及下属各预算单位共有车辆0辆，其中，领导干部用车0辆，机要通信应急用车0辆、一般执法执勤用车0辆、特种专业技术用车0辆、其他用车0辆。单位价值100万元以上设备0台（套）。</w:t>
      </w:r>
    </w:p>
    <w:p>
      <w:pPr>
        <w:keepNext w:val="0"/>
        <w:keepLines w:val="0"/>
        <w:pageBreakBefore w:val="0"/>
        <w:widowControl/>
        <w:kinsoku/>
        <w:wordWrap/>
        <w:overflowPunct/>
        <w:topLinePunct w:val="0"/>
        <w:autoSpaceDE/>
        <w:autoSpaceDN/>
        <w:bidi w:val="0"/>
        <w:adjustRightInd/>
        <w:snapToGrid/>
        <w:spacing w:line="590" w:lineRule="exact"/>
        <w:ind w:firstLine="640" w:firstLineChars="200"/>
        <w:jc w:val="both"/>
        <w:textAlignment w:val="auto"/>
        <w:rPr>
          <w:rFonts w:ascii="楷体" w:hAnsi="楷体" w:eastAsia="楷体"/>
          <w:sz w:val="32"/>
          <w:szCs w:val="32"/>
          <w:u w:val="none"/>
        </w:rPr>
      </w:pPr>
      <w:r>
        <w:rPr>
          <w:rFonts w:hint="eastAsia" w:ascii="楷体" w:hAnsi="楷体" w:eastAsia="楷体"/>
          <w:sz w:val="32"/>
          <w:szCs w:val="32"/>
          <w:u w:val="none"/>
        </w:rPr>
        <w:t>（四）</w:t>
      </w:r>
      <w:r>
        <w:rPr>
          <w:rFonts w:hint="eastAsia" w:ascii="楷体" w:hAnsi="楷体" w:eastAsia="楷体" w:cs="黑体"/>
          <w:i w:val="0"/>
          <w:caps w:val="0"/>
          <w:spacing w:val="0"/>
          <w:kern w:val="2"/>
          <w:sz w:val="32"/>
          <w:szCs w:val="32"/>
          <w:lang w:val="en-US" w:eastAsia="zh-CN" w:bidi="ar"/>
        </w:rPr>
        <w:t>绩效目标设置及重点项目绩效目标说明</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202</w:t>
      </w:r>
      <w:r>
        <w:rPr>
          <w:rFonts w:hint="eastAsia" w:ascii="仿宋_GB2312" w:hAnsi="黑体" w:eastAsia="仿宋_GB2312"/>
          <w:sz w:val="32"/>
          <w:szCs w:val="32"/>
          <w:lang w:val="en-US" w:eastAsia="zh-CN"/>
        </w:rPr>
        <w:t>6</w:t>
      </w:r>
      <w:r>
        <w:rPr>
          <w:rFonts w:hint="eastAsia" w:ascii="仿宋_GB2312" w:hAnsi="黑体" w:eastAsia="仿宋_GB2312"/>
          <w:sz w:val="32"/>
          <w:szCs w:val="32"/>
        </w:rPr>
        <w:t>年屯昌县</w:t>
      </w:r>
      <w:r>
        <w:rPr>
          <w:rFonts w:hint="eastAsia" w:ascii="仿宋_GB2312" w:hAnsi="黑体" w:eastAsia="仿宋_GB2312"/>
          <w:sz w:val="32"/>
          <w:szCs w:val="32"/>
          <w:lang w:eastAsia="zh-CN"/>
        </w:rPr>
        <w:t>南坤镇</w:t>
      </w:r>
      <w:r>
        <w:rPr>
          <w:rFonts w:hint="eastAsia" w:ascii="仿宋_GB2312" w:hAnsi="黑体" w:eastAsia="仿宋_GB2312"/>
          <w:sz w:val="32"/>
          <w:szCs w:val="32"/>
        </w:rPr>
        <w:t>中心幼儿园1</w:t>
      </w:r>
      <w:r>
        <w:rPr>
          <w:rFonts w:hint="eastAsia" w:ascii="仿宋_GB2312" w:hAnsi="黑体" w:eastAsia="仿宋_GB2312"/>
          <w:sz w:val="32"/>
          <w:szCs w:val="32"/>
          <w:lang w:val="en-US" w:eastAsia="zh-CN"/>
        </w:rPr>
        <w:t>2</w:t>
      </w:r>
      <w:r>
        <w:rPr>
          <w:rFonts w:hint="eastAsia" w:ascii="仿宋_GB2312" w:hAnsi="黑体" w:eastAsia="仿宋_GB2312"/>
          <w:sz w:val="32"/>
          <w:szCs w:val="32"/>
        </w:rPr>
        <w:t>个项目实行绩效目标管理，涉及一般公共预算</w:t>
      </w:r>
      <w:r>
        <w:rPr>
          <w:rFonts w:hint="eastAsia" w:ascii="仿宋_GB2312" w:hAnsi="黑体" w:eastAsia="仿宋_GB2312"/>
          <w:sz w:val="32"/>
          <w:szCs w:val="32"/>
          <w:lang w:val="en-US" w:eastAsia="zh-CN"/>
        </w:rPr>
        <w:t>230.25</w:t>
      </w:r>
      <w:r>
        <w:rPr>
          <w:rFonts w:hint="eastAsia" w:ascii="仿宋_GB2312" w:hAnsi="黑体" w:eastAsia="仿宋_GB2312"/>
          <w:sz w:val="32"/>
          <w:szCs w:val="32"/>
        </w:rPr>
        <w:t>万元，政府性基金0万元。</w:t>
      </w:r>
    </w:p>
    <w:p>
      <w:pPr>
        <w:keepNext w:val="0"/>
        <w:keepLines w:val="0"/>
        <w:pageBreakBefore w:val="0"/>
        <w:kinsoku/>
        <w:wordWrap/>
        <w:overflowPunct/>
        <w:topLinePunct w:val="0"/>
        <w:autoSpaceDE/>
        <w:autoSpaceDN/>
        <w:bidi w:val="0"/>
        <w:adjustRightInd/>
        <w:snapToGrid/>
        <w:spacing w:line="590" w:lineRule="exact"/>
        <w:jc w:val="both"/>
        <w:textAlignment w:val="auto"/>
        <w:rPr>
          <w:rFonts w:hint="eastAsia" w:ascii="黑体" w:hAnsi="黑体" w:eastAsia="黑体"/>
          <w:b w:val="0"/>
          <w:bCs/>
          <w:sz w:val="32"/>
          <w:szCs w:val="32"/>
          <w:u w:val="none"/>
        </w:rPr>
      </w:pPr>
    </w:p>
    <w:p>
      <w:pPr>
        <w:keepNext w:val="0"/>
        <w:keepLines w:val="0"/>
        <w:pageBreakBefore w:val="0"/>
        <w:kinsoku/>
        <w:wordWrap/>
        <w:overflowPunct/>
        <w:topLinePunct w:val="0"/>
        <w:autoSpaceDE/>
        <w:autoSpaceDN/>
        <w:bidi w:val="0"/>
        <w:adjustRightInd/>
        <w:snapToGrid/>
        <w:spacing w:line="590" w:lineRule="exact"/>
        <w:jc w:val="both"/>
        <w:textAlignment w:val="auto"/>
        <w:rPr>
          <w:rFonts w:ascii="黑体" w:hAnsi="黑体" w:eastAsia="黑体"/>
          <w:b w:val="0"/>
          <w:bCs/>
          <w:sz w:val="32"/>
          <w:szCs w:val="32"/>
          <w:u w:val="none"/>
        </w:rPr>
      </w:pPr>
      <w:r>
        <w:rPr>
          <w:rFonts w:hint="eastAsia" w:ascii="黑体" w:hAnsi="黑体" w:eastAsia="黑体"/>
          <w:b w:val="0"/>
          <w:bCs/>
          <w:sz w:val="32"/>
          <w:szCs w:val="32"/>
          <w:u w:val="none"/>
        </w:rPr>
        <w:t>第四部分  名词解释</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eastAsia="仿宋_GB2312" w:cs="宋体"/>
          <w:bCs/>
          <w:color w:val="000000"/>
          <w:kern w:val="0"/>
          <w:sz w:val="32"/>
          <w:szCs w:val="32"/>
          <w:u w:val="none"/>
          <w:lang w:val="zh-CN"/>
        </w:rPr>
      </w:pP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一、财政拨款收入：指本级财政当年拨付的资金。</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二、一般公共预算拨款收入：指用于反映税收收</w:t>
      </w:r>
      <w:bookmarkStart w:id="0" w:name="_GoBack"/>
      <w:bookmarkEnd w:id="0"/>
      <w:r>
        <w:rPr>
          <w:rFonts w:hint="eastAsia" w:ascii="仿宋_GB2312" w:hAnsi="宋体" w:eastAsia="仿宋_GB2312" w:cs="宋体"/>
          <w:color w:val="000000"/>
          <w:kern w:val="0"/>
          <w:sz w:val="32"/>
          <w:szCs w:val="32"/>
          <w:u w:val="none"/>
        </w:rPr>
        <w:t>入、专项收入、行政事业性收费收入、罚没收入、国有资源（资产）有偿使用收入、政府住房基金收入、捐赠收入等财政收入。</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lang w:eastAsia="zh-CN"/>
        </w:rPr>
      </w:pPr>
      <w:r>
        <w:rPr>
          <w:rFonts w:hint="eastAsia" w:ascii="仿宋_GB2312" w:hAnsi="宋体" w:eastAsia="仿宋_GB2312" w:cs="宋体"/>
          <w:color w:val="000000"/>
          <w:kern w:val="0"/>
          <w:sz w:val="32"/>
          <w:szCs w:val="32"/>
          <w:u w:val="none"/>
        </w:rPr>
        <w:t>三、政府性基金预算拨款收入：指是用于反映政府为支持某项事业发展或特定基础设施建设，依法依规向公民、法人和其他组织征收的以及出让土地、发行彩票等方式取得的具有专门用途的资金</w:t>
      </w:r>
      <w:r>
        <w:rPr>
          <w:rFonts w:hint="eastAsia" w:ascii="仿宋_GB2312" w:hAnsi="宋体" w:eastAsia="仿宋_GB2312" w:cs="宋体"/>
          <w:color w:val="000000"/>
          <w:kern w:val="0"/>
          <w:sz w:val="32"/>
          <w:szCs w:val="32"/>
          <w:u w:val="none"/>
          <w:lang w:eastAsia="zh-CN"/>
        </w:rPr>
        <w:t>。</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 xml:space="preserve">四、事业收入：指用于反映事业单位开展专业业务活动及辅助活动所取得的收入。 </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五、事业单位经营收入：指用于反映事业单位在专业活动及辅助活动之外开展非独立核算经营活动取得的收入。</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六、其他收入：指除上述“财政拨款收入”“事业收入”“经营收入”等以外的收入。</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七、上年结转：指以前年度尚未完成、结转到本年按有关规定继续使用的资金。</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八、基本支出：指行政事业单位用于为保障其机构正常运转、完成日常工作任务而发生的人员支出和公用支出。</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九、工资福利支出：反映单位开支的在职职工和编制外长期聘用人员的各类劳动报酬，以及为上述人员缴纳的各项社会保险费等。</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十、对个人和家庭的补助支出：反映政府用于对个人和家庭的补助支出，包括离休费、退休费、退职（役）费、抚恤金、生活补助、救济费、医疗费补助、助学金、独生子女奖励金、其他等。</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十一、商品和服务支出：反映单位购买商品和服务的支出，包括办公费、水费、电费、邮电费、培训费、公务用车运行维护费、差旅费、因公出国（境）费用、公务接待费、工会经费、会议费、福利费、物业管理费、维修（护）费、其他等。</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十二、项目支出：指各部门、各单位为完成其特定的工作任务和事业发展目标所发生的支出。</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w:t>
      </w:r>
      <w:r>
        <w:rPr>
          <w:rFonts w:hint="eastAsia" w:ascii="仿宋_GB2312" w:hAnsi="宋体" w:eastAsia="仿宋_GB2312" w:cs="宋体"/>
          <w:color w:val="000000"/>
          <w:kern w:val="0"/>
          <w:sz w:val="32"/>
          <w:szCs w:val="32"/>
          <w:u w:val="none"/>
          <w:lang w:eastAsia="zh-CN"/>
        </w:rPr>
        <w:t>、</w:t>
      </w:r>
      <w:r>
        <w:rPr>
          <w:rFonts w:hint="eastAsia" w:ascii="仿宋_GB2312" w:hAnsi="宋体" w:eastAsia="仿宋_GB2312" w:cs="宋体"/>
          <w:color w:val="000000"/>
          <w:kern w:val="0"/>
          <w:sz w:val="32"/>
          <w:szCs w:val="32"/>
          <w:u w:val="none"/>
          <w:lang w:val="en-US" w:eastAsia="zh-CN"/>
        </w:rPr>
        <w:t>1个月及以上租车费用</w:t>
      </w:r>
      <w:r>
        <w:rPr>
          <w:rFonts w:hint="eastAsia" w:ascii="仿宋_GB2312" w:hAnsi="宋体" w:eastAsia="仿宋_GB2312" w:cs="宋体"/>
          <w:color w:val="000000"/>
          <w:kern w:val="0"/>
          <w:sz w:val="32"/>
          <w:szCs w:val="32"/>
          <w:u w:val="none"/>
        </w:rPr>
        <w:t>等支出；公务接待费指单位按规定开支的各类公务接待（含外宾接待）支出。</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pPr>
        <w:keepNext w:val="0"/>
        <w:keepLines w:val="0"/>
        <w:pageBreakBefore w:val="0"/>
        <w:kinsoku/>
        <w:wordWrap/>
        <w:overflowPunct/>
        <w:topLinePunct w:val="0"/>
        <w:autoSpaceDE/>
        <w:autoSpaceDN/>
        <w:bidi w:val="0"/>
        <w:adjustRightInd/>
        <w:snapToGrid/>
        <w:spacing w:line="590" w:lineRule="exact"/>
        <w:ind w:firstLine="0" w:firstLineChars="0"/>
        <w:jc w:val="both"/>
        <w:textAlignment w:val="auto"/>
        <w:rPr>
          <w:rFonts w:ascii="仿宋_GB2312" w:hAnsi="黑体" w:eastAsia="仿宋_GB2312" w:cs="仿宋_GB2312"/>
          <w:sz w:val="32"/>
          <w:szCs w:val="32"/>
          <w:u w:val="none"/>
        </w:rPr>
      </w:pPr>
    </w:p>
    <w:p/>
    <w:sectPr>
      <w:footerReference r:id="rId3" w:type="default"/>
      <w:pgSz w:w="11906" w:h="16838"/>
      <w:pgMar w:top="1928" w:right="1474" w:bottom="1701" w:left="1587"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方正黑体_GBK">
    <w:altName w:val="微软雅黑"/>
    <w:panose1 w:val="02000000000000000000"/>
    <w:charset w:val="86"/>
    <w:family w:val="auto"/>
    <w:pitch w:val="default"/>
    <w:sig w:usb0="00000000" w:usb1="00000000" w:usb2="00082016" w:usb3="00000000" w:csb0="00040001" w:csb1="00000000"/>
  </w:font>
  <w:font w:name="方正仿宋_GBK">
    <w:altName w:val="微软雅黑"/>
    <w:panose1 w:val="02000000000000000000"/>
    <w:charset w:val="86"/>
    <w:family w:val="auto"/>
    <w:pitch w:val="default"/>
    <w:sig w:usb0="00000000" w:usb1="00000000"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793750" cy="327660"/>
              <wp:effectExtent l="0" t="0" r="0" b="0"/>
              <wp:wrapNone/>
              <wp:docPr id="1" name="文本框 1"/>
              <wp:cNvGraphicFramePr/>
              <a:graphic xmlns:a="http://schemas.openxmlformats.org/drawingml/2006/main">
                <a:graphicData uri="http://schemas.microsoft.com/office/word/2010/wordprocessingShape">
                  <wps:wsp>
                    <wps:cNvSpPr txBox="1"/>
                    <wps:spPr>
                      <a:xfrm>
                        <a:off x="0" y="0"/>
                        <a:ext cx="793750" cy="32766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ascii="宋体" w:hAnsi="宋体" w:eastAsia="宋体" w:cs="宋体"/>
                              <w:sz w:val="28"/>
                              <w:szCs w:val="28"/>
                              <w:lang w:eastAsia="zh-CN"/>
                            </w:rPr>
                          </w:pPr>
                          <w:r>
                            <w:rPr>
                              <w:rFonts w:hint="eastAsia" w:ascii="宋体" w:hAnsi="宋体" w:eastAsia="宋体" w:cs="宋体"/>
                              <w:sz w:val="28"/>
                              <w:szCs w:val="28"/>
                              <w:lang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xml:space="preserve"> —</w:t>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top:0pt;height:25.8pt;width:62.5pt;mso-position-horizontal:outside;mso-position-horizontal-relative:margin;z-index:251658240;mso-width-relative:page;mso-height-relative:page;" filled="f" stroked="f" coordsize="21600,21600" o:gfxdata="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szlru0wAAAAQBAAAPAAAAAAAA&#10;AAEAIAAAACIAAABkcnMvZG93bnJldi54bWxQSwECFAAUAAAACACHTuJApPngsRcCAAATBAAADgAA&#10;AAAAAAABACAAAAAiAQAAZHJzL2Uyb0RvYy54bWxQSwUGAAAAAAYABgBZAQAAqwUAAAAA&#10;">
              <v:fill on="f" focussize="0,0"/>
              <v:stroke on="f" weight="0.5pt"/>
              <v:imagedata o:title=""/>
              <o:lock v:ext="edit" aspectratio="f"/>
              <v:textbox inset="0mm,0mm,0mm,0mm">
                <w:txbxContent>
                  <w:p>
                    <w:pPr>
                      <w:pStyle w:val="2"/>
                      <w:rPr>
                        <w:rFonts w:hint="eastAsia" w:ascii="宋体" w:hAnsi="宋体" w:eastAsia="宋体" w:cs="宋体"/>
                        <w:sz w:val="28"/>
                        <w:szCs w:val="28"/>
                        <w:lang w:eastAsia="zh-CN"/>
                      </w:rPr>
                    </w:pPr>
                    <w:r>
                      <w:rPr>
                        <w:rFonts w:hint="eastAsia" w:ascii="宋体" w:hAnsi="宋体" w:eastAsia="宋体" w:cs="宋体"/>
                        <w:sz w:val="28"/>
                        <w:szCs w:val="28"/>
                        <w:lang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BDEEC51"/>
    <w:multiLevelType w:val="singleLevel"/>
    <w:tmpl w:val="DBDEEC51"/>
    <w:lvl w:ilvl="0" w:tentative="0">
      <w:start w:val="6"/>
      <w:numFmt w:val="chineseCounting"/>
      <w:suff w:val="nothing"/>
      <w:lvlText w:val="%1、"/>
      <w:lvlJc w:val="left"/>
      <w:pPr>
        <w:ind w:left="-10"/>
      </w:pPr>
      <w:rPr>
        <w:rFonts w:hint="eastAsia"/>
      </w:rPr>
    </w:lvl>
  </w:abstractNum>
  <w:abstractNum w:abstractNumId="1">
    <w:nsid w:val="E8083689"/>
    <w:multiLevelType w:val="singleLevel"/>
    <w:tmpl w:val="E8083689"/>
    <w:lvl w:ilvl="0" w:tentative="0">
      <w:start w:val="3"/>
      <w:numFmt w:val="chineseCounting"/>
      <w:suff w:val="nothing"/>
      <w:lvlText w:val="（%1）"/>
      <w:lvlJc w:val="left"/>
      <w:rPr>
        <w:rFonts w:hint="eastAsia"/>
      </w:rPr>
    </w:lvl>
  </w:abstractNum>
  <w:abstractNum w:abstractNumId="2">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6EA13D6C"/>
    <w:multiLevelType w:val="singleLevel"/>
    <w:tmpl w:val="6EA13D6C"/>
    <w:lvl w:ilvl="0" w:tentative="0">
      <w:start w:val="1"/>
      <w:numFmt w:val="chineseCounting"/>
      <w:suff w:val="nothing"/>
      <w:lvlText w:val="%1、"/>
      <w:lvlJc w:val="left"/>
      <w:rPr>
        <w:rFonts w:hint="eastAsia"/>
      </w:rPr>
    </w:lvl>
  </w:abstractNum>
  <w:num w:numId="1">
    <w:abstractNumId w:val="2"/>
  </w:num>
  <w:num w:numId="2">
    <w:abstractNumId w:val="3"/>
  </w:num>
  <w:num w:numId="3">
    <w:abstractNumId w:val="4"/>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D7F66E0"/>
    <w:rsid w:val="00715115"/>
    <w:rsid w:val="01CA1DDF"/>
    <w:rsid w:val="05F51D3C"/>
    <w:rsid w:val="06157EC0"/>
    <w:rsid w:val="07B70E31"/>
    <w:rsid w:val="09CA31C6"/>
    <w:rsid w:val="0B2D7ABB"/>
    <w:rsid w:val="0D060FB9"/>
    <w:rsid w:val="0D7F66E0"/>
    <w:rsid w:val="0E924F5B"/>
    <w:rsid w:val="0EC015A8"/>
    <w:rsid w:val="108C6734"/>
    <w:rsid w:val="10C5553E"/>
    <w:rsid w:val="11041B1F"/>
    <w:rsid w:val="12E5040D"/>
    <w:rsid w:val="12EB1210"/>
    <w:rsid w:val="136E5534"/>
    <w:rsid w:val="18187B11"/>
    <w:rsid w:val="1C2D0783"/>
    <w:rsid w:val="24B75444"/>
    <w:rsid w:val="25664BA0"/>
    <w:rsid w:val="28A05257"/>
    <w:rsid w:val="29B24444"/>
    <w:rsid w:val="2A9242DE"/>
    <w:rsid w:val="2C5D12D4"/>
    <w:rsid w:val="2DFD0B67"/>
    <w:rsid w:val="2FE16D9F"/>
    <w:rsid w:val="303A276D"/>
    <w:rsid w:val="30A97A92"/>
    <w:rsid w:val="32E52948"/>
    <w:rsid w:val="351A6927"/>
    <w:rsid w:val="366A269F"/>
    <w:rsid w:val="3ADC64E4"/>
    <w:rsid w:val="3B276CD4"/>
    <w:rsid w:val="3C0F6AEC"/>
    <w:rsid w:val="3F285DD1"/>
    <w:rsid w:val="415D6A9A"/>
    <w:rsid w:val="43862BDC"/>
    <w:rsid w:val="43B06B73"/>
    <w:rsid w:val="43BB50DC"/>
    <w:rsid w:val="44F72E9C"/>
    <w:rsid w:val="4B750D24"/>
    <w:rsid w:val="4B7F27A9"/>
    <w:rsid w:val="4CDB55F1"/>
    <w:rsid w:val="4CEE06EE"/>
    <w:rsid w:val="4E713DF8"/>
    <w:rsid w:val="50B642B3"/>
    <w:rsid w:val="53992EC5"/>
    <w:rsid w:val="542C1785"/>
    <w:rsid w:val="54DA6AD6"/>
    <w:rsid w:val="550D48EE"/>
    <w:rsid w:val="56661024"/>
    <w:rsid w:val="56A57284"/>
    <w:rsid w:val="59B336CB"/>
    <w:rsid w:val="59E33A57"/>
    <w:rsid w:val="5ABE603C"/>
    <w:rsid w:val="5B7A54CF"/>
    <w:rsid w:val="5D634A20"/>
    <w:rsid w:val="5E4732DB"/>
    <w:rsid w:val="5F9E4068"/>
    <w:rsid w:val="61AE3B2E"/>
    <w:rsid w:val="63B44946"/>
    <w:rsid w:val="64CF7A04"/>
    <w:rsid w:val="652762F5"/>
    <w:rsid w:val="69431959"/>
    <w:rsid w:val="6A7A3BE8"/>
    <w:rsid w:val="6B4C6E29"/>
    <w:rsid w:val="6C534E2A"/>
    <w:rsid w:val="6CDA142C"/>
    <w:rsid w:val="6CE03048"/>
    <w:rsid w:val="6D296ACB"/>
    <w:rsid w:val="7024568F"/>
    <w:rsid w:val="71707B43"/>
    <w:rsid w:val="725B16A0"/>
    <w:rsid w:val="731B53EB"/>
    <w:rsid w:val="74413DA3"/>
    <w:rsid w:val="76FA3963"/>
    <w:rsid w:val="78AA5AA9"/>
    <w:rsid w:val="7925307B"/>
    <w:rsid w:val="7972001C"/>
    <w:rsid w:val="7AE40BAF"/>
    <w:rsid w:val="7B463407"/>
    <w:rsid w:val="7B5138D4"/>
    <w:rsid w:val="7C9174CC"/>
    <w:rsid w:val="7ED03E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屯昌县（屯城镇）</Company>
  <Pages>1</Pages>
  <Words>0</Words>
  <Characters>0</Characters>
  <Lines>0</Lines>
  <Paragraphs>0</Paragraphs>
  <TotalTime>12</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2026-02-28T08:07:00Z</dcterms:created>
  <dc:creator>子净</dc:creator>
  <cp:lastModifiedBy>Administrator</cp:lastModifiedBy>
  <dcterms:modified xsi:type="dcterms:W3CDTF">2026-03-04T13:07:30Z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