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B1E48D">
      <w:pPr>
        <w:spacing w:line="560" w:lineRule="exact"/>
        <w:rPr>
          <w:sz w:val="84"/>
          <w:szCs w:val="84"/>
          <w:u w:val="none"/>
        </w:rPr>
      </w:pPr>
    </w:p>
    <w:p w14:paraId="60A5BDEB">
      <w:pPr>
        <w:spacing w:line="560" w:lineRule="exact"/>
        <w:rPr>
          <w:sz w:val="84"/>
          <w:szCs w:val="84"/>
          <w:u w:val="none"/>
        </w:rPr>
      </w:pPr>
    </w:p>
    <w:p w14:paraId="253582F0">
      <w:pPr>
        <w:spacing w:line="560" w:lineRule="exact"/>
        <w:rPr>
          <w:sz w:val="84"/>
          <w:szCs w:val="84"/>
          <w:u w:val="none"/>
        </w:rPr>
      </w:pPr>
    </w:p>
    <w:p w14:paraId="2D5EFA0D">
      <w:pPr>
        <w:spacing w:line="560" w:lineRule="exact"/>
        <w:rPr>
          <w:sz w:val="84"/>
          <w:szCs w:val="84"/>
          <w:u w:val="none"/>
        </w:rPr>
      </w:pPr>
    </w:p>
    <w:p w14:paraId="5A40312A">
      <w:pPr>
        <w:spacing w:line="560" w:lineRule="exact"/>
        <w:jc w:val="center"/>
        <w:rPr>
          <w:rFonts w:hint="eastAsia"/>
          <w:sz w:val="52"/>
          <w:szCs w:val="52"/>
          <w:u w:val="none"/>
          <w:lang w:val="en-US" w:eastAsia="zh-CN"/>
        </w:rPr>
      </w:pPr>
    </w:p>
    <w:p w14:paraId="5378232D">
      <w:pPr>
        <w:spacing w:line="560" w:lineRule="exact"/>
        <w:jc w:val="center"/>
        <w:rPr>
          <w:rFonts w:hint="eastAsia"/>
          <w:sz w:val="52"/>
          <w:szCs w:val="52"/>
          <w:u w:val="none"/>
          <w:lang w:val="en-US" w:eastAsia="zh-CN"/>
        </w:rPr>
      </w:pPr>
    </w:p>
    <w:p w14:paraId="10BA8912">
      <w:pPr>
        <w:spacing w:line="560" w:lineRule="exact"/>
        <w:jc w:val="center"/>
        <w:rPr>
          <w:rFonts w:hint="eastAsia"/>
          <w:sz w:val="52"/>
          <w:szCs w:val="52"/>
          <w:u w:val="none"/>
          <w:lang w:val="en-US" w:eastAsia="zh-CN"/>
        </w:rPr>
      </w:pPr>
    </w:p>
    <w:p w14:paraId="2ADCDD24">
      <w:pPr>
        <w:spacing w:line="560" w:lineRule="exact"/>
        <w:jc w:val="center"/>
        <w:rPr>
          <w:rFonts w:hint="eastAsia"/>
          <w:sz w:val="52"/>
          <w:szCs w:val="52"/>
          <w:u w:val="none"/>
          <w:lang w:val="en-US" w:eastAsia="zh-CN"/>
        </w:rPr>
      </w:pPr>
    </w:p>
    <w:p w14:paraId="7067948B">
      <w:pPr>
        <w:spacing w:line="560" w:lineRule="exact"/>
        <w:jc w:val="center"/>
        <w:rPr>
          <w:rFonts w:hint="eastAsia"/>
          <w:sz w:val="52"/>
          <w:szCs w:val="52"/>
          <w:u w:val="none"/>
          <w:lang w:val="en-US" w:eastAsia="zh-CN"/>
        </w:rPr>
      </w:pPr>
    </w:p>
    <w:p w14:paraId="0B1BFBE2">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eastAsia" w:ascii="方正小标宋_GBK" w:hAnsi="方正小标宋_GBK" w:eastAsia="方正小标宋_GBK" w:cs="方正小标宋_GBK"/>
          <w:sz w:val="44"/>
          <w:szCs w:val="44"/>
          <w:u w:val="none"/>
          <w:lang w:val="en-US" w:eastAsia="zh-CN"/>
        </w:rPr>
      </w:pPr>
    </w:p>
    <w:p w14:paraId="760BA2B3">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eastAsia" w:ascii="方正小标宋_GBK" w:hAnsi="方正小标宋_GBK" w:eastAsia="方正小标宋_GBK" w:cs="方正小标宋_GBK"/>
          <w:sz w:val="44"/>
          <w:szCs w:val="44"/>
          <w:u w:val="none"/>
          <w:lang w:val="en-US" w:eastAsia="zh-CN"/>
        </w:rPr>
      </w:pPr>
      <w:r>
        <w:rPr>
          <w:rFonts w:hint="eastAsia" w:ascii="方正小标宋_GBK" w:hAnsi="方正小标宋_GBK" w:eastAsia="方正小标宋_GBK" w:cs="方正小标宋_GBK"/>
          <w:sz w:val="44"/>
          <w:szCs w:val="44"/>
          <w:u w:val="none"/>
          <w:lang w:val="en-US" w:eastAsia="zh-CN"/>
        </w:rPr>
        <w:t>2026</w:t>
      </w:r>
      <w:r>
        <w:rPr>
          <w:rFonts w:hint="eastAsia" w:ascii="方正小标宋_GBK" w:hAnsi="方正小标宋_GBK" w:eastAsia="方正小标宋_GBK" w:cs="方正小标宋_GBK"/>
          <w:sz w:val="44"/>
          <w:szCs w:val="44"/>
          <w:u w:val="none"/>
        </w:rPr>
        <w:t>年</w:t>
      </w:r>
      <w:r>
        <w:rPr>
          <w:rFonts w:hint="eastAsia" w:ascii="方正小标宋_GBK" w:hAnsi="方正小标宋_GBK" w:eastAsia="方正小标宋_GBK" w:cs="方正小标宋_GBK"/>
          <w:sz w:val="44"/>
          <w:szCs w:val="44"/>
          <w:u w:val="none"/>
          <w:lang w:val="en-US" w:eastAsia="zh-CN"/>
        </w:rPr>
        <w:t>屯昌县南吕镇第二幼儿园</w:t>
      </w:r>
    </w:p>
    <w:p w14:paraId="7B3EC16D">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default" w:ascii="方正小标宋_GBK" w:hAnsi="方正小标宋_GBK" w:eastAsia="方正小标宋_GBK" w:cs="方正小标宋_GBK"/>
          <w:sz w:val="44"/>
          <w:szCs w:val="44"/>
          <w:u w:val="none"/>
          <w:lang w:val="en-US" w:eastAsia="zh-CN"/>
        </w:rPr>
      </w:pPr>
      <w:r>
        <w:rPr>
          <w:rFonts w:hint="eastAsia" w:ascii="方正小标宋_GBK" w:hAnsi="方正小标宋_GBK" w:eastAsia="方正小标宋_GBK" w:cs="方正小标宋_GBK"/>
          <w:sz w:val="44"/>
          <w:szCs w:val="44"/>
          <w:u w:val="none"/>
        </w:rPr>
        <w:t>预算</w:t>
      </w:r>
      <w:r>
        <w:rPr>
          <w:rFonts w:hint="eastAsia" w:ascii="方正小标宋_GBK" w:hAnsi="方正小标宋_GBK" w:eastAsia="方正小标宋_GBK" w:cs="方正小标宋_GBK"/>
          <w:sz w:val="44"/>
          <w:szCs w:val="44"/>
          <w:u w:val="none"/>
          <w:lang w:val="en-US" w:eastAsia="zh-CN"/>
        </w:rPr>
        <w:t>公开说明</w:t>
      </w:r>
    </w:p>
    <w:p w14:paraId="704F6EFB">
      <w:pPr>
        <w:spacing w:line="560" w:lineRule="exact"/>
        <w:ind w:firstLine="1680"/>
        <w:jc w:val="center"/>
        <w:rPr>
          <w:sz w:val="84"/>
          <w:szCs w:val="84"/>
          <w:u w:val="none"/>
        </w:rPr>
      </w:pPr>
    </w:p>
    <w:p w14:paraId="7F9BE31C">
      <w:pPr>
        <w:spacing w:line="560" w:lineRule="exact"/>
        <w:ind w:firstLine="1680"/>
        <w:jc w:val="center"/>
        <w:rPr>
          <w:sz w:val="84"/>
          <w:szCs w:val="84"/>
          <w:u w:val="none"/>
        </w:rPr>
      </w:pPr>
    </w:p>
    <w:p w14:paraId="3F620234">
      <w:pPr>
        <w:spacing w:line="560" w:lineRule="exact"/>
        <w:ind w:firstLine="1680"/>
        <w:jc w:val="center"/>
        <w:rPr>
          <w:sz w:val="84"/>
          <w:szCs w:val="84"/>
          <w:u w:val="none"/>
        </w:rPr>
      </w:pPr>
    </w:p>
    <w:p w14:paraId="0C5FAA24">
      <w:pPr>
        <w:spacing w:line="560" w:lineRule="exact"/>
        <w:ind w:firstLine="1680"/>
        <w:jc w:val="center"/>
        <w:rPr>
          <w:sz w:val="84"/>
          <w:szCs w:val="84"/>
          <w:u w:val="none"/>
        </w:rPr>
      </w:pPr>
    </w:p>
    <w:p w14:paraId="02A2B7FB">
      <w:pPr>
        <w:rPr>
          <w:sz w:val="84"/>
          <w:szCs w:val="84"/>
          <w:u w:val="none"/>
        </w:rPr>
      </w:pPr>
      <w:r>
        <w:rPr>
          <w:sz w:val="84"/>
          <w:szCs w:val="84"/>
          <w:u w:val="none"/>
        </w:rPr>
        <w:br w:type="page"/>
      </w:r>
    </w:p>
    <w:p w14:paraId="6120FF71">
      <w:pPr>
        <w:spacing w:line="240" w:lineRule="auto"/>
        <w:jc w:val="center"/>
        <w:rPr>
          <w:rFonts w:hint="eastAsia" w:ascii="黑体" w:hAnsi="黑体" w:eastAsia="黑体"/>
          <w:sz w:val="52"/>
          <w:szCs w:val="52"/>
          <w:u w:val="none"/>
        </w:rPr>
      </w:pPr>
      <w:r>
        <w:rPr>
          <w:rFonts w:hint="eastAsia" w:ascii="黑体" w:hAnsi="黑体" w:eastAsia="黑体"/>
          <w:sz w:val="52"/>
          <w:szCs w:val="52"/>
          <w:u w:val="none"/>
        </w:rPr>
        <w:t>目录</w:t>
      </w:r>
    </w:p>
    <w:p w14:paraId="34626F05">
      <w:pPr>
        <w:pStyle w:val="6"/>
        <w:numPr>
          <w:ilvl w:val="0"/>
          <w:numId w:val="1"/>
        </w:numPr>
        <w:spacing w:line="240" w:lineRule="auto"/>
        <w:ind w:firstLineChars="0"/>
        <w:jc w:val="left"/>
        <w:rPr>
          <w:rFonts w:hint="eastAsia" w:ascii="方正黑体_GBK" w:hAnsi="方正黑体_GBK" w:eastAsia="方正黑体_GBK" w:cs="方正黑体_GBK"/>
          <w:sz w:val="32"/>
          <w:szCs w:val="32"/>
          <w:u w:val="none"/>
        </w:rPr>
      </w:pPr>
      <w:r>
        <w:rPr>
          <w:rFonts w:hint="eastAsia" w:ascii="黑体" w:hAnsi="黑体" w:eastAsia="黑体"/>
          <w:sz w:val="32"/>
          <w:szCs w:val="32"/>
          <w:u w:val="none"/>
          <w:lang w:val="en-US" w:eastAsia="zh-CN"/>
        </w:rPr>
        <w:t xml:space="preserve">  </w:t>
      </w:r>
      <w:r>
        <w:rPr>
          <w:rFonts w:hint="eastAsia" w:ascii="黑体" w:hAnsi="黑体" w:eastAsia="黑体"/>
          <w:sz w:val="32"/>
          <w:szCs w:val="32"/>
        </w:rPr>
        <w:t>屯昌县南吕镇第二幼儿园</w:t>
      </w:r>
      <w:r>
        <w:rPr>
          <w:rFonts w:hint="eastAsia" w:ascii="方正黑体_GBK" w:hAnsi="方正黑体_GBK" w:eastAsia="方正黑体_GBK" w:cs="方正黑体_GBK"/>
          <w:sz w:val="32"/>
          <w:szCs w:val="32"/>
          <w:u w:val="none"/>
        </w:rPr>
        <w:t>概况</w:t>
      </w:r>
    </w:p>
    <w:p w14:paraId="197F176E">
      <w:pPr>
        <w:pStyle w:val="6"/>
        <w:numPr>
          <w:ilvl w:val="-1"/>
          <w:numId w:val="0"/>
        </w:numPr>
        <w:spacing w:line="240" w:lineRule="auto"/>
        <w:ind w:left="0" w:firstLine="0" w:firstLineChars="0"/>
        <w:jc w:val="left"/>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lang w:eastAsia="zh-CN"/>
        </w:rPr>
        <w:t>一、</w:t>
      </w:r>
      <w:r>
        <w:rPr>
          <w:rFonts w:hint="eastAsia" w:ascii="方正仿宋_GBK" w:hAnsi="方正仿宋_GBK" w:eastAsia="方正仿宋_GBK" w:cs="方正仿宋_GBK"/>
          <w:sz w:val="32"/>
          <w:szCs w:val="32"/>
          <w:u w:val="none"/>
        </w:rPr>
        <w:t>主要职能</w:t>
      </w:r>
    </w:p>
    <w:p w14:paraId="076B8E08">
      <w:pPr>
        <w:pStyle w:val="6"/>
        <w:numPr>
          <w:ilvl w:val="-1"/>
          <w:numId w:val="0"/>
        </w:numPr>
        <w:spacing w:line="240" w:lineRule="auto"/>
        <w:ind w:left="0" w:firstLine="0" w:firstLineChars="0"/>
        <w:jc w:val="left"/>
        <w:rPr>
          <w:rFonts w:ascii="黑体" w:hAnsi="黑体" w:eastAsia="黑体"/>
          <w:sz w:val="32"/>
          <w:szCs w:val="32"/>
          <w:u w:val="none"/>
        </w:rPr>
      </w:pPr>
      <w:r>
        <w:rPr>
          <w:rFonts w:hint="eastAsia" w:ascii="方正仿宋_GBK" w:hAnsi="方正仿宋_GBK" w:eastAsia="方正仿宋_GBK" w:cs="方正仿宋_GBK"/>
          <w:sz w:val="32"/>
          <w:szCs w:val="32"/>
          <w:u w:val="none"/>
          <w:lang w:eastAsia="zh-CN"/>
        </w:rPr>
        <w:t>二、机构设置</w:t>
      </w:r>
    </w:p>
    <w:p w14:paraId="7F68C694">
      <w:pPr>
        <w:pStyle w:val="6"/>
        <w:numPr>
          <w:ilvl w:val="0"/>
          <w:numId w:val="1"/>
        </w:numPr>
        <w:spacing w:line="240" w:lineRule="auto"/>
        <w:ind w:firstLineChars="0"/>
        <w:rPr>
          <w:rFonts w:hint="eastAsia" w:ascii="方正黑体_GBK" w:hAnsi="方正黑体_GBK" w:eastAsia="方正黑体_GBK" w:cs="方正黑体_GBK"/>
          <w:sz w:val="32"/>
          <w:szCs w:val="32"/>
          <w:u w:val="none"/>
        </w:rPr>
      </w:pPr>
      <w:r>
        <w:rPr>
          <w:rFonts w:hint="eastAsia" w:ascii="黑体" w:hAnsi="黑体" w:eastAsia="黑体"/>
          <w:sz w:val="32"/>
          <w:szCs w:val="32"/>
          <w:u w:val="none"/>
        </w:rPr>
        <w:t xml:space="preserve"> </w:t>
      </w:r>
      <w:r>
        <w:rPr>
          <w:rFonts w:hint="eastAsia" w:ascii="黑体" w:hAnsi="黑体" w:eastAsia="黑体"/>
          <w:sz w:val="32"/>
          <w:szCs w:val="32"/>
          <w:u w:val="none"/>
          <w:lang w:val="en-US" w:eastAsia="zh-CN"/>
        </w:rPr>
        <w:t xml:space="preserve"> </w:t>
      </w:r>
      <w:r>
        <w:rPr>
          <w:rFonts w:hint="eastAsia" w:ascii="方正黑体_GBK" w:hAnsi="方正黑体_GBK" w:eastAsia="方正黑体_GBK" w:cs="方正黑体_GBK"/>
          <w:sz w:val="32"/>
          <w:szCs w:val="32"/>
          <w:u w:val="none"/>
          <w:lang w:val="en-US" w:eastAsia="zh-CN"/>
        </w:rPr>
        <w:t>2026</w:t>
      </w:r>
      <w:r>
        <w:rPr>
          <w:rFonts w:hint="eastAsia" w:ascii="方正黑体_GBK" w:hAnsi="方正黑体_GBK" w:eastAsia="方正黑体_GBK" w:cs="方正黑体_GBK"/>
          <w:sz w:val="32"/>
          <w:szCs w:val="32"/>
          <w:u w:val="none"/>
        </w:rPr>
        <w:t>年</w:t>
      </w:r>
      <w:r>
        <w:rPr>
          <w:rFonts w:hint="eastAsia" w:ascii="方正黑体_GBK" w:hAnsi="方正黑体_GBK" w:eastAsia="方正黑体_GBK" w:cs="方正黑体_GBK"/>
          <w:sz w:val="32"/>
          <w:szCs w:val="32"/>
          <w:u w:val="none"/>
          <w:lang w:eastAsia="zh-CN"/>
        </w:rPr>
        <w:t>单位</w:t>
      </w:r>
      <w:r>
        <w:rPr>
          <w:rFonts w:hint="eastAsia" w:ascii="方正黑体_GBK" w:hAnsi="方正黑体_GBK" w:eastAsia="方正黑体_GBK" w:cs="方正黑体_GBK"/>
          <w:sz w:val="32"/>
          <w:szCs w:val="32"/>
          <w:u w:val="none"/>
        </w:rPr>
        <w:t>预算表</w:t>
      </w:r>
    </w:p>
    <w:p w14:paraId="681BEB44">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财政拨款收支总表</w:t>
      </w:r>
    </w:p>
    <w:p w14:paraId="575F6547">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一般公共预算支出表</w:t>
      </w:r>
    </w:p>
    <w:p w14:paraId="370DC949">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一般公共预算基本支出表</w:t>
      </w:r>
    </w:p>
    <w:p w14:paraId="51AFAFA8">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一般公共预算“三公”经费支出表</w:t>
      </w:r>
    </w:p>
    <w:p w14:paraId="21F27F7F">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政府性基金预算支出表</w:t>
      </w:r>
    </w:p>
    <w:p w14:paraId="3388FED5">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政府性基金预算“三公”经费支出表</w:t>
      </w:r>
    </w:p>
    <w:p w14:paraId="3B9E43F3">
      <w:pPr>
        <w:pStyle w:val="6"/>
        <w:numPr>
          <w:ilvl w:val="0"/>
          <w:numId w:val="2"/>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lang w:eastAsia="zh-CN"/>
        </w:rPr>
        <w:t>国有资本经营预算支出表</w:t>
      </w:r>
    </w:p>
    <w:p w14:paraId="239195B6">
      <w:pPr>
        <w:pStyle w:val="6"/>
        <w:numPr>
          <w:ilvl w:val="0"/>
          <w:numId w:val="2"/>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收支总表</w:t>
      </w:r>
    </w:p>
    <w:p w14:paraId="3183D54D">
      <w:pPr>
        <w:pStyle w:val="6"/>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收入总表</w:t>
      </w:r>
    </w:p>
    <w:p w14:paraId="39FF6E49">
      <w:pPr>
        <w:pStyle w:val="6"/>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支出总表</w:t>
      </w:r>
    </w:p>
    <w:p w14:paraId="42D8398A">
      <w:pPr>
        <w:pStyle w:val="6"/>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项目支出绩效信息表</w:t>
      </w:r>
    </w:p>
    <w:p w14:paraId="347949BF">
      <w:pPr>
        <w:pStyle w:val="6"/>
        <w:numPr>
          <w:ilvl w:val="0"/>
          <w:numId w:val="1"/>
        </w:numPr>
        <w:spacing w:line="240" w:lineRule="auto"/>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lang w:val="en-US" w:eastAsia="zh-CN"/>
        </w:rPr>
        <w:t xml:space="preserve">  </w:t>
      </w:r>
      <w:r>
        <w:rPr>
          <w:rFonts w:hint="eastAsia" w:ascii="方正黑体_GBK" w:hAnsi="方正黑体_GBK" w:eastAsia="方正黑体_GBK" w:cs="方正黑体_GBK"/>
          <w:sz w:val="32"/>
          <w:szCs w:val="32"/>
          <w:u w:val="none"/>
          <w:lang w:val="en-US" w:eastAsia="zh-CN"/>
        </w:rPr>
        <w:t>2026</w:t>
      </w:r>
      <w:r>
        <w:rPr>
          <w:rFonts w:hint="eastAsia" w:ascii="方正黑体_GBK" w:hAnsi="方正黑体_GBK" w:eastAsia="方正黑体_GBK" w:cs="方正黑体_GBK"/>
          <w:sz w:val="32"/>
          <w:szCs w:val="32"/>
          <w:u w:val="none"/>
        </w:rPr>
        <w:t>年</w:t>
      </w:r>
      <w:r>
        <w:rPr>
          <w:rFonts w:hint="eastAsia" w:ascii="方正黑体_GBK" w:hAnsi="方正黑体_GBK" w:eastAsia="方正黑体_GBK" w:cs="方正黑体_GBK"/>
          <w:sz w:val="32"/>
          <w:szCs w:val="32"/>
          <w:u w:val="none"/>
          <w:lang w:eastAsia="zh-CN"/>
        </w:rPr>
        <w:t>单位</w:t>
      </w:r>
      <w:r>
        <w:rPr>
          <w:rFonts w:hint="eastAsia" w:ascii="方正黑体_GBK" w:hAnsi="方正黑体_GBK" w:eastAsia="方正黑体_GBK" w:cs="方正黑体_GBK"/>
          <w:sz w:val="32"/>
          <w:szCs w:val="32"/>
          <w:u w:val="none"/>
        </w:rPr>
        <w:t>预算情况说明</w:t>
      </w:r>
    </w:p>
    <w:p w14:paraId="3C90ECFE">
      <w:pPr>
        <w:pStyle w:val="6"/>
        <w:numPr>
          <w:ilvl w:val="0"/>
          <w:numId w:val="1"/>
        </w:numPr>
        <w:spacing w:line="240" w:lineRule="auto"/>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rPr>
        <w:t xml:space="preserve">  名词解释</w:t>
      </w:r>
    </w:p>
    <w:p w14:paraId="736831D2">
      <w:pPr>
        <w:jc w:val="left"/>
        <w:rPr>
          <w:rFonts w:hint="eastAsia" w:ascii="黑体" w:hAnsi="黑体" w:eastAsia="黑体"/>
          <w:sz w:val="52"/>
          <w:szCs w:val="52"/>
          <w:u w:val="none"/>
        </w:rPr>
      </w:pPr>
    </w:p>
    <w:p w14:paraId="4784BB48">
      <w:pPr>
        <w:pStyle w:val="6"/>
        <w:spacing w:line="560" w:lineRule="exact"/>
        <w:ind w:left="1320" w:firstLine="0" w:firstLineChars="0"/>
        <w:jc w:val="left"/>
        <w:rPr>
          <w:rFonts w:ascii="黑体" w:hAnsi="黑体" w:eastAsia="黑体"/>
          <w:sz w:val="32"/>
          <w:szCs w:val="32"/>
          <w:u w:val="none"/>
        </w:rPr>
      </w:pPr>
    </w:p>
    <w:p w14:paraId="4AD60829">
      <w:pPr>
        <w:jc w:val="center"/>
        <w:rPr>
          <w:rFonts w:hint="eastAsia" w:ascii="方正黑体_GBK" w:hAnsi="方正黑体_GBK" w:eastAsia="方正黑体_GBK" w:cs="方正黑体_GBK"/>
          <w:sz w:val="32"/>
          <w:szCs w:val="32"/>
          <w:u w:val="none"/>
        </w:rPr>
      </w:pPr>
      <w:r>
        <w:rPr>
          <w:rFonts w:ascii="黑体" w:hAnsi="黑体" w:eastAsia="黑体"/>
          <w:sz w:val="32"/>
          <w:szCs w:val="32"/>
          <w:u w:val="none"/>
        </w:rPr>
        <w:br w:type="page"/>
      </w:r>
      <w:r>
        <w:rPr>
          <w:rFonts w:hint="eastAsia" w:ascii="方正黑体_GBK" w:hAnsi="方正黑体_GBK" w:eastAsia="方正黑体_GBK" w:cs="方正黑体_GBK"/>
          <w:b w:val="0"/>
          <w:bCs/>
          <w:sz w:val="32"/>
          <w:szCs w:val="32"/>
          <w:u w:val="none"/>
          <w:lang w:eastAsia="zh-CN"/>
        </w:rPr>
        <w:t>第</w:t>
      </w:r>
      <w:r>
        <w:rPr>
          <w:rFonts w:hint="eastAsia" w:ascii="方正黑体_GBK" w:hAnsi="方正黑体_GBK" w:eastAsia="方正黑体_GBK" w:cs="方正黑体_GBK"/>
          <w:b w:val="0"/>
          <w:bCs/>
          <w:sz w:val="32"/>
          <w:szCs w:val="32"/>
          <w:u w:val="none"/>
          <w:lang w:val="en-US" w:eastAsia="zh-CN"/>
        </w:rPr>
        <w:t>一</w:t>
      </w:r>
      <w:r>
        <w:rPr>
          <w:rFonts w:hint="eastAsia" w:ascii="方正黑体_GBK" w:hAnsi="方正黑体_GBK" w:eastAsia="方正黑体_GBK" w:cs="方正黑体_GBK"/>
          <w:b w:val="0"/>
          <w:bCs/>
          <w:sz w:val="32"/>
          <w:szCs w:val="32"/>
          <w:u w:val="none"/>
          <w:lang w:eastAsia="zh-CN"/>
        </w:rPr>
        <w:t>部分</w:t>
      </w:r>
      <w:r>
        <w:rPr>
          <w:rFonts w:hint="eastAsia" w:ascii="方正黑体_GBK" w:hAnsi="方正黑体_GBK" w:eastAsia="方正黑体_GBK" w:cs="方正黑体_GBK"/>
          <w:b w:val="0"/>
          <w:bCs/>
          <w:sz w:val="32"/>
          <w:szCs w:val="32"/>
          <w:u w:val="none"/>
          <w:lang w:val="en-US" w:eastAsia="zh-CN"/>
        </w:rPr>
        <w:t xml:space="preserve">  </w:t>
      </w:r>
      <w:r>
        <w:rPr>
          <w:rFonts w:hint="eastAsia" w:ascii="黑体" w:hAnsi="黑体" w:eastAsia="黑体"/>
          <w:sz w:val="32"/>
          <w:szCs w:val="32"/>
        </w:rPr>
        <w:t>屯昌县南吕镇第二幼儿园</w:t>
      </w:r>
      <w:r>
        <w:rPr>
          <w:rFonts w:hint="eastAsia" w:ascii="方正黑体_GBK" w:hAnsi="方正黑体_GBK" w:eastAsia="方正黑体_GBK" w:cs="方正黑体_GBK"/>
          <w:sz w:val="32"/>
          <w:szCs w:val="32"/>
          <w:u w:val="none"/>
        </w:rPr>
        <w:t>概况</w:t>
      </w:r>
    </w:p>
    <w:p w14:paraId="558F8A6F">
      <w:pPr>
        <w:keepNext w:val="0"/>
        <w:keepLines w:val="0"/>
        <w:pageBreakBefore w:val="0"/>
        <w:kinsoku/>
        <w:wordWrap/>
        <w:overflowPunct/>
        <w:topLinePunct w:val="0"/>
        <w:autoSpaceDE/>
        <w:autoSpaceDN/>
        <w:bidi w:val="0"/>
        <w:adjustRightInd/>
        <w:snapToGrid/>
        <w:spacing w:line="590" w:lineRule="exact"/>
        <w:jc w:val="both"/>
        <w:textAlignment w:val="auto"/>
        <w:rPr>
          <w:rFonts w:ascii="仿宋_GB2312" w:hAnsi="仿宋_GB2312" w:eastAsia="仿宋_GB2312" w:cs="仿宋_GB2312"/>
          <w:sz w:val="32"/>
          <w:szCs w:val="32"/>
          <w:u w:val="none"/>
        </w:rPr>
      </w:pPr>
    </w:p>
    <w:p w14:paraId="29E54641">
      <w:pPr>
        <w:pStyle w:val="6"/>
        <w:keepNext w:val="0"/>
        <w:keepLines w:val="0"/>
        <w:pageBreakBefore w:val="0"/>
        <w:numPr>
          <w:ilvl w:val="-1"/>
          <w:numId w:val="0"/>
        </w:numPr>
        <w:kinsoku/>
        <w:wordWrap/>
        <w:overflowPunct/>
        <w:topLinePunct w:val="0"/>
        <w:autoSpaceDE/>
        <w:autoSpaceDN/>
        <w:bidi w:val="0"/>
        <w:adjustRightInd/>
        <w:snapToGrid/>
        <w:spacing w:line="590" w:lineRule="exact"/>
        <w:ind w:left="0" w:firstLine="640" w:firstLineChars="200"/>
        <w:jc w:val="both"/>
        <w:textAlignment w:val="auto"/>
        <w:rPr>
          <w:rFonts w:ascii="黑体" w:hAnsi="黑体" w:eastAsia="黑体" w:cs="仿宋_GB2312"/>
          <w:sz w:val="32"/>
          <w:szCs w:val="32"/>
          <w:u w:val="none"/>
        </w:rPr>
      </w:pPr>
      <w:r>
        <w:rPr>
          <w:rFonts w:hint="eastAsia" w:ascii="黑体" w:hAnsi="黑体" w:eastAsia="黑体" w:cs="仿宋_GB2312"/>
          <w:sz w:val="32"/>
          <w:szCs w:val="32"/>
          <w:u w:val="none"/>
          <w:lang w:eastAsia="zh-CN"/>
        </w:rPr>
        <w:t>一、</w:t>
      </w:r>
      <w:r>
        <w:rPr>
          <w:rFonts w:hint="eastAsia" w:ascii="黑体" w:hAnsi="黑体" w:eastAsia="黑体" w:cs="仿宋_GB2312"/>
          <w:sz w:val="32"/>
          <w:szCs w:val="32"/>
          <w:u w:val="none"/>
        </w:rPr>
        <w:t>主要职能</w:t>
      </w:r>
    </w:p>
    <w:p w14:paraId="02DDEAD9">
      <w:pPr>
        <w:pStyle w:val="6"/>
        <w:keepNext w:val="0"/>
        <w:keepLines w:val="0"/>
        <w:pageBreakBefore w:val="0"/>
        <w:widowControl w:val="0"/>
        <w:numPr>
          <w:ilvl w:val="0"/>
          <w:numId w:val="0"/>
        </w:numPr>
        <w:kinsoku/>
        <w:wordWrap/>
        <w:overflowPunct/>
        <w:topLinePunct w:val="0"/>
        <w:autoSpaceDE/>
        <w:autoSpaceDN/>
        <w:bidi w:val="0"/>
        <w:adjustRightInd/>
        <w:snapToGrid/>
        <w:spacing w:line="590" w:lineRule="exact"/>
        <w:ind w:left="641" w:leftChars="0" w:firstLine="640" w:firstLineChars="200"/>
        <w:jc w:val="both"/>
        <w:textAlignment w:val="auto"/>
        <w:rPr>
          <w:rFonts w:hint="eastAsia" w:ascii="仿宋_GB2312" w:hAnsi="黑体" w:eastAsia="仿宋_GB2312" w:cs="仿宋_GB2312"/>
          <w:sz w:val="32"/>
          <w:szCs w:val="32"/>
          <w:u w:val="none"/>
        </w:rPr>
      </w:pPr>
      <w:r>
        <w:rPr>
          <w:rFonts w:hint="eastAsia" w:ascii="仿宋_GB2312" w:hAnsi="黑体" w:eastAsia="仿宋_GB2312" w:cs="仿宋_GB2312"/>
          <w:sz w:val="32"/>
          <w:szCs w:val="32"/>
          <w:u w:val="none"/>
          <w:lang w:val="en-US" w:eastAsia="zh-CN"/>
        </w:rPr>
        <w:t>1.</w:t>
      </w:r>
      <w:r>
        <w:rPr>
          <w:rFonts w:hint="eastAsia" w:ascii="仿宋_GB2312" w:hAnsi="黑体" w:eastAsia="仿宋_GB2312" w:cs="仿宋_GB2312"/>
          <w:sz w:val="32"/>
          <w:szCs w:val="32"/>
          <w:u w:val="none"/>
        </w:rPr>
        <w:t>贯彻落实教育方针政策</w:t>
      </w:r>
    </w:p>
    <w:p w14:paraId="47B504E5">
      <w:pPr>
        <w:pStyle w:val="6"/>
        <w:keepNext w:val="0"/>
        <w:keepLines w:val="0"/>
        <w:pageBreakBefore w:val="0"/>
        <w:widowControl w:val="0"/>
        <w:numPr>
          <w:ilvl w:val="0"/>
          <w:numId w:val="0"/>
        </w:numPr>
        <w:kinsoku/>
        <w:wordWrap/>
        <w:overflowPunct/>
        <w:topLinePunct w:val="0"/>
        <w:autoSpaceDE/>
        <w:autoSpaceDN/>
        <w:bidi w:val="0"/>
        <w:adjustRightInd/>
        <w:snapToGrid/>
        <w:spacing w:line="590" w:lineRule="exact"/>
        <w:ind w:left="641" w:leftChars="0" w:firstLine="640" w:firstLineChars="200"/>
        <w:jc w:val="both"/>
        <w:textAlignment w:val="auto"/>
        <w:rPr>
          <w:rFonts w:hint="eastAsia" w:ascii="仿宋_GB2312" w:hAnsi="黑体" w:eastAsia="仿宋_GB2312" w:cs="仿宋_GB2312"/>
          <w:sz w:val="32"/>
          <w:szCs w:val="32"/>
          <w:u w:val="none"/>
        </w:rPr>
      </w:pPr>
      <w:r>
        <w:rPr>
          <w:rFonts w:hint="eastAsia" w:ascii="仿宋_GB2312" w:hAnsi="黑体" w:eastAsia="仿宋_GB2312" w:cs="仿宋_GB2312"/>
          <w:sz w:val="32"/>
          <w:szCs w:val="32"/>
          <w:u w:val="none"/>
        </w:rPr>
        <w:t>认真执行国家、省、市关于学前教育的法律法规、方针政策，落实《幼儿园工作规程》《3—6岁儿童学习与发展指南》等要求，依法规范办园，科学制定幼儿园发展规划、年度工作计划及各项管理制度，完成教育行政部门下达的各项工作任务。</w:t>
      </w:r>
    </w:p>
    <w:p w14:paraId="13571625">
      <w:pPr>
        <w:pStyle w:val="6"/>
        <w:keepNext w:val="0"/>
        <w:keepLines w:val="0"/>
        <w:pageBreakBefore w:val="0"/>
        <w:widowControl w:val="0"/>
        <w:numPr>
          <w:ilvl w:val="0"/>
          <w:numId w:val="0"/>
        </w:numPr>
        <w:kinsoku/>
        <w:wordWrap/>
        <w:overflowPunct/>
        <w:topLinePunct w:val="0"/>
        <w:autoSpaceDE/>
        <w:autoSpaceDN/>
        <w:bidi w:val="0"/>
        <w:adjustRightInd/>
        <w:snapToGrid/>
        <w:spacing w:line="590" w:lineRule="exact"/>
        <w:ind w:left="641" w:leftChars="0" w:firstLine="640" w:firstLineChars="200"/>
        <w:jc w:val="both"/>
        <w:textAlignment w:val="auto"/>
        <w:rPr>
          <w:rFonts w:hint="eastAsia" w:ascii="仿宋_GB2312" w:hAnsi="黑体" w:eastAsia="仿宋_GB2312" w:cs="仿宋_GB2312"/>
          <w:sz w:val="32"/>
          <w:szCs w:val="32"/>
          <w:u w:val="none"/>
        </w:rPr>
      </w:pPr>
      <w:r>
        <w:rPr>
          <w:rFonts w:hint="eastAsia" w:ascii="仿宋_GB2312" w:hAnsi="黑体" w:eastAsia="仿宋_GB2312" w:cs="仿宋_GB2312"/>
          <w:sz w:val="32"/>
          <w:szCs w:val="32"/>
          <w:u w:val="none"/>
        </w:rPr>
        <w:t>2. 科学开展保育与健康管理</w:t>
      </w:r>
    </w:p>
    <w:p w14:paraId="2BD4293D">
      <w:pPr>
        <w:pStyle w:val="6"/>
        <w:keepNext w:val="0"/>
        <w:keepLines w:val="0"/>
        <w:pageBreakBefore w:val="0"/>
        <w:widowControl w:val="0"/>
        <w:numPr>
          <w:ilvl w:val="0"/>
          <w:numId w:val="0"/>
        </w:numPr>
        <w:kinsoku/>
        <w:wordWrap/>
        <w:overflowPunct/>
        <w:topLinePunct w:val="0"/>
        <w:autoSpaceDE/>
        <w:autoSpaceDN/>
        <w:bidi w:val="0"/>
        <w:adjustRightInd/>
        <w:snapToGrid/>
        <w:spacing w:line="590" w:lineRule="exact"/>
        <w:ind w:left="641" w:leftChars="0" w:firstLine="640" w:firstLineChars="200"/>
        <w:jc w:val="both"/>
        <w:textAlignment w:val="auto"/>
        <w:rPr>
          <w:rFonts w:hint="eastAsia" w:ascii="仿宋_GB2312" w:hAnsi="黑体" w:eastAsia="仿宋_GB2312" w:cs="仿宋_GB2312"/>
          <w:sz w:val="32"/>
          <w:szCs w:val="32"/>
          <w:u w:val="none"/>
        </w:rPr>
      </w:pPr>
      <w:r>
        <w:rPr>
          <w:rFonts w:hint="eastAsia" w:ascii="仿宋_GB2312" w:hAnsi="黑体" w:eastAsia="仿宋_GB2312" w:cs="仿宋_GB2312"/>
          <w:sz w:val="32"/>
          <w:szCs w:val="32"/>
          <w:u w:val="none"/>
        </w:rPr>
        <w:t>负责幼儿一日生活照料、饮食、睡眠、卫生、护理等保育工作；建立健全幼儿健康档案，做好晨检、午检、健康监测、传染病防控、膳食营养与食品安全管理；培养幼儿良好生活卫生习惯和基本生活自理能力，保障幼儿身体健康。</w:t>
      </w:r>
    </w:p>
    <w:p w14:paraId="00587576">
      <w:pPr>
        <w:pStyle w:val="6"/>
        <w:keepNext w:val="0"/>
        <w:keepLines w:val="0"/>
        <w:pageBreakBefore w:val="0"/>
        <w:widowControl w:val="0"/>
        <w:numPr>
          <w:ilvl w:val="0"/>
          <w:numId w:val="0"/>
        </w:numPr>
        <w:kinsoku/>
        <w:wordWrap/>
        <w:overflowPunct/>
        <w:topLinePunct w:val="0"/>
        <w:autoSpaceDE/>
        <w:autoSpaceDN/>
        <w:bidi w:val="0"/>
        <w:adjustRightInd/>
        <w:snapToGrid/>
        <w:spacing w:line="590" w:lineRule="exact"/>
        <w:ind w:left="641" w:leftChars="0" w:firstLine="640" w:firstLineChars="200"/>
        <w:jc w:val="both"/>
        <w:textAlignment w:val="auto"/>
        <w:rPr>
          <w:rFonts w:hint="eastAsia" w:ascii="仿宋_GB2312" w:hAnsi="黑体" w:eastAsia="仿宋_GB2312" w:cs="仿宋_GB2312"/>
          <w:sz w:val="32"/>
          <w:szCs w:val="32"/>
          <w:u w:val="none"/>
        </w:rPr>
      </w:pPr>
      <w:r>
        <w:rPr>
          <w:rFonts w:hint="eastAsia" w:ascii="仿宋_GB2312" w:hAnsi="黑体" w:eastAsia="仿宋_GB2312" w:cs="仿宋_GB2312"/>
          <w:sz w:val="32"/>
          <w:szCs w:val="32"/>
          <w:u w:val="none"/>
        </w:rPr>
        <w:t>3. 组织实施教育教学活动</w:t>
      </w:r>
    </w:p>
    <w:p w14:paraId="5D099705">
      <w:pPr>
        <w:pStyle w:val="6"/>
        <w:keepNext w:val="0"/>
        <w:keepLines w:val="0"/>
        <w:pageBreakBefore w:val="0"/>
        <w:widowControl w:val="0"/>
        <w:numPr>
          <w:ilvl w:val="0"/>
          <w:numId w:val="0"/>
        </w:numPr>
        <w:kinsoku/>
        <w:wordWrap/>
        <w:overflowPunct/>
        <w:topLinePunct w:val="0"/>
        <w:autoSpaceDE/>
        <w:autoSpaceDN/>
        <w:bidi w:val="0"/>
        <w:adjustRightInd/>
        <w:snapToGrid/>
        <w:spacing w:line="590" w:lineRule="exact"/>
        <w:ind w:left="641" w:leftChars="0" w:firstLine="640" w:firstLineChars="200"/>
        <w:jc w:val="both"/>
        <w:textAlignment w:val="auto"/>
        <w:rPr>
          <w:rFonts w:hint="eastAsia" w:ascii="仿宋_GB2312" w:hAnsi="黑体" w:eastAsia="仿宋_GB2312" w:cs="仿宋_GB2312"/>
          <w:sz w:val="32"/>
          <w:szCs w:val="32"/>
          <w:u w:val="none"/>
        </w:rPr>
      </w:pPr>
      <w:r>
        <w:rPr>
          <w:rFonts w:hint="eastAsia" w:ascii="仿宋_GB2312" w:hAnsi="黑体" w:eastAsia="仿宋_GB2312" w:cs="仿宋_GB2312"/>
          <w:sz w:val="32"/>
          <w:szCs w:val="32"/>
          <w:u w:val="none"/>
        </w:rPr>
        <w:t>以游戏为基本活动形式，围绕健康、语言、社会、科学、艺术五大领域开展教育活动；合理安排幼儿一日活动，保证户外活动时间，促进幼儿感知、运动、语言、交往、思维等能力发展；做好幼小衔接工作，开展园本教研、教学反思与教师培训，提升保教质量。</w:t>
      </w:r>
    </w:p>
    <w:p w14:paraId="7F026D83">
      <w:pPr>
        <w:pStyle w:val="6"/>
        <w:keepNext w:val="0"/>
        <w:keepLines w:val="0"/>
        <w:pageBreakBefore w:val="0"/>
        <w:widowControl w:val="0"/>
        <w:numPr>
          <w:ilvl w:val="0"/>
          <w:numId w:val="0"/>
        </w:numPr>
        <w:kinsoku/>
        <w:wordWrap/>
        <w:overflowPunct/>
        <w:topLinePunct w:val="0"/>
        <w:autoSpaceDE/>
        <w:autoSpaceDN/>
        <w:bidi w:val="0"/>
        <w:adjustRightInd/>
        <w:snapToGrid/>
        <w:spacing w:line="590" w:lineRule="exact"/>
        <w:ind w:left="641" w:leftChars="0" w:firstLine="640" w:firstLineChars="200"/>
        <w:jc w:val="both"/>
        <w:textAlignment w:val="auto"/>
        <w:rPr>
          <w:rFonts w:hint="eastAsia" w:ascii="仿宋_GB2312" w:hAnsi="黑体" w:eastAsia="仿宋_GB2312" w:cs="仿宋_GB2312"/>
          <w:sz w:val="32"/>
          <w:szCs w:val="32"/>
          <w:u w:val="none"/>
        </w:rPr>
      </w:pPr>
      <w:r>
        <w:rPr>
          <w:rFonts w:hint="eastAsia" w:ascii="仿宋_GB2312" w:hAnsi="黑体" w:eastAsia="仿宋_GB2312" w:cs="仿宋_GB2312"/>
          <w:sz w:val="32"/>
          <w:szCs w:val="32"/>
          <w:u w:val="none"/>
        </w:rPr>
        <w:t>4. 强化安全管理与后勤保障</w:t>
      </w:r>
    </w:p>
    <w:p w14:paraId="35A722D3">
      <w:pPr>
        <w:pStyle w:val="6"/>
        <w:keepNext w:val="0"/>
        <w:keepLines w:val="0"/>
        <w:pageBreakBefore w:val="0"/>
        <w:widowControl w:val="0"/>
        <w:numPr>
          <w:ilvl w:val="0"/>
          <w:numId w:val="0"/>
        </w:numPr>
        <w:kinsoku/>
        <w:wordWrap/>
        <w:overflowPunct/>
        <w:topLinePunct w:val="0"/>
        <w:autoSpaceDE/>
        <w:autoSpaceDN/>
        <w:bidi w:val="0"/>
        <w:adjustRightInd/>
        <w:snapToGrid/>
        <w:spacing w:line="590" w:lineRule="exact"/>
        <w:ind w:left="641" w:leftChars="0" w:firstLine="640" w:firstLineChars="200"/>
        <w:jc w:val="both"/>
        <w:textAlignment w:val="auto"/>
        <w:rPr>
          <w:rFonts w:hint="eastAsia" w:ascii="仿宋_GB2312" w:hAnsi="黑体" w:eastAsia="仿宋_GB2312" w:cs="仿宋_GB2312"/>
          <w:sz w:val="32"/>
          <w:szCs w:val="32"/>
          <w:u w:val="none"/>
        </w:rPr>
      </w:pPr>
      <w:r>
        <w:rPr>
          <w:rFonts w:hint="eastAsia" w:ascii="仿宋_GB2312" w:hAnsi="黑体" w:eastAsia="仿宋_GB2312" w:cs="仿宋_GB2312"/>
          <w:sz w:val="32"/>
          <w:szCs w:val="32"/>
          <w:u w:val="none"/>
        </w:rPr>
        <w:t>落实校园安全主体责任，健全安全管理制度和应急预案，做好校园安保、消防、交通、设施设备、食品卫生等安全隐患排查与整治；负责园舍、场地、玩教具、物资、经费等后勤保障与资产管理，为保教工作提供安全、稳定的运行条件。</w:t>
      </w:r>
    </w:p>
    <w:p w14:paraId="00A5D3D4">
      <w:pPr>
        <w:keepNext w:val="0"/>
        <w:keepLines w:val="0"/>
        <w:pageBreakBefore w:val="0"/>
        <w:numPr>
          <w:ilvl w:val="-1"/>
          <w:numId w:val="0"/>
        </w:numPr>
        <w:kinsoku/>
        <w:wordWrap/>
        <w:overflowPunct/>
        <w:topLinePunct w:val="0"/>
        <w:autoSpaceDE/>
        <w:autoSpaceDN/>
        <w:bidi w:val="0"/>
        <w:adjustRightInd/>
        <w:snapToGrid/>
        <w:spacing w:line="590" w:lineRule="exact"/>
        <w:ind w:firstLine="640" w:firstLineChars="200"/>
        <w:jc w:val="both"/>
        <w:textAlignment w:val="auto"/>
        <w:rPr>
          <w:rFonts w:hint="eastAsia" w:ascii="黑体" w:hAnsi="黑体" w:eastAsia="黑体" w:cs="仿宋_GB2312"/>
          <w:sz w:val="32"/>
          <w:szCs w:val="32"/>
          <w:highlight w:val="none"/>
          <w:u w:val="none"/>
          <w:lang w:eastAsia="zh-CN"/>
        </w:rPr>
      </w:pPr>
      <w:r>
        <w:rPr>
          <w:rFonts w:hint="eastAsia" w:ascii="黑体" w:hAnsi="黑体" w:eastAsia="黑体" w:cs="仿宋_GB2312"/>
          <w:sz w:val="32"/>
          <w:szCs w:val="32"/>
          <w:highlight w:val="none"/>
          <w:u w:val="none"/>
          <w:lang w:eastAsia="zh-CN"/>
        </w:rPr>
        <w:t>二、机构设置</w:t>
      </w:r>
    </w:p>
    <w:p w14:paraId="282EC7FB">
      <w:pPr>
        <w:pStyle w:val="6"/>
        <w:keepNext w:val="0"/>
        <w:keepLines w:val="0"/>
        <w:pageBreakBefore w:val="0"/>
        <w:numPr>
          <w:ilvl w:val="-1"/>
          <w:numId w:val="0"/>
        </w:numPr>
        <w:kinsoku/>
        <w:wordWrap/>
        <w:overflowPunct/>
        <w:topLinePunct w:val="0"/>
        <w:autoSpaceDE/>
        <w:autoSpaceDN/>
        <w:bidi w:val="0"/>
        <w:adjustRightInd/>
        <w:snapToGrid/>
        <w:spacing w:line="590" w:lineRule="exact"/>
        <w:ind w:left="800" w:firstLine="0" w:firstLineChars="0"/>
        <w:jc w:val="both"/>
        <w:textAlignment w:val="auto"/>
        <w:rPr>
          <w:rFonts w:ascii="仿宋_GB2312" w:hAnsi="黑体" w:eastAsia="仿宋_GB2312" w:cs="仿宋_GB2312"/>
          <w:sz w:val="32"/>
          <w:szCs w:val="32"/>
          <w:highlight w:val="yellow"/>
          <w:u w:val="none"/>
        </w:rPr>
      </w:pPr>
      <w:r>
        <w:rPr>
          <w:rFonts w:hint="eastAsia" w:ascii="仿宋_GB2312" w:hAnsi="黑体" w:eastAsia="仿宋_GB2312" w:cs="仿宋_GB2312"/>
          <w:sz w:val="32"/>
          <w:szCs w:val="32"/>
          <w:u w:val="none"/>
          <w:lang w:val="en-US" w:eastAsia="zh-CN"/>
        </w:rPr>
        <w:t>无</w:t>
      </w:r>
    </w:p>
    <w:p w14:paraId="280C7D17">
      <w:pPr>
        <w:pStyle w:val="6"/>
        <w:keepNext w:val="0"/>
        <w:keepLines w:val="0"/>
        <w:pageBreakBefore w:val="0"/>
        <w:numPr>
          <w:ilvl w:val="0"/>
          <w:numId w:val="0"/>
        </w:numPr>
        <w:kinsoku/>
        <w:wordWrap/>
        <w:overflowPunct/>
        <w:topLinePunct w:val="0"/>
        <w:autoSpaceDE/>
        <w:autoSpaceDN/>
        <w:bidi w:val="0"/>
        <w:adjustRightInd/>
        <w:snapToGrid/>
        <w:spacing w:line="590" w:lineRule="exact"/>
        <w:jc w:val="center"/>
        <w:textAlignment w:val="auto"/>
        <w:rPr>
          <w:rFonts w:ascii="黑体" w:hAnsi="黑体" w:eastAsia="黑体"/>
          <w:sz w:val="32"/>
          <w:szCs w:val="32"/>
          <w:u w:val="none"/>
        </w:rPr>
      </w:pPr>
      <w:r>
        <w:rPr>
          <w:rFonts w:hint="eastAsia" w:ascii="方正黑体_GBK" w:hAnsi="方正黑体_GBK" w:eastAsia="方正黑体_GBK" w:cs="方正黑体_GBK"/>
          <w:b w:val="0"/>
          <w:bCs/>
          <w:sz w:val="32"/>
          <w:szCs w:val="32"/>
          <w:u w:val="none"/>
          <w:lang w:eastAsia="zh-CN"/>
        </w:rPr>
        <w:t>第二部分</w:t>
      </w:r>
      <w:r>
        <w:rPr>
          <w:rFonts w:hint="eastAsia" w:ascii="方正黑体_GBK" w:hAnsi="方正黑体_GBK" w:eastAsia="方正黑体_GBK" w:cs="方正黑体_GBK"/>
          <w:b w:val="0"/>
          <w:bCs/>
          <w:sz w:val="32"/>
          <w:szCs w:val="32"/>
          <w:u w:val="none"/>
          <w:lang w:val="en-US" w:eastAsia="zh-CN"/>
        </w:rPr>
        <w:t xml:space="preserve">  2026</w:t>
      </w:r>
      <w:r>
        <w:rPr>
          <w:rFonts w:hint="eastAsia" w:ascii="方正黑体_GBK" w:hAnsi="方正黑体_GBK" w:eastAsia="方正黑体_GBK" w:cs="方正黑体_GBK"/>
          <w:b w:val="0"/>
          <w:bCs/>
          <w:sz w:val="32"/>
          <w:szCs w:val="32"/>
          <w:u w:val="none"/>
        </w:rPr>
        <w:t>年</w:t>
      </w:r>
      <w:r>
        <w:rPr>
          <w:rFonts w:hint="eastAsia" w:ascii="方正黑体_GBK" w:hAnsi="方正黑体_GBK" w:eastAsia="方正黑体_GBK" w:cs="方正黑体_GBK"/>
          <w:b w:val="0"/>
          <w:bCs/>
          <w:sz w:val="32"/>
          <w:szCs w:val="32"/>
          <w:u w:val="none"/>
          <w:lang w:eastAsia="zh-CN"/>
        </w:rPr>
        <w:t>单位</w:t>
      </w:r>
      <w:r>
        <w:rPr>
          <w:rFonts w:hint="eastAsia" w:ascii="方正黑体_GBK" w:hAnsi="方正黑体_GBK" w:eastAsia="方正黑体_GBK" w:cs="方正黑体_GBK"/>
          <w:b w:val="0"/>
          <w:bCs/>
          <w:sz w:val="32"/>
          <w:szCs w:val="32"/>
          <w:u w:val="none"/>
        </w:rPr>
        <w:t>预算表</w:t>
      </w:r>
    </w:p>
    <w:p w14:paraId="417C12ED">
      <w:pPr>
        <w:keepNext w:val="0"/>
        <w:keepLines w:val="0"/>
        <w:pageBreakBefore w:val="0"/>
        <w:kinsoku/>
        <w:wordWrap/>
        <w:overflowPunct/>
        <w:topLinePunct w:val="0"/>
        <w:autoSpaceDE/>
        <w:autoSpaceDN/>
        <w:bidi w:val="0"/>
        <w:adjustRightInd/>
        <w:snapToGrid/>
        <w:spacing w:line="590" w:lineRule="exact"/>
        <w:ind w:left="0"/>
        <w:jc w:val="both"/>
        <w:textAlignment w:val="auto"/>
        <w:rPr>
          <w:rFonts w:hint="eastAsia" w:ascii="仿宋_GB2312" w:hAnsi="黑体" w:eastAsia="仿宋_GB2312"/>
          <w:b/>
          <w:sz w:val="32"/>
          <w:szCs w:val="32"/>
          <w:u w:val="none"/>
        </w:rPr>
      </w:pPr>
    </w:p>
    <w:p w14:paraId="3E4D1C89">
      <w:pPr>
        <w:keepNext w:val="0"/>
        <w:keepLines w:val="0"/>
        <w:pageBreakBefore w:val="0"/>
        <w:kinsoku/>
        <w:wordWrap/>
        <w:overflowPunct/>
        <w:topLinePunct w:val="0"/>
        <w:autoSpaceDE/>
        <w:autoSpaceDN/>
        <w:bidi w:val="0"/>
        <w:adjustRightInd/>
        <w:snapToGrid/>
        <w:spacing w:line="590" w:lineRule="exact"/>
        <w:ind w:left="0"/>
        <w:jc w:val="center"/>
        <w:textAlignment w:val="auto"/>
        <w:rPr>
          <w:rFonts w:hint="eastAsia" w:ascii="仿宋_GB2312" w:hAnsi="黑体" w:eastAsia="仿宋_GB2312"/>
          <w:b/>
          <w:bCs w:val="0"/>
          <w:sz w:val="32"/>
          <w:szCs w:val="32"/>
          <w:u w:val="none"/>
        </w:rPr>
      </w:pPr>
      <w:r>
        <w:rPr>
          <w:rFonts w:hint="eastAsia" w:ascii="仿宋_GB2312" w:hAnsi="黑体" w:eastAsia="仿宋_GB2312"/>
          <w:b/>
          <w:bCs w:val="0"/>
          <w:sz w:val="32"/>
          <w:szCs w:val="32"/>
          <w:u w:val="none"/>
        </w:rPr>
        <w:t>（此部分内容即为单位预算公开表）</w:t>
      </w:r>
    </w:p>
    <w:p w14:paraId="50D00302">
      <w:pPr>
        <w:keepNext w:val="0"/>
        <w:keepLines w:val="0"/>
        <w:pageBreakBefore w:val="0"/>
        <w:kinsoku/>
        <w:wordWrap/>
        <w:overflowPunct/>
        <w:topLinePunct w:val="0"/>
        <w:autoSpaceDE/>
        <w:autoSpaceDN/>
        <w:bidi w:val="0"/>
        <w:adjustRightInd/>
        <w:snapToGrid/>
        <w:spacing w:line="590" w:lineRule="exact"/>
        <w:ind w:left="800"/>
        <w:jc w:val="both"/>
        <w:textAlignment w:val="auto"/>
        <w:rPr>
          <w:rFonts w:hint="eastAsia" w:ascii="仿宋_GB2312" w:hAnsi="黑体" w:eastAsia="仿宋_GB2312"/>
          <w:b/>
          <w:sz w:val="32"/>
          <w:szCs w:val="32"/>
          <w:u w:val="none"/>
        </w:rPr>
      </w:pPr>
    </w:p>
    <w:p w14:paraId="7E7CDDE7">
      <w:pPr>
        <w:keepNext w:val="0"/>
        <w:keepLines w:val="0"/>
        <w:pageBreakBefore w:val="0"/>
        <w:kinsoku/>
        <w:wordWrap/>
        <w:overflowPunct/>
        <w:topLinePunct w:val="0"/>
        <w:autoSpaceDE/>
        <w:autoSpaceDN/>
        <w:bidi w:val="0"/>
        <w:adjustRightInd/>
        <w:snapToGrid/>
        <w:spacing w:line="590" w:lineRule="exact"/>
        <w:ind w:firstLine="0" w:firstLineChars="0"/>
        <w:jc w:val="center"/>
        <w:textAlignment w:val="auto"/>
        <w:rPr>
          <w:rFonts w:ascii="黑体" w:hAnsi="黑体" w:eastAsia="黑体"/>
          <w:sz w:val="32"/>
          <w:szCs w:val="32"/>
          <w:u w:val="none"/>
        </w:rPr>
      </w:pPr>
      <w:r>
        <w:rPr>
          <w:rFonts w:hint="eastAsia" w:ascii="黑体" w:hAnsi="黑体" w:eastAsia="黑体"/>
          <w:sz w:val="32"/>
          <w:szCs w:val="32"/>
          <w:u w:val="none"/>
          <w:lang w:eastAsia="zh-CN"/>
        </w:rPr>
        <w:t>第三部分</w:t>
      </w:r>
      <w:r>
        <w:rPr>
          <w:rFonts w:hint="eastAsia" w:ascii="黑体" w:hAnsi="黑体" w:eastAsia="黑体"/>
          <w:sz w:val="32"/>
          <w:szCs w:val="32"/>
          <w:u w:val="none"/>
          <w:lang w:val="en-US" w:eastAsia="zh-CN"/>
        </w:rPr>
        <w:t xml:space="preserve">  2026</w:t>
      </w:r>
      <w:r>
        <w:rPr>
          <w:rFonts w:hint="eastAsia" w:ascii="黑体" w:hAnsi="黑体" w:eastAsia="黑体"/>
          <w:sz w:val="32"/>
          <w:szCs w:val="32"/>
          <w:u w:val="none"/>
        </w:rPr>
        <w:t>年</w:t>
      </w:r>
      <w:r>
        <w:rPr>
          <w:rFonts w:hint="eastAsia" w:ascii="黑体" w:hAnsi="黑体" w:eastAsia="黑体"/>
          <w:sz w:val="32"/>
          <w:szCs w:val="32"/>
          <w:u w:val="none"/>
          <w:lang w:eastAsia="zh-CN"/>
        </w:rPr>
        <w:t>单位</w:t>
      </w:r>
      <w:r>
        <w:rPr>
          <w:rFonts w:hint="eastAsia" w:ascii="黑体" w:hAnsi="黑体" w:eastAsia="黑体"/>
          <w:sz w:val="32"/>
          <w:szCs w:val="32"/>
          <w:u w:val="none"/>
        </w:rPr>
        <w:t>预算情况说明</w:t>
      </w:r>
    </w:p>
    <w:p w14:paraId="5B100C02">
      <w:pPr>
        <w:keepNext w:val="0"/>
        <w:keepLines w:val="0"/>
        <w:pageBreakBefore w:val="0"/>
        <w:kinsoku/>
        <w:wordWrap/>
        <w:overflowPunct/>
        <w:topLinePunct w:val="0"/>
        <w:autoSpaceDE/>
        <w:autoSpaceDN/>
        <w:bidi w:val="0"/>
        <w:adjustRightInd/>
        <w:snapToGrid/>
        <w:spacing w:line="590" w:lineRule="exact"/>
        <w:jc w:val="both"/>
        <w:textAlignment w:val="auto"/>
        <w:rPr>
          <w:rFonts w:ascii="黑体" w:hAnsi="黑体" w:eastAsia="黑体"/>
          <w:sz w:val="32"/>
          <w:szCs w:val="32"/>
          <w:u w:val="none"/>
        </w:rPr>
      </w:pPr>
    </w:p>
    <w:p w14:paraId="09387550">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方正黑体_GBK" w:hAnsi="方正黑体_GBK" w:eastAsia="方正黑体_GBK" w:cs="方正黑体_GBK"/>
          <w:sz w:val="32"/>
          <w:szCs w:val="32"/>
          <w:u w:val="none"/>
        </w:rPr>
      </w:pPr>
      <w:r>
        <w:rPr>
          <w:rFonts w:hint="eastAsia" w:ascii="方正黑体_GBK" w:hAnsi="方正黑体_GBK" w:eastAsia="方正黑体_GBK" w:cs="方正黑体_GBK"/>
          <w:sz w:val="32"/>
          <w:szCs w:val="32"/>
          <w:u w:val="none"/>
        </w:rPr>
        <w:t>一、财政拨款收支预算</w:t>
      </w:r>
      <w:r>
        <w:rPr>
          <w:rFonts w:hint="eastAsia" w:ascii="方正黑体_GBK" w:hAnsi="方正黑体_GBK" w:eastAsia="方正黑体_GBK" w:cs="方正黑体_GBK"/>
          <w:sz w:val="32"/>
          <w:szCs w:val="32"/>
          <w:u w:val="none"/>
          <w:lang w:eastAsia="zh-CN"/>
        </w:rPr>
        <w:t>总体</w:t>
      </w:r>
      <w:r>
        <w:rPr>
          <w:rFonts w:hint="eastAsia" w:ascii="方正黑体_GBK" w:hAnsi="方正黑体_GBK" w:eastAsia="方正黑体_GBK" w:cs="方正黑体_GBK"/>
          <w:sz w:val="32"/>
          <w:szCs w:val="32"/>
          <w:u w:val="none"/>
        </w:rPr>
        <w:t>情况说明</w:t>
      </w:r>
    </w:p>
    <w:p w14:paraId="6FE83488">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仿宋_GB2312" w:hAnsi="黑体" w:eastAsia="仿宋_GB2312"/>
          <w:sz w:val="32"/>
          <w:szCs w:val="32"/>
          <w:u w:val="none"/>
        </w:rPr>
      </w:pPr>
      <w:r>
        <w:rPr>
          <w:rFonts w:hint="eastAsia" w:ascii="仿宋" w:hAnsi="仿宋" w:eastAsia="仿宋" w:cs="仿宋"/>
          <w:sz w:val="32"/>
          <w:szCs w:val="32"/>
        </w:rPr>
        <w:t>屯昌县南吕镇第二幼儿园</w:t>
      </w:r>
      <w:r>
        <w:rPr>
          <w:rFonts w:hint="eastAsia" w:ascii="仿宋_GB2312" w:hAnsi="黑体" w:eastAsia="仿宋_GB2312"/>
          <w:sz w:val="32"/>
          <w:szCs w:val="32"/>
          <w:u w:val="none"/>
          <w:lang w:val="en-US" w:eastAsia="zh-CN"/>
        </w:rPr>
        <w:t>2</w:t>
      </w:r>
      <w:r>
        <w:rPr>
          <w:rFonts w:hint="eastAsia" w:ascii="仿宋_GB2312" w:hAnsi="黑体" w:eastAsia="仿宋_GB2312" w:cs="仿宋_GB2312"/>
          <w:sz w:val="32"/>
          <w:szCs w:val="32"/>
          <w:u w:val="none"/>
          <w:lang w:val="en-US" w:eastAsia="zh-CN"/>
        </w:rPr>
        <w:t>026</w:t>
      </w:r>
      <w:r>
        <w:rPr>
          <w:rFonts w:hint="eastAsia" w:ascii="仿宋_GB2312" w:hAnsi="黑体" w:eastAsia="仿宋_GB2312"/>
          <w:sz w:val="32"/>
          <w:szCs w:val="32"/>
          <w:u w:val="none"/>
        </w:rPr>
        <w:t>年财政拨款收支总预算</w:t>
      </w:r>
      <w:r>
        <w:rPr>
          <w:rFonts w:hint="eastAsia" w:ascii="仿宋_GB2312" w:hAnsi="黑体" w:eastAsia="仿宋_GB2312" w:cs="仿宋_GB2312"/>
          <w:sz w:val="32"/>
          <w:szCs w:val="32"/>
          <w:u w:val="none"/>
          <w:lang w:val="en-US" w:eastAsia="zh-CN"/>
        </w:rPr>
        <w:t>66.35</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增加</w:t>
      </w:r>
      <w:r>
        <w:rPr>
          <w:rFonts w:hint="eastAsia" w:ascii="仿宋_GB2312" w:hAnsi="黑体" w:eastAsia="仿宋_GB2312" w:cs="仿宋_GB2312"/>
          <w:sz w:val="32"/>
          <w:szCs w:val="32"/>
          <w:u w:val="none"/>
          <w:lang w:val="en-US" w:eastAsia="zh-CN"/>
        </w:rPr>
        <w:t>7.88</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w:t>
      </w:r>
      <w:r>
        <w:rPr>
          <w:rFonts w:hint="eastAsia" w:ascii="仿宋_GB2312" w:hAnsi="黑体" w:eastAsia="仿宋_GB2312"/>
          <w:sz w:val="32"/>
          <w:szCs w:val="32"/>
          <w:u w:val="none"/>
        </w:rPr>
        <w:t>主要</w:t>
      </w:r>
      <w:r>
        <w:rPr>
          <w:rFonts w:hint="eastAsia" w:ascii="仿宋_GB2312" w:hAnsi="黑体" w:eastAsia="仿宋_GB2312"/>
          <w:sz w:val="32"/>
          <w:szCs w:val="32"/>
          <w:u w:val="none"/>
          <w:lang w:val="en-US" w:eastAsia="zh-CN"/>
        </w:rPr>
        <w:t>是人员增加</w:t>
      </w:r>
      <w:r>
        <w:rPr>
          <w:rFonts w:hint="eastAsia" w:ascii="仿宋_GB2312" w:hAnsi="黑体" w:eastAsia="仿宋_GB2312"/>
          <w:color w:val="auto"/>
          <w:sz w:val="32"/>
          <w:szCs w:val="32"/>
          <w:highlight w:val="none"/>
          <w:u w:val="none"/>
        </w:rPr>
        <w:t>。其中，收入总计</w:t>
      </w:r>
      <w:r>
        <w:rPr>
          <w:rFonts w:hint="eastAsia" w:ascii="仿宋_GB2312" w:hAnsi="黑体" w:eastAsia="仿宋_GB2312" w:cs="仿宋_GB2312"/>
          <w:sz w:val="32"/>
          <w:szCs w:val="32"/>
          <w:u w:val="none"/>
          <w:lang w:val="en-US" w:eastAsia="zh-CN"/>
        </w:rPr>
        <w:t>66.35</w:t>
      </w:r>
      <w:r>
        <w:rPr>
          <w:rFonts w:hint="eastAsia" w:ascii="仿宋_GB2312" w:hAnsi="黑体" w:eastAsia="仿宋_GB2312"/>
          <w:color w:val="auto"/>
          <w:sz w:val="32"/>
          <w:szCs w:val="32"/>
          <w:highlight w:val="none"/>
          <w:u w:val="none"/>
        </w:rPr>
        <w:t>万元，包括一般公共预算本年收入62.99万元、上年结转</w:t>
      </w:r>
      <w:r>
        <w:rPr>
          <w:rFonts w:hint="eastAsia" w:ascii="仿宋_GB2312" w:hAnsi="黑体" w:eastAsia="仿宋_GB2312" w:cs="仿宋_GB2312"/>
          <w:color w:val="auto"/>
          <w:sz w:val="32"/>
          <w:szCs w:val="32"/>
          <w:highlight w:val="none"/>
          <w:u w:val="none"/>
        </w:rPr>
        <w:t>3.36</w:t>
      </w:r>
      <w:r>
        <w:rPr>
          <w:rFonts w:hint="eastAsia" w:ascii="仿宋_GB2312" w:hAnsi="黑体" w:eastAsia="仿宋_GB2312"/>
          <w:color w:val="auto"/>
          <w:sz w:val="32"/>
          <w:szCs w:val="32"/>
          <w:highlight w:val="none"/>
          <w:u w:val="none"/>
        </w:rPr>
        <w:t>万元，政府性基金预算本年收入</w:t>
      </w:r>
      <w:r>
        <w:rPr>
          <w:rFonts w:hint="eastAsia" w:ascii="仿宋_GB2312" w:hAnsi="黑体" w:eastAsia="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万元、上年结转</w:t>
      </w:r>
      <w:r>
        <w:rPr>
          <w:rFonts w:hint="eastAsia" w:ascii="仿宋_GB2312" w:hAnsi="黑体" w:eastAsia="仿宋_GB2312" w:cs="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万元</w:t>
      </w:r>
      <w:r>
        <w:rPr>
          <w:rFonts w:hint="eastAsia" w:ascii="仿宋_GB2312" w:hAnsi="黑体" w:eastAsia="仿宋_GB2312"/>
          <w:color w:val="auto"/>
          <w:sz w:val="32"/>
          <w:szCs w:val="32"/>
          <w:highlight w:val="none"/>
          <w:u w:val="none"/>
          <w:lang w:eastAsia="zh-CN"/>
        </w:rPr>
        <w:t>，国有资本经营预算本年收入</w:t>
      </w:r>
      <w:r>
        <w:rPr>
          <w:rFonts w:hint="eastAsia" w:ascii="仿宋_GB2312" w:hAnsi="黑体" w:eastAsia="仿宋_GB2312" w:cs="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万元、上年结转</w:t>
      </w:r>
      <w:r>
        <w:rPr>
          <w:rFonts w:hint="eastAsia" w:ascii="仿宋_GB2312" w:hAnsi="黑体" w:eastAsia="仿宋_GB2312" w:cs="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万元</w:t>
      </w:r>
      <w:r>
        <w:rPr>
          <w:rFonts w:hint="eastAsia" w:ascii="仿宋_GB2312" w:hAnsi="黑体" w:eastAsia="仿宋_GB2312"/>
          <w:color w:val="auto"/>
          <w:sz w:val="32"/>
          <w:szCs w:val="32"/>
          <w:highlight w:val="none"/>
          <w:u w:val="none"/>
          <w:lang w:eastAsia="zh-CN"/>
        </w:rPr>
        <w:t>；</w:t>
      </w:r>
      <w:r>
        <w:rPr>
          <w:rFonts w:hint="eastAsia" w:ascii="仿宋_GB2312" w:hAnsi="黑体" w:eastAsia="仿宋_GB2312"/>
          <w:color w:val="auto"/>
          <w:sz w:val="32"/>
          <w:szCs w:val="32"/>
          <w:highlight w:val="none"/>
          <w:u w:val="none"/>
        </w:rPr>
        <w:t>支出总计66.35</w:t>
      </w:r>
      <w:r>
        <w:rPr>
          <w:rFonts w:hint="eastAsia" w:ascii="仿宋_GB2312" w:hAnsi="黑体" w:eastAsia="仿宋_GB2312"/>
          <w:color w:val="auto"/>
          <w:sz w:val="32"/>
          <w:szCs w:val="32"/>
          <w:u w:val="none"/>
        </w:rPr>
        <w:t>万元，包括</w:t>
      </w:r>
      <w:r>
        <w:rPr>
          <w:rFonts w:hint="eastAsia" w:ascii="仿宋" w:hAnsi="仿宋" w:eastAsia="仿宋" w:cs="仿宋"/>
          <w:sz w:val="32"/>
          <w:szCs w:val="32"/>
        </w:rPr>
        <w:t>教育支出</w:t>
      </w:r>
      <w:r>
        <w:rPr>
          <w:rFonts w:hint="eastAsia" w:ascii="仿宋" w:hAnsi="仿宋" w:eastAsia="仿宋" w:cs="仿宋"/>
          <w:sz w:val="32"/>
          <w:szCs w:val="32"/>
          <w:lang w:val="en-US" w:eastAsia="zh-CN"/>
        </w:rPr>
        <w:t>46.</w:t>
      </w:r>
      <w:bookmarkStart w:id="0" w:name="_GoBack"/>
      <w:bookmarkEnd w:id="0"/>
      <w:r>
        <w:rPr>
          <w:rFonts w:hint="eastAsia" w:ascii="仿宋" w:hAnsi="仿宋" w:eastAsia="仿宋" w:cs="仿宋"/>
          <w:sz w:val="32"/>
          <w:szCs w:val="32"/>
          <w:lang w:val="en-US" w:eastAsia="zh-CN"/>
        </w:rPr>
        <w:t>62</w:t>
      </w:r>
      <w:r>
        <w:rPr>
          <w:rFonts w:hint="eastAsia" w:ascii="仿宋" w:hAnsi="仿宋" w:eastAsia="仿宋" w:cs="仿宋"/>
          <w:sz w:val="32"/>
          <w:szCs w:val="32"/>
        </w:rPr>
        <w:t>万元、社会保障和就业支出</w:t>
      </w:r>
      <w:r>
        <w:rPr>
          <w:rFonts w:hint="eastAsia" w:ascii="仿宋" w:hAnsi="仿宋" w:eastAsia="仿宋" w:cs="仿宋"/>
          <w:sz w:val="32"/>
          <w:szCs w:val="32"/>
          <w:lang w:val="en-US" w:eastAsia="zh-CN"/>
        </w:rPr>
        <w:t>9.55</w:t>
      </w:r>
      <w:r>
        <w:rPr>
          <w:rFonts w:hint="eastAsia" w:ascii="仿宋" w:hAnsi="仿宋" w:eastAsia="仿宋" w:cs="仿宋"/>
          <w:sz w:val="32"/>
          <w:szCs w:val="32"/>
        </w:rPr>
        <w:t>万元、卫生健康支出</w:t>
      </w:r>
      <w:r>
        <w:rPr>
          <w:rFonts w:hint="eastAsia" w:ascii="仿宋" w:hAnsi="仿宋" w:eastAsia="仿宋" w:cs="仿宋"/>
          <w:sz w:val="32"/>
          <w:szCs w:val="32"/>
          <w:lang w:val="en-US" w:eastAsia="zh-CN"/>
        </w:rPr>
        <w:t>5.67</w:t>
      </w:r>
      <w:r>
        <w:rPr>
          <w:rFonts w:hint="eastAsia" w:ascii="仿宋" w:hAnsi="仿宋" w:eastAsia="仿宋" w:cs="仿宋"/>
          <w:sz w:val="32"/>
          <w:szCs w:val="32"/>
        </w:rPr>
        <w:t>万元、住房保障支出</w:t>
      </w:r>
      <w:r>
        <w:rPr>
          <w:rFonts w:hint="eastAsia" w:ascii="仿宋" w:hAnsi="仿宋" w:eastAsia="仿宋" w:cs="仿宋"/>
          <w:sz w:val="32"/>
          <w:szCs w:val="32"/>
          <w:lang w:val="en-US" w:eastAsia="zh-CN"/>
        </w:rPr>
        <w:t>4.51</w:t>
      </w:r>
      <w:r>
        <w:rPr>
          <w:rFonts w:hint="eastAsia" w:ascii="仿宋" w:hAnsi="仿宋" w:eastAsia="仿宋" w:cs="仿宋"/>
          <w:sz w:val="32"/>
          <w:szCs w:val="32"/>
        </w:rPr>
        <w:t>万元，结转下年0万元。</w:t>
      </w:r>
    </w:p>
    <w:p w14:paraId="208D003A">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ascii="黑体" w:hAnsi="黑体" w:eastAsia="黑体"/>
          <w:sz w:val="32"/>
          <w:szCs w:val="32"/>
          <w:u w:val="none"/>
        </w:rPr>
      </w:pPr>
      <w:r>
        <w:rPr>
          <w:rFonts w:hint="eastAsia" w:ascii="黑体" w:hAnsi="黑体" w:eastAsia="黑体"/>
          <w:sz w:val="32"/>
          <w:szCs w:val="32"/>
          <w:u w:val="none"/>
        </w:rPr>
        <w:t>二、一般公共预算当年拨款情况说明</w:t>
      </w:r>
    </w:p>
    <w:p w14:paraId="4810F101">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ascii="楷体" w:hAnsi="楷体" w:eastAsia="楷体"/>
          <w:sz w:val="32"/>
          <w:szCs w:val="32"/>
          <w:u w:val="none"/>
        </w:rPr>
      </w:pPr>
      <w:r>
        <w:rPr>
          <w:rFonts w:hint="eastAsia" w:ascii="楷体" w:hAnsi="楷体" w:eastAsia="楷体"/>
          <w:sz w:val="32"/>
          <w:szCs w:val="32"/>
          <w:u w:val="none"/>
        </w:rPr>
        <w:t>（一）一般公共预算当年规模变化情况</w:t>
      </w:r>
    </w:p>
    <w:p w14:paraId="21B7B63E">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仿宋_GB2312" w:hAnsi="黑体" w:eastAsia="仿宋_GB2312"/>
          <w:sz w:val="32"/>
          <w:szCs w:val="32"/>
          <w:u w:val="none"/>
        </w:rPr>
      </w:pPr>
      <w:r>
        <w:rPr>
          <w:rFonts w:hint="eastAsia" w:ascii="仿宋" w:hAnsi="仿宋" w:eastAsia="仿宋" w:cs="仿宋"/>
          <w:sz w:val="32"/>
          <w:szCs w:val="32"/>
        </w:rPr>
        <w:t>屯昌县南吕镇第二幼儿园</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年一般公共预算当年拨款</w:t>
      </w:r>
      <w:r>
        <w:rPr>
          <w:rFonts w:hint="eastAsia" w:ascii="仿宋_GB2312" w:hAnsi="黑体" w:eastAsia="仿宋_GB2312"/>
          <w:color w:val="auto"/>
          <w:sz w:val="32"/>
          <w:szCs w:val="32"/>
          <w:highlight w:val="none"/>
          <w:u w:val="none"/>
        </w:rPr>
        <w:t>66.35</w:t>
      </w:r>
      <w:r>
        <w:rPr>
          <w:rFonts w:hint="eastAsia" w:ascii="仿宋_GB2312" w:hAnsi="黑体" w:eastAsia="仿宋_GB2312"/>
          <w:sz w:val="32"/>
          <w:szCs w:val="32"/>
          <w:u w:val="none"/>
        </w:rPr>
        <w:t>万元，比上年预算数</w:t>
      </w:r>
      <w:r>
        <w:rPr>
          <w:rFonts w:hint="eastAsia" w:ascii="仿宋_GB2312" w:hAnsi="黑体" w:eastAsia="仿宋_GB2312" w:cs="仿宋_GB2312"/>
          <w:sz w:val="32"/>
          <w:szCs w:val="32"/>
          <w:u w:val="none"/>
        </w:rPr>
        <w:t>增加</w:t>
      </w:r>
      <w:r>
        <w:rPr>
          <w:rFonts w:hint="eastAsia" w:ascii="仿宋_GB2312" w:hAnsi="黑体" w:eastAsia="仿宋_GB2312" w:cs="仿宋_GB2312"/>
          <w:sz w:val="32"/>
          <w:szCs w:val="32"/>
          <w:u w:val="none"/>
          <w:lang w:val="en-US" w:eastAsia="zh-CN"/>
        </w:rPr>
        <w:t>7.88</w:t>
      </w:r>
      <w:r>
        <w:rPr>
          <w:rFonts w:hint="eastAsia" w:ascii="仿宋_GB2312" w:hAnsi="黑体" w:eastAsia="仿宋_GB2312"/>
          <w:sz w:val="32"/>
          <w:szCs w:val="32"/>
          <w:u w:val="none"/>
        </w:rPr>
        <w:t>万元，主要是</w:t>
      </w:r>
      <w:r>
        <w:rPr>
          <w:rFonts w:hint="eastAsia" w:ascii="仿宋_GB2312" w:hAnsi="黑体" w:eastAsia="仿宋_GB2312"/>
          <w:sz w:val="32"/>
          <w:szCs w:val="32"/>
          <w:u w:val="none"/>
          <w:lang w:val="en-US" w:eastAsia="zh-CN"/>
        </w:rPr>
        <w:t>人员增加</w:t>
      </w:r>
      <w:r>
        <w:rPr>
          <w:rFonts w:hint="eastAsia" w:ascii="仿宋_GB2312" w:hAnsi="黑体" w:eastAsia="仿宋_GB2312"/>
          <w:sz w:val="32"/>
          <w:szCs w:val="32"/>
          <w:u w:val="none"/>
          <w:lang w:eastAsia="zh-CN"/>
        </w:rPr>
        <w:t>。</w:t>
      </w:r>
    </w:p>
    <w:p w14:paraId="3D826D04">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ascii="楷体" w:hAnsi="楷体" w:eastAsia="楷体"/>
          <w:sz w:val="32"/>
          <w:szCs w:val="32"/>
          <w:u w:val="none"/>
        </w:rPr>
      </w:pPr>
      <w:r>
        <w:rPr>
          <w:rFonts w:hint="eastAsia" w:ascii="楷体" w:hAnsi="楷体" w:eastAsia="楷体"/>
          <w:sz w:val="32"/>
          <w:szCs w:val="32"/>
          <w:u w:val="none"/>
        </w:rPr>
        <w:t>（二）一般公共预算当年拨款结构情况</w:t>
      </w:r>
    </w:p>
    <w:p w14:paraId="4F9C790C">
      <w:pPr>
        <w:spacing w:line="578" w:lineRule="exact"/>
        <w:ind w:firstLine="640" w:firstLineChars="200"/>
        <w:jc w:val="left"/>
        <w:rPr>
          <w:rFonts w:hint="eastAsia" w:ascii="仿宋" w:hAnsi="仿宋" w:eastAsia="仿宋" w:cs="仿宋"/>
          <w:sz w:val="32"/>
          <w:szCs w:val="32"/>
          <w:lang w:eastAsia="zh-CN"/>
        </w:rPr>
      </w:pPr>
      <w:r>
        <w:rPr>
          <w:rFonts w:hint="eastAsia" w:ascii="仿宋" w:hAnsi="仿宋" w:eastAsia="仿宋" w:cs="仿宋"/>
          <w:sz w:val="32"/>
          <w:szCs w:val="32"/>
        </w:rPr>
        <w:t>教育（类）支出46.62万元，占</w:t>
      </w:r>
      <w:r>
        <w:rPr>
          <w:rFonts w:hint="eastAsia" w:ascii="仿宋" w:hAnsi="仿宋" w:eastAsia="仿宋" w:cs="仿宋"/>
          <w:sz w:val="32"/>
          <w:szCs w:val="32"/>
          <w:lang w:val="en-US" w:eastAsia="zh-CN"/>
        </w:rPr>
        <w:t>70.26</w:t>
      </w:r>
      <w:r>
        <w:rPr>
          <w:rFonts w:hint="eastAsia" w:ascii="仿宋" w:hAnsi="仿宋" w:eastAsia="仿宋" w:cs="仿宋"/>
          <w:sz w:val="32"/>
          <w:szCs w:val="32"/>
        </w:rPr>
        <w:t>%</w:t>
      </w:r>
      <w:r>
        <w:rPr>
          <w:rFonts w:hint="eastAsia" w:ascii="仿宋" w:hAnsi="仿宋" w:eastAsia="仿宋" w:cs="仿宋"/>
          <w:sz w:val="32"/>
          <w:szCs w:val="32"/>
          <w:lang w:eastAsia="zh-CN"/>
        </w:rPr>
        <w:t>；</w:t>
      </w:r>
      <w:r>
        <w:rPr>
          <w:rFonts w:hint="eastAsia" w:ascii="仿宋" w:hAnsi="仿宋" w:eastAsia="仿宋" w:cs="仿宋"/>
          <w:sz w:val="32"/>
          <w:szCs w:val="32"/>
        </w:rPr>
        <w:t>社会保障和就业（类）支出</w:t>
      </w:r>
      <w:r>
        <w:rPr>
          <w:rFonts w:hint="eastAsia" w:ascii="仿宋" w:hAnsi="仿宋" w:eastAsia="仿宋" w:cs="仿宋"/>
          <w:sz w:val="32"/>
          <w:szCs w:val="32"/>
          <w:lang w:val="en-US" w:eastAsia="zh-CN"/>
        </w:rPr>
        <w:t>9.55</w:t>
      </w:r>
      <w:r>
        <w:rPr>
          <w:rFonts w:hint="eastAsia" w:ascii="仿宋" w:hAnsi="仿宋" w:eastAsia="仿宋" w:cs="仿宋"/>
          <w:sz w:val="32"/>
          <w:szCs w:val="32"/>
        </w:rPr>
        <w:t>万元，占</w:t>
      </w:r>
      <w:r>
        <w:rPr>
          <w:rFonts w:hint="eastAsia" w:ascii="仿宋" w:hAnsi="仿宋" w:eastAsia="仿宋" w:cs="仿宋"/>
          <w:sz w:val="32"/>
          <w:szCs w:val="32"/>
          <w:lang w:val="en-US" w:eastAsia="zh-CN"/>
        </w:rPr>
        <w:t>14.39</w:t>
      </w:r>
      <w:r>
        <w:rPr>
          <w:rFonts w:hint="eastAsia" w:ascii="仿宋" w:hAnsi="仿宋" w:eastAsia="仿宋" w:cs="仿宋"/>
          <w:sz w:val="32"/>
          <w:szCs w:val="32"/>
        </w:rPr>
        <w:t>%；卫生健康（类）支出</w:t>
      </w:r>
      <w:r>
        <w:rPr>
          <w:rFonts w:hint="eastAsia" w:ascii="仿宋" w:hAnsi="仿宋" w:eastAsia="仿宋" w:cs="仿宋"/>
          <w:sz w:val="32"/>
          <w:szCs w:val="32"/>
          <w:lang w:val="en-US" w:eastAsia="zh-CN"/>
        </w:rPr>
        <w:t>5.67</w:t>
      </w:r>
      <w:r>
        <w:rPr>
          <w:rFonts w:hint="eastAsia" w:ascii="仿宋" w:hAnsi="仿宋" w:eastAsia="仿宋" w:cs="仿宋"/>
          <w:sz w:val="32"/>
          <w:szCs w:val="32"/>
        </w:rPr>
        <w:t>万元，占</w:t>
      </w:r>
      <w:r>
        <w:rPr>
          <w:rFonts w:hint="eastAsia" w:ascii="仿宋" w:hAnsi="仿宋" w:eastAsia="仿宋" w:cs="仿宋"/>
          <w:sz w:val="32"/>
          <w:szCs w:val="32"/>
          <w:lang w:val="en-US" w:eastAsia="zh-CN"/>
        </w:rPr>
        <w:t>8.55</w:t>
      </w:r>
      <w:r>
        <w:rPr>
          <w:rFonts w:hint="eastAsia" w:ascii="仿宋" w:hAnsi="仿宋" w:eastAsia="仿宋" w:cs="仿宋"/>
          <w:sz w:val="32"/>
          <w:szCs w:val="32"/>
        </w:rPr>
        <w:t>%；住房保障（类）支出</w:t>
      </w:r>
      <w:r>
        <w:rPr>
          <w:rFonts w:hint="eastAsia" w:ascii="仿宋" w:hAnsi="仿宋" w:eastAsia="仿宋" w:cs="仿宋"/>
          <w:sz w:val="32"/>
          <w:szCs w:val="32"/>
          <w:lang w:val="en-US" w:eastAsia="zh-CN"/>
        </w:rPr>
        <w:t>4.51</w:t>
      </w:r>
      <w:r>
        <w:rPr>
          <w:rFonts w:hint="eastAsia" w:ascii="仿宋" w:hAnsi="仿宋" w:eastAsia="仿宋" w:cs="仿宋"/>
          <w:sz w:val="32"/>
          <w:szCs w:val="32"/>
        </w:rPr>
        <w:t>万元，占</w:t>
      </w:r>
      <w:r>
        <w:rPr>
          <w:rFonts w:hint="eastAsia" w:ascii="仿宋" w:hAnsi="仿宋" w:eastAsia="仿宋" w:cs="仿宋"/>
          <w:sz w:val="32"/>
          <w:szCs w:val="32"/>
          <w:lang w:val="en-US" w:eastAsia="zh-CN"/>
        </w:rPr>
        <w:t>6.80</w:t>
      </w:r>
      <w:r>
        <w:rPr>
          <w:rFonts w:hint="eastAsia" w:ascii="仿宋" w:hAnsi="仿宋" w:eastAsia="仿宋" w:cs="仿宋"/>
          <w:sz w:val="32"/>
          <w:szCs w:val="32"/>
        </w:rPr>
        <w:t>%。</w:t>
      </w:r>
    </w:p>
    <w:p w14:paraId="11F48BEE">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ascii="楷体" w:hAnsi="楷体" w:eastAsia="楷体"/>
          <w:sz w:val="32"/>
          <w:szCs w:val="32"/>
          <w:u w:val="none"/>
        </w:rPr>
      </w:pPr>
      <w:r>
        <w:rPr>
          <w:rFonts w:hint="eastAsia" w:ascii="楷体" w:hAnsi="楷体" w:eastAsia="楷体"/>
          <w:sz w:val="32"/>
          <w:szCs w:val="32"/>
          <w:u w:val="none"/>
        </w:rPr>
        <w:t>（三）一般公共预算当年拨款具体使用情况</w:t>
      </w:r>
    </w:p>
    <w:p w14:paraId="35A93359">
      <w:pPr>
        <w:spacing w:line="578" w:lineRule="exact"/>
        <w:ind w:firstLine="640" w:firstLineChars="200"/>
        <w:jc w:val="left"/>
        <w:rPr>
          <w:rFonts w:hint="eastAsia" w:ascii="仿宋_GB2312" w:hAnsi="黑体" w:eastAsia="仿宋_GB2312"/>
          <w:sz w:val="32"/>
          <w:szCs w:val="32"/>
          <w:u w:val="none"/>
        </w:rPr>
      </w:pPr>
      <w:r>
        <w:rPr>
          <w:rFonts w:hint="eastAsia" w:ascii="仿宋_GB2312" w:hAnsi="黑体" w:eastAsia="仿宋_GB2312"/>
          <w:sz w:val="32"/>
          <w:szCs w:val="32"/>
          <w:u w:val="none"/>
        </w:rPr>
        <w:t>1.</w:t>
      </w:r>
      <w:r>
        <w:rPr>
          <w:rFonts w:hint="eastAsia" w:ascii="仿宋" w:hAnsi="仿宋" w:eastAsia="仿宋" w:cs="仿宋"/>
          <w:sz w:val="32"/>
          <w:szCs w:val="32"/>
        </w:rPr>
        <w:t>一般公共服务（类）普通教育（款）学前教育（项）</w:t>
      </w:r>
      <w:r>
        <w:rPr>
          <w:rFonts w:hint="eastAsia" w:ascii="仿宋" w:hAnsi="仿宋" w:eastAsia="仿宋" w:cs="仿宋"/>
          <w:sz w:val="32"/>
          <w:szCs w:val="32"/>
          <w:lang w:eastAsia="zh-CN"/>
        </w:rPr>
        <w:t>202</w:t>
      </w:r>
      <w:r>
        <w:rPr>
          <w:rFonts w:hint="eastAsia" w:ascii="仿宋" w:hAnsi="仿宋" w:eastAsia="仿宋" w:cs="仿宋"/>
          <w:sz w:val="32"/>
          <w:szCs w:val="32"/>
          <w:lang w:val="en-US" w:eastAsia="zh-CN"/>
        </w:rPr>
        <w:t>6</w:t>
      </w:r>
      <w:r>
        <w:rPr>
          <w:rFonts w:hint="eastAsia" w:ascii="仿宋" w:hAnsi="仿宋" w:eastAsia="仿宋" w:cs="仿宋"/>
          <w:sz w:val="32"/>
          <w:szCs w:val="32"/>
        </w:rPr>
        <w:t>年预算数为46.62万元，比上年预算数增加</w:t>
      </w:r>
      <w:r>
        <w:rPr>
          <w:rFonts w:hint="eastAsia" w:ascii="仿宋" w:hAnsi="仿宋" w:eastAsia="仿宋" w:cs="仿宋"/>
          <w:sz w:val="32"/>
          <w:szCs w:val="32"/>
          <w:lang w:val="en-US" w:eastAsia="zh-CN"/>
        </w:rPr>
        <w:t>2.94</w:t>
      </w:r>
      <w:r>
        <w:rPr>
          <w:rFonts w:hint="eastAsia" w:ascii="仿宋" w:hAnsi="仿宋" w:eastAsia="仿宋" w:cs="仿宋"/>
          <w:sz w:val="32"/>
          <w:szCs w:val="32"/>
        </w:rPr>
        <w:t>万元，主要是</w:t>
      </w:r>
      <w:r>
        <w:rPr>
          <w:rFonts w:hint="eastAsia" w:ascii="仿宋_GB2312" w:hAnsi="黑体" w:eastAsia="仿宋_GB2312"/>
          <w:sz w:val="32"/>
          <w:szCs w:val="32"/>
          <w:u w:val="none"/>
          <w:lang w:val="en-US" w:eastAsia="zh-CN"/>
        </w:rPr>
        <w:t>人员增加</w:t>
      </w:r>
      <w:r>
        <w:rPr>
          <w:rFonts w:hint="eastAsia" w:ascii="仿宋" w:hAnsi="仿宋" w:eastAsia="仿宋" w:cs="仿宋"/>
          <w:sz w:val="32"/>
          <w:szCs w:val="32"/>
        </w:rPr>
        <w:t>。</w:t>
      </w:r>
    </w:p>
    <w:p w14:paraId="4ED23644">
      <w:pPr>
        <w:keepNext w:val="0"/>
        <w:keepLines w:val="0"/>
        <w:pageBreakBefore w:val="0"/>
        <w:kinsoku/>
        <w:wordWrap/>
        <w:overflowPunct/>
        <w:topLinePunct w:val="0"/>
        <w:autoSpaceDE/>
        <w:autoSpaceDN/>
        <w:bidi w:val="0"/>
        <w:adjustRightInd/>
        <w:snapToGrid/>
        <w:spacing w:line="590" w:lineRule="exact"/>
        <w:ind w:firstLine="800" w:firstLineChars="250"/>
        <w:jc w:val="both"/>
        <w:textAlignment w:val="auto"/>
        <w:rPr>
          <w:rFonts w:hint="eastAsia" w:ascii="方正仿宋_GBK" w:hAnsi="方正仿宋_GBK" w:eastAsia="方正仿宋_GBK" w:cs="方正仿宋_GBK"/>
          <w:sz w:val="32"/>
          <w:szCs w:val="32"/>
          <w:u w:val="none"/>
        </w:rPr>
      </w:pPr>
      <w:r>
        <w:rPr>
          <w:rFonts w:hint="eastAsia" w:ascii="仿宋_GB2312" w:hAnsi="黑体" w:eastAsia="仿宋_GB2312"/>
          <w:sz w:val="32"/>
          <w:szCs w:val="32"/>
          <w:u w:val="none"/>
        </w:rPr>
        <w:t xml:space="preserve">2. </w:t>
      </w:r>
      <w:r>
        <w:rPr>
          <w:rFonts w:hint="eastAsia" w:ascii="仿宋" w:hAnsi="仿宋" w:eastAsia="仿宋" w:cs="仿宋"/>
          <w:sz w:val="32"/>
          <w:szCs w:val="32"/>
        </w:rPr>
        <w:t>社会保障和就业支出（类）行政事业单位养老支出（款）机关事业单位基本养老保险缴费支出（项）</w:t>
      </w:r>
      <w:r>
        <w:rPr>
          <w:rFonts w:hint="eastAsia" w:ascii="仿宋" w:hAnsi="仿宋" w:eastAsia="仿宋" w:cs="仿宋"/>
          <w:sz w:val="32"/>
          <w:szCs w:val="32"/>
          <w:lang w:eastAsia="zh-CN"/>
        </w:rPr>
        <w:t>202</w:t>
      </w:r>
      <w:r>
        <w:rPr>
          <w:rFonts w:hint="eastAsia" w:ascii="仿宋" w:hAnsi="仿宋" w:eastAsia="仿宋" w:cs="仿宋"/>
          <w:sz w:val="32"/>
          <w:szCs w:val="32"/>
          <w:lang w:val="en-US" w:eastAsia="zh-CN"/>
        </w:rPr>
        <w:t>6</w:t>
      </w:r>
      <w:r>
        <w:rPr>
          <w:rFonts w:hint="eastAsia" w:ascii="仿宋" w:hAnsi="仿宋" w:eastAsia="仿宋" w:cs="仿宋"/>
          <w:sz w:val="32"/>
          <w:szCs w:val="32"/>
        </w:rPr>
        <w:t>年预算数为</w:t>
      </w:r>
      <w:r>
        <w:rPr>
          <w:rFonts w:hint="eastAsia" w:ascii="仿宋" w:hAnsi="仿宋" w:eastAsia="仿宋" w:cs="仿宋"/>
          <w:sz w:val="32"/>
          <w:szCs w:val="32"/>
          <w:lang w:val="en-US" w:eastAsia="zh-CN"/>
        </w:rPr>
        <w:t>9.55万元，机关事业单位职业年金缴费支出</w:t>
      </w:r>
      <w:r>
        <w:rPr>
          <w:rFonts w:hint="eastAsia" w:ascii="仿宋" w:hAnsi="仿宋" w:eastAsia="仿宋" w:cs="仿宋"/>
          <w:sz w:val="32"/>
          <w:szCs w:val="32"/>
        </w:rPr>
        <w:t>（项）</w:t>
      </w:r>
      <w:r>
        <w:rPr>
          <w:rFonts w:hint="eastAsia" w:ascii="仿宋" w:hAnsi="仿宋" w:eastAsia="仿宋" w:cs="仿宋"/>
          <w:sz w:val="32"/>
          <w:szCs w:val="32"/>
          <w:lang w:val="en-US" w:eastAsia="zh-CN"/>
        </w:rPr>
        <w:t>6.43</w:t>
      </w:r>
      <w:r>
        <w:rPr>
          <w:rFonts w:hint="eastAsia" w:ascii="仿宋" w:hAnsi="仿宋" w:eastAsia="仿宋" w:cs="仿宋"/>
          <w:sz w:val="32"/>
          <w:szCs w:val="32"/>
        </w:rPr>
        <w:t>万元，机关事业单位职业年金缴费支出（项）</w:t>
      </w:r>
      <w:r>
        <w:rPr>
          <w:rFonts w:hint="eastAsia" w:ascii="仿宋" w:hAnsi="仿宋" w:eastAsia="仿宋" w:cs="仿宋"/>
          <w:sz w:val="32"/>
          <w:szCs w:val="32"/>
          <w:lang w:val="en-US" w:eastAsia="zh-CN"/>
        </w:rPr>
        <w:t>3.12</w:t>
      </w:r>
      <w:r>
        <w:rPr>
          <w:rFonts w:hint="eastAsia" w:ascii="仿宋" w:hAnsi="仿宋" w:eastAsia="仿宋" w:cs="仿宋"/>
          <w:sz w:val="32"/>
          <w:szCs w:val="32"/>
        </w:rPr>
        <w:t>万元</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合计：9.55万元，</w:t>
      </w:r>
      <w:r>
        <w:rPr>
          <w:rFonts w:hint="eastAsia" w:ascii="仿宋" w:hAnsi="仿宋" w:eastAsia="仿宋" w:cs="仿宋"/>
          <w:sz w:val="32"/>
          <w:szCs w:val="32"/>
        </w:rPr>
        <w:t>比上年预算数增加</w:t>
      </w:r>
      <w:r>
        <w:rPr>
          <w:rFonts w:hint="eastAsia" w:ascii="仿宋" w:hAnsi="仿宋" w:eastAsia="仿宋" w:cs="仿宋"/>
          <w:sz w:val="32"/>
          <w:szCs w:val="32"/>
          <w:lang w:val="en-US" w:eastAsia="zh-CN"/>
        </w:rPr>
        <w:t>4.73</w:t>
      </w:r>
      <w:r>
        <w:rPr>
          <w:rFonts w:hint="eastAsia" w:ascii="仿宋" w:hAnsi="仿宋" w:eastAsia="仿宋" w:cs="仿宋"/>
          <w:sz w:val="32"/>
          <w:szCs w:val="32"/>
        </w:rPr>
        <w:t>万元，</w:t>
      </w:r>
      <w:r>
        <w:rPr>
          <w:rFonts w:hint="eastAsia" w:ascii="仿宋_GB2312" w:hAnsi="黑体" w:eastAsia="仿宋_GB2312"/>
          <w:sz w:val="32"/>
          <w:szCs w:val="32"/>
          <w:u w:val="none"/>
        </w:rPr>
        <w:t>，主要是</w:t>
      </w:r>
      <w:r>
        <w:rPr>
          <w:rFonts w:hint="eastAsia" w:ascii="仿宋_GB2312" w:hAnsi="黑体" w:eastAsia="仿宋_GB2312"/>
          <w:sz w:val="32"/>
          <w:szCs w:val="32"/>
          <w:u w:val="none"/>
          <w:lang w:val="en-US" w:eastAsia="zh-CN"/>
        </w:rPr>
        <w:t>人员增加</w:t>
      </w:r>
      <w:r>
        <w:rPr>
          <w:rFonts w:hint="eastAsia" w:ascii="仿宋_GB2312" w:hAnsi="黑体" w:eastAsia="仿宋_GB2312"/>
          <w:sz w:val="32"/>
          <w:szCs w:val="32"/>
          <w:u w:val="none"/>
          <w:lang w:eastAsia="zh-CN"/>
        </w:rPr>
        <w:t>。</w:t>
      </w:r>
    </w:p>
    <w:p w14:paraId="2AFAF850">
      <w:pPr>
        <w:spacing w:line="578"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lang w:val="en-US" w:eastAsia="zh-CN"/>
        </w:rPr>
        <w:t>3.</w:t>
      </w:r>
      <w:r>
        <w:rPr>
          <w:rFonts w:hint="eastAsia" w:ascii="仿宋" w:hAnsi="仿宋" w:eastAsia="仿宋" w:cs="仿宋"/>
          <w:sz w:val="32"/>
          <w:szCs w:val="32"/>
        </w:rPr>
        <w:t>卫生健康支出（类）行政事业单位医疗（款）</w:t>
      </w:r>
      <w:r>
        <w:rPr>
          <w:rFonts w:hint="eastAsia" w:ascii="仿宋" w:hAnsi="仿宋" w:eastAsia="仿宋" w:cs="仿宋"/>
          <w:sz w:val="32"/>
          <w:szCs w:val="32"/>
          <w:lang w:eastAsia="zh-CN"/>
        </w:rPr>
        <w:t>202</w:t>
      </w:r>
      <w:r>
        <w:rPr>
          <w:rFonts w:hint="eastAsia" w:ascii="仿宋" w:hAnsi="仿宋" w:eastAsia="仿宋" w:cs="仿宋"/>
          <w:sz w:val="32"/>
          <w:szCs w:val="32"/>
          <w:lang w:val="en-US" w:eastAsia="zh-CN"/>
        </w:rPr>
        <w:t>6</w:t>
      </w:r>
      <w:r>
        <w:rPr>
          <w:rFonts w:hint="eastAsia" w:ascii="仿宋" w:hAnsi="仿宋" w:eastAsia="仿宋" w:cs="仿宋"/>
          <w:sz w:val="32"/>
          <w:szCs w:val="32"/>
        </w:rPr>
        <w:t>年预算数为</w:t>
      </w:r>
      <w:r>
        <w:rPr>
          <w:rFonts w:hint="eastAsia" w:ascii="仿宋" w:hAnsi="仿宋" w:eastAsia="仿宋" w:cs="仿宋"/>
          <w:sz w:val="32"/>
          <w:szCs w:val="32"/>
          <w:lang w:val="en-US" w:eastAsia="zh-CN"/>
        </w:rPr>
        <w:t>5.67</w:t>
      </w:r>
      <w:r>
        <w:rPr>
          <w:rFonts w:hint="eastAsia" w:ascii="仿宋" w:hAnsi="仿宋" w:eastAsia="仿宋" w:cs="仿宋"/>
          <w:sz w:val="32"/>
          <w:szCs w:val="32"/>
        </w:rPr>
        <w:t>万元，事业单位医疗（项）</w:t>
      </w:r>
      <w:r>
        <w:rPr>
          <w:rFonts w:hint="eastAsia" w:ascii="仿宋" w:hAnsi="仿宋" w:eastAsia="仿宋" w:cs="仿宋"/>
          <w:sz w:val="32"/>
          <w:szCs w:val="32"/>
          <w:lang w:val="en-US" w:eastAsia="zh-CN"/>
        </w:rPr>
        <w:t>1.78</w:t>
      </w:r>
      <w:r>
        <w:rPr>
          <w:rFonts w:hint="eastAsia" w:ascii="仿宋" w:hAnsi="仿宋" w:eastAsia="仿宋" w:cs="仿宋"/>
          <w:sz w:val="32"/>
          <w:szCs w:val="32"/>
        </w:rPr>
        <w:t>万元</w:t>
      </w:r>
      <w:r>
        <w:rPr>
          <w:rFonts w:hint="eastAsia" w:ascii="仿宋" w:hAnsi="仿宋" w:eastAsia="仿宋" w:cs="仿宋"/>
          <w:sz w:val="32"/>
          <w:szCs w:val="32"/>
          <w:lang w:eastAsia="zh-CN"/>
        </w:rPr>
        <w:t>，</w:t>
      </w:r>
      <w:r>
        <w:rPr>
          <w:rFonts w:hint="eastAsia" w:ascii="仿宋" w:hAnsi="仿宋" w:eastAsia="仿宋" w:cs="仿宋"/>
          <w:sz w:val="32"/>
          <w:szCs w:val="32"/>
        </w:rPr>
        <w:t>公务员医疗补助（项）</w:t>
      </w:r>
      <w:r>
        <w:rPr>
          <w:rFonts w:hint="eastAsia" w:ascii="仿宋" w:hAnsi="仿宋" w:eastAsia="仿宋" w:cs="仿宋"/>
          <w:sz w:val="32"/>
          <w:szCs w:val="32"/>
          <w:lang w:val="en-US" w:eastAsia="zh-CN"/>
        </w:rPr>
        <w:t>3.67</w:t>
      </w:r>
      <w:r>
        <w:rPr>
          <w:rFonts w:hint="eastAsia" w:ascii="仿宋" w:hAnsi="仿宋" w:eastAsia="仿宋" w:cs="仿宋"/>
          <w:sz w:val="32"/>
          <w:szCs w:val="32"/>
        </w:rPr>
        <w:t>万元，其他行政事业单位医疗支出（项）</w:t>
      </w:r>
      <w:r>
        <w:rPr>
          <w:rFonts w:hint="eastAsia" w:ascii="仿宋" w:hAnsi="仿宋" w:eastAsia="仿宋" w:cs="仿宋"/>
          <w:sz w:val="32"/>
          <w:szCs w:val="32"/>
          <w:lang w:val="en-US" w:eastAsia="zh-CN"/>
        </w:rPr>
        <w:t>0.22</w:t>
      </w:r>
      <w:r>
        <w:rPr>
          <w:rFonts w:hint="eastAsia" w:ascii="仿宋" w:hAnsi="仿宋" w:eastAsia="仿宋" w:cs="仿宋"/>
          <w:sz w:val="32"/>
          <w:szCs w:val="32"/>
        </w:rPr>
        <w:t>万元，合计：</w:t>
      </w:r>
      <w:r>
        <w:rPr>
          <w:rFonts w:hint="eastAsia" w:ascii="仿宋" w:hAnsi="仿宋" w:eastAsia="仿宋" w:cs="仿宋"/>
          <w:sz w:val="32"/>
          <w:szCs w:val="32"/>
          <w:lang w:val="en-US" w:eastAsia="zh-CN"/>
        </w:rPr>
        <w:t>5.67</w:t>
      </w:r>
      <w:r>
        <w:rPr>
          <w:rFonts w:hint="eastAsia" w:ascii="仿宋" w:hAnsi="仿宋" w:eastAsia="仿宋" w:cs="仿宋"/>
          <w:sz w:val="32"/>
          <w:szCs w:val="32"/>
        </w:rPr>
        <w:t>万元，比上年预算数</w:t>
      </w:r>
      <w:r>
        <w:rPr>
          <w:rFonts w:hint="eastAsia" w:ascii="仿宋" w:hAnsi="仿宋" w:eastAsia="仿宋" w:cs="仿宋"/>
          <w:sz w:val="32"/>
          <w:szCs w:val="32"/>
          <w:lang w:val="en-US" w:eastAsia="zh-CN"/>
        </w:rPr>
        <w:t>减少0.16</w:t>
      </w:r>
      <w:r>
        <w:rPr>
          <w:rFonts w:hint="eastAsia" w:ascii="仿宋" w:hAnsi="仿宋" w:eastAsia="仿宋" w:cs="仿宋"/>
          <w:sz w:val="32"/>
          <w:szCs w:val="32"/>
        </w:rPr>
        <w:t>万元，主要是</w:t>
      </w:r>
      <w:r>
        <w:rPr>
          <w:rFonts w:hint="eastAsia" w:ascii="仿宋" w:hAnsi="仿宋" w:eastAsia="仿宋" w:cs="仿宋"/>
          <w:sz w:val="32"/>
          <w:szCs w:val="32"/>
          <w:lang w:val="en-US" w:eastAsia="zh-CN"/>
        </w:rPr>
        <w:t>社保基数降低</w:t>
      </w:r>
      <w:r>
        <w:rPr>
          <w:rFonts w:hint="eastAsia" w:ascii="仿宋" w:hAnsi="仿宋" w:eastAsia="仿宋" w:cs="仿宋"/>
          <w:sz w:val="32"/>
          <w:szCs w:val="32"/>
        </w:rPr>
        <w:t>。</w:t>
      </w:r>
    </w:p>
    <w:p w14:paraId="05B4EC9E">
      <w:pPr>
        <w:spacing w:line="578"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4.住房保障支出（类）住房改革支出（款）住房公积金（项）</w:t>
      </w:r>
      <w:r>
        <w:rPr>
          <w:rFonts w:hint="eastAsia" w:ascii="仿宋" w:hAnsi="仿宋" w:eastAsia="仿宋" w:cs="仿宋"/>
          <w:sz w:val="32"/>
          <w:szCs w:val="32"/>
          <w:lang w:eastAsia="zh-CN"/>
        </w:rPr>
        <w:t>202</w:t>
      </w:r>
      <w:r>
        <w:rPr>
          <w:rFonts w:hint="eastAsia" w:ascii="仿宋" w:hAnsi="仿宋" w:eastAsia="仿宋" w:cs="仿宋"/>
          <w:sz w:val="32"/>
          <w:szCs w:val="32"/>
          <w:lang w:val="en-US" w:eastAsia="zh-CN"/>
        </w:rPr>
        <w:t>6</w:t>
      </w:r>
      <w:r>
        <w:rPr>
          <w:rFonts w:hint="eastAsia" w:ascii="仿宋" w:hAnsi="仿宋" w:eastAsia="仿宋" w:cs="仿宋"/>
          <w:sz w:val="32"/>
          <w:szCs w:val="32"/>
        </w:rPr>
        <w:t>年预算数为</w:t>
      </w:r>
      <w:r>
        <w:rPr>
          <w:rFonts w:hint="eastAsia" w:ascii="仿宋" w:hAnsi="仿宋" w:eastAsia="仿宋" w:cs="仿宋"/>
          <w:sz w:val="32"/>
          <w:szCs w:val="32"/>
          <w:lang w:val="en-US" w:eastAsia="zh-CN"/>
        </w:rPr>
        <w:t>4.51</w:t>
      </w:r>
      <w:r>
        <w:rPr>
          <w:rFonts w:hint="eastAsia" w:ascii="仿宋" w:hAnsi="仿宋" w:eastAsia="仿宋" w:cs="仿宋"/>
          <w:sz w:val="32"/>
          <w:szCs w:val="32"/>
        </w:rPr>
        <w:t>万元，比上年预算数</w:t>
      </w:r>
      <w:r>
        <w:rPr>
          <w:rFonts w:hint="eastAsia" w:ascii="仿宋" w:hAnsi="仿宋" w:eastAsia="仿宋" w:cs="仿宋"/>
          <w:sz w:val="32"/>
          <w:szCs w:val="32"/>
          <w:lang w:val="en-US" w:eastAsia="zh-CN"/>
        </w:rPr>
        <w:t>减少0.11</w:t>
      </w:r>
      <w:r>
        <w:rPr>
          <w:rFonts w:hint="eastAsia" w:ascii="仿宋" w:hAnsi="仿宋" w:eastAsia="仿宋" w:cs="仿宋"/>
          <w:sz w:val="32"/>
          <w:szCs w:val="32"/>
        </w:rPr>
        <w:t>万元，主要是</w:t>
      </w:r>
      <w:r>
        <w:rPr>
          <w:rFonts w:hint="eastAsia" w:ascii="仿宋" w:hAnsi="仿宋" w:eastAsia="仿宋" w:cs="仿宋"/>
          <w:sz w:val="32"/>
          <w:szCs w:val="32"/>
          <w:lang w:val="en-US" w:eastAsia="zh-CN"/>
        </w:rPr>
        <w:t>基数降低</w:t>
      </w:r>
      <w:r>
        <w:rPr>
          <w:rFonts w:hint="eastAsia" w:ascii="仿宋" w:hAnsi="仿宋" w:eastAsia="仿宋" w:cs="仿宋"/>
          <w:sz w:val="32"/>
          <w:szCs w:val="32"/>
        </w:rPr>
        <w:t>。</w:t>
      </w:r>
    </w:p>
    <w:p w14:paraId="4BDA72E2">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ascii="黑体" w:hAnsi="黑体" w:eastAsia="黑体"/>
          <w:sz w:val="32"/>
          <w:szCs w:val="32"/>
          <w:u w:val="none"/>
        </w:rPr>
      </w:pPr>
      <w:r>
        <w:rPr>
          <w:rFonts w:hint="eastAsia" w:ascii="黑体" w:hAnsi="黑体" w:eastAsia="黑体"/>
          <w:sz w:val="32"/>
          <w:szCs w:val="32"/>
          <w:u w:val="none"/>
        </w:rPr>
        <w:t>三、一般公共预算基本支出情况说明</w:t>
      </w:r>
    </w:p>
    <w:p w14:paraId="605A7E23">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仿宋_GB2312" w:hAnsi="黑体" w:eastAsia="仿宋_GB2312"/>
          <w:sz w:val="32"/>
          <w:szCs w:val="32"/>
          <w:u w:val="none"/>
        </w:rPr>
      </w:pPr>
      <w:r>
        <w:rPr>
          <w:rFonts w:hint="eastAsia" w:ascii="仿宋" w:hAnsi="仿宋" w:eastAsia="仿宋" w:cs="仿宋"/>
          <w:sz w:val="32"/>
          <w:szCs w:val="32"/>
        </w:rPr>
        <w:t>屯昌县南吕镇第二幼儿园</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年一般公共预算基本支出为62.78万元，其中：</w:t>
      </w:r>
    </w:p>
    <w:p w14:paraId="04983A39">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仿宋_GB2312" w:hAnsi="黑体" w:eastAsia="仿宋_GB2312"/>
          <w:sz w:val="32"/>
          <w:szCs w:val="32"/>
          <w:u w:val="none"/>
        </w:rPr>
      </w:pPr>
      <w:r>
        <w:rPr>
          <w:rFonts w:hint="eastAsia" w:ascii="仿宋_GB2312" w:hAnsi="黑体" w:eastAsia="仿宋_GB2312"/>
          <w:sz w:val="32"/>
          <w:szCs w:val="32"/>
          <w:u w:val="none"/>
        </w:rPr>
        <w:t>人员经费61.88万元，主要包括：基本工资、津贴补贴、奖金、社会保障缴费、</w:t>
      </w:r>
      <w:r>
        <w:rPr>
          <w:rFonts w:hint="eastAsia" w:ascii="仿宋" w:hAnsi="仿宋" w:eastAsia="仿宋" w:cs="仿宋"/>
          <w:sz w:val="32"/>
          <w:szCs w:val="32"/>
        </w:rPr>
        <w:t>绩效工资</w:t>
      </w:r>
      <w:r>
        <w:rPr>
          <w:rFonts w:hint="eastAsia" w:ascii="仿宋" w:hAnsi="仿宋" w:eastAsia="仿宋" w:cs="仿宋"/>
          <w:sz w:val="32"/>
          <w:szCs w:val="32"/>
          <w:lang w:eastAsia="zh-CN"/>
        </w:rPr>
        <w:t>、机关事业单位基本养老保险缴费、职业年金缴费、职工基本医疗保险缴费、公务员医疗补助缴费、其他社会保障缴费、住房公积金、医疗费</w:t>
      </w:r>
      <w:r>
        <w:rPr>
          <w:rFonts w:hint="eastAsia" w:ascii="仿宋_GB2312" w:hAnsi="黑体" w:eastAsia="仿宋_GB2312"/>
          <w:sz w:val="32"/>
          <w:szCs w:val="32"/>
          <w:u w:val="none"/>
          <w:lang w:eastAsia="zh-CN"/>
        </w:rPr>
        <w:t>；</w:t>
      </w:r>
    </w:p>
    <w:p w14:paraId="7A8ED283">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 w:hAnsi="仿宋" w:eastAsia="仿宋" w:cs="仿宋"/>
          <w:sz w:val="32"/>
          <w:szCs w:val="32"/>
          <w:lang w:eastAsia="zh-CN"/>
        </w:rPr>
      </w:pPr>
      <w:r>
        <w:rPr>
          <w:rFonts w:hint="eastAsia" w:ascii="仿宋_GB2312" w:hAnsi="黑体" w:eastAsia="仿宋_GB2312"/>
          <w:sz w:val="32"/>
          <w:szCs w:val="32"/>
          <w:u w:val="none"/>
        </w:rPr>
        <w:t>公用经费0.42万元，主要包括：</w:t>
      </w:r>
      <w:r>
        <w:rPr>
          <w:rFonts w:hint="eastAsia" w:ascii="仿宋" w:hAnsi="仿宋" w:eastAsia="仿宋" w:cs="仿宋"/>
          <w:sz w:val="32"/>
          <w:szCs w:val="32"/>
        </w:rPr>
        <w:t>工会经费</w:t>
      </w:r>
      <w:r>
        <w:rPr>
          <w:rFonts w:hint="eastAsia" w:ascii="仿宋" w:hAnsi="仿宋" w:eastAsia="仿宋" w:cs="仿宋"/>
          <w:sz w:val="32"/>
          <w:szCs w:val="32"/>
          <w:lang w:eastAsia="zh-CN"/>
        </w:rPr>
        <w:t>；</w:t>
      </w:r>
    </w:p>
    <w:p w14:paraId="5C2E1DF0">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黑体" w:hAnsi="黑体" w:eastAsia="黑体" w:cs="Times New Roman"/>
          <w:sz w:val="32"/>
          <w:szCs w:val="32"/>
          <w:u w:val="none"/>
          <w:shd w:val="clear" w:color="auto" w:fill="FFFFFF"/>
        </w:rPr>
      </w:pPr>
      <w:r>
        <w:rPr>
          <w:rFonts w:hint="eastAsia" w:ascii="黑体" w:hAnsi="黑体" w:eastAsia="黑体" w:cs="Times New Roman"/>
          <w:sz w:val="32"/>
          <w:szCs w:val="32"/>
          <w:u w:val="none"/>
          <w:shd w:val="clear" w:color="auto" w:fill="FFFFFF"/>
        </w:rPr>
        <w:t>四、</w:t>
      </w:r>
      <w:r>
        <w:rPr>
          <w:rFonts w:ascii="黑体" w:hAnsi="黑体" w:eastAsia="黑体" w:cs="Times New Roman"/>
          <w:sz w:val="32"/>
          <w:szCs w:val="32"/>
          <w:u w:val="none"/>
          <w:shd w:val="clear" w:color="auto" w:fill="FFFFFF"/>
        </w:rPr>
        <w:t>“三公”经费预算情况</w:t>
      </w:r>
      <w:r>
        <w:rPr>
          <w:rFonts w:hint="eastAsia" w:ascii="黑体" w:hAnsi="黑体" w:eastAsia="黑体" w:cs="Times New Roman"/>
          <w:sz w:val="32"/>
          <w:szCs w:val="32"/>
          <w:u w:val="none"/>
          <w:shd w:val="clear" w:color="auto" w:fill="FFFFFF"/>
        </w:rPr>
        <w:t>说明</w:t>
      </w:r>
    </w:p>
    <w:p w14:paraId="6240AFE0">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sz w:val="32"/>
          <w:szCs w:val="32"/>
          <w:u w:val="none"/>
        </w:rPr>
      </w:pPr>
      <w:r>
        <w:rPr>
          <w:rFonts w:hint="eastAsia" w:ascii="仿宋_GB2312" w:hAnsi="黑体" w:eastAsia="仿宋_GB2312"/>
          <w:sz w:val="32"/>
          <w:szCs w:val="32"/>
          <w:u w:val="none"/>
        </w:rPr>
        <w:t>（一）</w:t>
      </w:r>
      <w:r>
        <w:rPr>
          <w:rFonts w:hint="eastAsia" w:ascii="仿宋_GB2312" w:hAnsi="黑体" w:eastAsia="仿宋_GB2312"/>
          <w:sz w:val="32"/>
          <w:szCs w:val="32"/>
        </w:rPr>
        <w:t>屯昌县南吕镇第二幼儿园</w:t>
      </w:r>
      <w:r>
        <w:rPr>
          <w:rFonts w:hint="eastAsia" w:ascii="仿宋_GB2312" w:hAnsi="黑体" w:eastAsia="仿宋_GB2312"/>
          <w:sz w:val="32"/>
          <w:szCs w:val="32"/>
          <w:u w:val="none"/>
          <w:lang w:val="en-US" w:eastAsia="zh-CN"/>
        </w:rPr>
        <w:t>2026</w:t>
      </w:r>
      <w:r>
        <w:rPr>
          <w:rFonts w:hint="eastAsia" w:ascii="仿宋_GB2312" w:hAnsi="黑体" w:eastAsia="仿宋_GB2312"/>
          <w:sz w:val="32"/>
          <w:szCs w:val="32"/>
          <w:u w:val="none"/>
        </w:rPr>
        <w:t>年一般公共预算“三公”经费预算数为</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万元，其中：</w:t>
      </w:r>
    </w:p>
    <w:p w14:paraId="4DCC86A9">
      <w:pPr>
        <w:spacing w:line="578" w:lineRule="exact"/>
        <w:ind w:firstLine="630"/>
        <w:rPr>
          <w:rFonts w:hint="eastAsia" w:ascii="仿宋" w:hAnsi="仿宋" w:eastAsia="仿宋" w:cs="仿宋"/>
          <w:sz w:val="32"/>
          <w:shd w:val="clear" w:color="auto" w:fill="FFFFFF"/>
        </w:rPr>
      </w:pPr>
      <w:r>
        <w:rPr>
          <w:rFonts w:hint="eastAsia" w:ascii="仿宋_GB2312" w:hAnsi="黑体" w:eastAsia="仿宋_GB2312"/>
          <w:sz w:val="32"/>
          <w:szCs w:val="32"/>
          <w:u w:val="none"/>
        </w:rPr>
        <w:t>因公出国（境）经费</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万元，</w:t>
      </w:r>
      <w:r>
        <w:rPr>
          <w:rFonts w:hint="eastAsia" w:ascii="仿宋" w:hAnsi="仿宋" w:eastAsia="仿宋" w:cs="仿宋"/>
          <w:sz w:val="32"/>
          <w:shd w:val="clear" w:color="auto" w:fill="FFFFFF"/>
        </w:rPr>
        <w:t>与上年预算持平。拟安排出国（境）团（组）</w:t>
      </w:r>
      <w:r>
        <w:rPr>
          <w:rFonts w:hint="eastAsia" w:ascii="仿宋" w:hAnsi="仿宋" w:eastAsia="仿宋" w:cs="仿宋"/>
          <w:sz w:val="32"/>
          <w:shd w:val="clear" w:color="auto" w:fill="FFFFFF"/>
          <w:lang w:val="en-US" w:eastAsia="zh-CN"/>
        </w:rPr>
        <w:t>0</w:t>
      </w:r>
      <w:r>
        <w:rPr>
          <w:rFonts w:hint="eastAsia" w:ascii="仿宋" w:hAnsi="仿宋" w:eastAsia="仿宋" w:cs="仿宋"/>
          <w:sz w:val="32"/>
          <w:shd w:val="clear" w:color="auto" w:fill="FFFFFF"/>
        </w:rPr>
        <w:t>次，出国（境）</w:t>
      </w:r>
      <w:r>
        <w:rPr>
          <w:rFonts w:hint="eastAsia" w:ascii="仿宋" w:hAnsi="仿宋" w:eastAsia="仿宋" w:cs="仿宋"/>
          <w:sz w:val="32"/>
          <w:shd w:val="clear" w:color="auto" w:fill="FFFFFF"/>
          <w:lang w:val="en-US" w:eastAsia="zh-CN"/>
        </w:rPr>
        <w:t>0</w:t>
      </w:r>
      <w:r>
        <w:rPr>
          <w:rFonts w:hint="eastAsia" w:ascii="仿宋" w:hAnsi="仿宋" w:eastAsia="仿宋" w:cs="仿宋"/>
          <w:sz w:val="32"/>
          <w:shd w:val="clear" w:color="auto" w:fill="FFFFFF"/>
        </w:rPr>
        <w:t>人</w:t>
      </w:r>
      <w:r>
        <w:rPr>
          <w:rFonts w:hint="eastAsia" w:ascii="仿宋" w:hAnsi="仿宋" w:eastAsia="仿宋" w:cs="仿宋"/>
          <w:sz w:val="32"/>
          <w:shd w:val="clear" w:color="auto" w:fill="FFFFFF"/>
          <w:lang w:eastAsia="zh-CN"/>
        </w:rPr>
        <w:t>；</w:t>
      </w:r>
      <w:r>
        <w:rPr>
          <w:rFonts w:hint="eastAsia" w:ascii="仿宋" w:hAnsi="仿宋" w:eastAsia="仿宋" w:cs="仿宋"/>
          <w:sz w:val="32"/>
          <w:shd w:val="clear" w:color="auto" w:fill="FFFFFF"/>
        </w:rPr>
        <w:t>公务用车购置及运行费</w:t>
      </w:r>
      <w:r>
        <w:rPr>
          <w:rFonts w:hint="eastAsia" w:ascii="仿宋" w:hAnsi="仿宋" w:eastAsia="仿宋" w:cs="仿宋"/>
          <w:sz w:val="32"/>
          <w:shd w:val="clear" w:color="auto" w:fill="FFFFFF"/>
          <w:lang w:val="en-US" w:eastAsia="zh-CN"/>
        </w:rPr>
        <w:t>0</w:t>
      </w:r>
      <w:r>
        <w:rPr>
          <w:rFonts w:hint="eastAsia" w:ascii="仿宋" w:hAnsi="仿宋" w:eastAsia="仿宋" w:cs="仿宋"/>
          <w:sz w:val="32"/>
          <w:szCs w:val="32"/>
        </w:rPr>
        <w:t>万元</w:t>
      </w:r>
      <w:r>
        <w:rPr>
          <w:rFonts w:hint="eastAsia" w:ascii="仿宋" w:hAnsi="仿宋" w:eastAsia="仿宋" w:cs="仿宋"/>
          <w:sz w:val="32"/>
          <w:szCs w:val="32"/>
          <w:lang w:eastAsia="zh-CN"/>
        </w:rPr>
        <w:t>，</w:t>
      </w:r>
      <w:r>
        <w:rPr>
          <w:rFonts w:hint="eastAsia" w:ascii="仿宋" w:hAnsi="仿宋" w:eastAsia="仿宋" w:cs="仿宋"/>
          <w:sz w:val="32"/>
          <w:shd w:val="clear" w:color="auto" w:fill="FFFFFF"/>
        </w:rPr>
        <w:t>与上年预算持平</w:t>
      </w:r>
      <w:r>
        <w:rPr>
          <w:rFonts w:hint="eastAsia" w:ascii="仿宋" w:hAnsi="仿宋" w:eastAsia="仿宋" w:cs="仿宋"/>
          <w:sz w:val="32"/>
          <w:shd w:val="clear" w:color="auto" w:fill="FFFFFF"/>
          <w:lang w:eastAsia="zh-CN"/>
        </w:rPr>
        <w:t>。</w:t>
      </w:r>
      <w:r>
        <w:rPr>
          <w:rFonts w:hint="eastAsia" w:ascii="仿宋" w:hAnsi="仿宋" w:eastAsia="仿宋" w:cs="仿宋"/>
          <w:sz w:val="32"/>
          <w:shd w:val="clear" w:color="auto" w:fill="FFFFFF"/>
        </w:rPr>
        <w:t>公务车保有量</w:t>
      </w:r>
      <w:r>
        <w:rPr>
          <w:rFonts w:hint="eastAsia" w:ascii="仿宋" w:hAnsi="仿宋" w:eastAsia="仿宋" w:cs="仿宋"/>
          <w:sz w:val="32"/>
          <w:szCs w:val="32"/>
          <w:lang w:val="en-US" w:eastAsia="zh-CN"/>
        </w:rPr>
        <w:t>0</w:t>
      </w:r>
      <w:r>
        <w:rPr>
          <w:rFonts w:hint="eastAsia" w:ascii="仿宋" w:hAnsi="仿宋" w:eastAsia="仿宋" w:cs="仿宋"/>
          <w:sz w:val="32"/>
          <w:szCs w:val="32"/>
        </w:rPr>
        <w:t>辆，计划购置</w:t>
      </w:r>
      <w:r>
        <w:rPr>
          <w:rFonts w:hint="eastAsia" w:ascii="仿宋" w:hAnsi="仿宋" w:eastAsia="仿宋" w:cs="仿宋"/>
          <w:sz w:val="32"/>
          <w:szCs w:val="32"/>
          <w:lang w:val="en-US" w:eastAsia="zh-CN"/>
        </w:rPr>
        <w:t>0</w:t>
      </w:r>
      <w:r>
        <w:rPr>
          <w:rFonts w:hint="eastAsia" w:ascii="仿宋" w:hAnsi="仿宋" w:eastAsia="仿宋" w:cs="仿宋"/>
          <w:sz w:val="32"/>
          <w:szCs w:val="32"/>
        </w:rPr>
        <w:t>辆</w:t>
      </w:r>
      <w:r>
        <w:rPr>
          <w:rFonts w:hint="eastAsia" w:ascii="仿宋" w:hAnsi="仿宋" w:eastAsia="仿宋" w:cs="仿宋"/>
          <w:sz w:val="32"/>
          <w:shd w:val="clear" w:color="auto" w:fill="FFFFFF"/>
        </w:rPr>
        <w:t>；</w:t>
      </w:r>
      <w:r>
        <w:rPr>
          <w:rFonts w:hint="eastAsia" w:ascii="仿宋" w:hAnsi="仿宋" w:eastAsia="仿宋" w:cs="仿宋"/>
          <w:sz w:val="32"/>
          <w:szCs w:val="32"/>
        </w:rPr>
        <w:t>公务接待费</w:t>
      </w:r>
      <w:r>
        <w:rPr>
          <w:rFonts w:hint="eastAsia" w:ascii="仿宋" w:hAnsi="仿宋" w:eastAsia="仿宋" w:cs="仿宋"/>
          <w:sz w:val="32"/>
          <w:szCs w:val="32"/>
          <w:lang w:val="en-US" w:eastAsia="zh-CN"/>
        </w:rPr>
        <w:t>0</w:t>
      </w:r>
      <w:r>
        <w:rPr>
          <w:rFonts w:hint="eastAsia" w:ascii="仿宋" w:hAnsi="仿宋" w:eastAsia="仿宋" w:cs="仿宋"/>
          <w:sz w:val="32"/>
          <w:shd w:val="clear" w:color="auto" w:fill="FFFFFF"/>
        </w:rPr>
        <w:t>万元，与上年预算持平。</w:t>
      </w:r>
    </w:p>
    <w:p w14:paraId="5C56DE74">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sz w:val="32"/>
          <w:szCs w:val="32"/>
          <w:u w:val="none"/>
          <w:lang w:val="en-US" w:eastAsia="zh-CN"/>
        </w:rPr>
      </w:pPr>
      <w:r>
        <w:rPr>
          <w:rFonts w:hint="eastAsia" w:ascii="仿宋_GB2312" w:hAnsi="黑体" w:eastAsia="仿宋_GB2312"/>
          <w:sz w:val="32"/>
          <w:szCs w:val="32"/>
          <w:u w:val="none"/>
        </w:rPr>
        <w:t>公务用车购置及运行费</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万元（其中，公务用车购置费</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万元，公务用车运行费</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万元），与上年预算持平</w:t>
      </w:r>
      <w:r>
        <w:rPr>
          <w:rFonts w:hint="eastAsia" w:ascii="仿宋_GB2312" w:hAnsi="黑体" w:eastAsia="仿宋_GB2312"/>
          <w:sz w:val="32"/>
          <w:szCs w:val="32"/>
          <w:u w:val="none"/>
          <w:lang w:eastAsia="zh-CN"/>
        </w:rPr>
        <w:t>。</w:t>
      </w:r>
    </w:p>
    <w:p w14:paraId="76411179">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sz w:val="32"/>
          <w:szCs w:val="32"/>
          <w:u w:val="none"/>
          <w:lang w:val="en-US" w:eastAsia="zh-CN"/>
        </w:rPr>
      </w:pPr>
      <w:r>
        <w:rPr>
          <w:rFonts w:hint="eastAsia" w:ascii="仿宋_GB2312" w:hAnsi="黑体" w:eastAsia="仿宋_GB2312"/>
          <w:sz w:val="32"/>
          <w:szCs w:val="32"/>
          <w:u w:val="none"/>
        </w:rPr>
        <w:t>公务接待费</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万元，与上年预算持平</w:t>
      </w:r>
      <w:r>
        <w:rPr>
          <w:rFonts w:hint="eastAsia" w:ascii="仿宋_GB2312" w:hAnsi="黑体" w:eastAsia="仿宋_GB2312"/>
          <w:sz w:val="32"/>
          <w:szCs w:val="32"/>
          <w:u w:val="none"/>
          <w:lang w:eastAsia="zh-CN"/>
        </w:rPr>
        <w:t>。</w:t>
      </w:r>
    </w:p>
    <w:p w14:paraId="35B3BF58">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sz w:val="32"/>
          <w:szCs w:val="32"/>
          <w:u w:val="none"/>
        </w:rPr>
      </w:pPr>
      <w:r>
        <w:rPr>
          <w:rFonts w:hint="eastAsia" w:ascii="仿宋_GB2312" w:hAnsi="黑体" w:eastAsia="仿宋_GB2312"/>
          <w:sz w:val="32"/>
          <w:szCs w:val="32"/>
          <w:u w:val="none"/>
        </w:rPr>
        <w:t>（二）</w:t>
      </w:r>
      <w:r>
        <w:rPr>
          <w:rFonts w:hint="eastAsia" w:ascii="仿宋_GB2312" w:hAnsi="黑体" w:eastAsia="仿宋_GB2312"/>
          <w:sz w:val="32"/>
          <w:szCs w:val="32"/>
        </w:rPr>
        <w:t>屯昌县南吕镇第二幼儿园</w:t>
      </w:r>
      <w:r>
        <w:rPr>
          <w:rFonts w:hint="eastAsia" w:ascii="仿宋_GB2312" w:hAnsi="黑体" w:eastAsia="仿宋_GB2312"/>
          <w:sz w:val="32"/>
          <w:szCs w:val="32"/>
          <w:u w:val="none"/>
          <w:lang w:eastAsia="zh-CN"/>
        </w:rPr>
        <w:t>2</w:t>
      </w:r>
      <w:r>
        <w:rPr>
          <w:rFonts w:hint="eastAsia" w:ascii="仿宋_GB2312" w:hAnsi="黑体" w:eastAsia="仿宋_GB2312"/>
          <w:sz w:val="32"/>
          <w:szCs w:val="32"/>
          <w:u w:val="none"/>
          <w:lang w:val="en-US" w:eastAsia="zh-CN"/>
        </w:rPr>
        <w:t>026</w:t>
      </w:r>
      <w:r>
        <w:rPr>
          <w:rFonts w:hint="eastAsia" w:ascii="仿宋_GB2312" w:hAnsi="黑体" w:eastAsia="仿宋_GB2312"/>
          <w:sz w:val="32"/>
          <w:szCs w:val="32"/>
          <w:u w:val="none"/>
        </w:rPr>
        <w:t>年政府性基金预算“三公”经费预算数为</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万元，其中：</w:t>
      </w:r>
    </w:p>
    <w:p w14:paraId="1BA378A4">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default" w:ascii="仿宋_GB2312" w:hAnsi="黑体" w:eastAsia="仿宋_GB2312"/>
          <w:sz w:val="32"/>
          <w:szCs w:val="32"/>
          <w:u w:val="none"/>
          <w:lang w:val="en-US" w:eastAsia="zh-CN"/>
        </w:rPr>
      </w:pPr>
      <w:r>
        <w:rPr>
          <w:rFonts w:hint="eastAsia" w:ascii="仿宋_GB2312" w:hAnsi="黑体" w:eastAsia="仿宋_GB2312"/>
          <w:sz w:val="32"/>
          <w:szCs w:val="32"/>
          <w:u w:val="none"/>
        </w:rPr>
        <w:t>因公出国（境）经费</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万元，与上年预算持平</w:t>
      </w:r>
      <w:r>
        <w:rPr>
          <w:rFonts w:hint="eastAsia" w:ascii="仿宋_GB2312" w:hAnsi="黑体" w:eastAsia="仿宋_GB2312"/>
          <w:sz w:val="32"/>
          <w:szCs w:val="32"/>
          <w:u w:val="none"/>
          <w:lang w:eastAsia="zh-CN"/>
        </w:rPr>
        <w:t>。</w:t>
      </w:r>
      <w:r>
        <w:rPr>
          <w:rFonts w:hint="eastAsia" w:ascii="仿宋_GB2312" w:hAnsi="黑体" w:eastAsia="仿宋_GB2312"/>
          <w:sz w:val="32"/>
          <w:szCs w:val="32"/>
          <w:u w:val="none"/>
          <w:lang w:val="en-US" w:eastAsia="zh-CN"/>
        </w:rPr>
        <w:t xml:space="preserve"> </w:t>
      </w:r>
    </w:p>
    <w:p w14:paraId="27902F39">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sz w:val="32"/>
          <w:szCs w:val="32"/>
          <w:u w:val="none"/>
        </w:rPr>
      </w:pPr>
      <w:r>
        <w:rPr>
          <w:rFonts w:hint="eastAsia" w:ascii="仿宋_GB2312" w:hAnsi="黑体" w:eastAsia="仿宋_GB2312"/>
          <w:sz w:val="32"/>
          <w:szCs w:val="32"/>
          <w:u w:val="none"/>
        </w:rPr>
        <w:t>公务用车购置及运行费</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w:t>
      </w:r>
      <w:r>
        <w:rPr>
          <w:rFonts w:hint="eastAsia" w:ascii="仿宋_GB2312" w:hAnsi="黑体" w:eastAsia="仿宋_GB2312"/>
          <w:sz w:val="32"/>
          <w:szCs w:val="32"/>
          <w:u w:val="none"/>
        </w:rPr>
        <w:t>与上年预算持平。</w:t>
      </w:r>
    </w:p>
    <w:p w14:paraId="77523797">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sz w:val="32"/>
          <w:szCs w:val="32"/>
          <w:u w:val="none"/>
          <w:lang w:val="en-US" w:eastAsia="zh-CN"/>
        </w:rPr>
      </w:pPr>
      <w:r>
        <w:rPr>
          <w:rFonts w:hint="eastAsia" w:ascii="仿宋_GB2312" w:hAnsi="黑体" w:eastAsia="仿宋_GB2312"/>
          <w:sz w:val="32"/>
          <w:szCs w:val="32"/>
          <w:u w:val="none"/>
        </w:rPr>
        <w:t>公务接待费</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万元，与上年预算持平</w:t>
      </w:r>
      <w:r>
        <w:rPr>
          <w:rFonts w:hint="eastAsia" w:ascii="仿宋_GB2312" w:hAnsi="黑体" w:eastAsia="仿宋_GB2312"/>
          <w:sz w:val="32"/>
          <w:szCs w:val="32"/>
          <w:u w:val="none"/>
          <w:lang w:eastAsia="zh-CN"/>
        </w:rPr>
        <w:t>。</w:t>
      </w:r>
    </w:p>
    <w:p w14:paraId="434DBDE4">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黑体" w:hAnsi="黑体" w:eastAsia="黑体" w:cs="Times New Roman"/>
          <w:sz w:val="32"/>
          <w:szCs w:val="32"/>
          <w:u w:val="none"/>
          <w:shd w:val="clear" w:color="auto" w:fill="FFFFFF"/>
        </w:rPr>
      </w:pPr>
      <w:r>
        <w:rPr>
          <w:rFonts w:hint="eastAsia" w:ascii="黑体" w:hAnsi="黑体" w:eastAsia="黑体" w:cs="Times New Roman"/>
          <w:sz w:val="32"/>
          <w:szCs w:val="32"/>
          <w:u w:val="none"/>
          <w:shd w:val="clear" w:color="auto" w:fill="FFFFFF"/>
        </w:rPr>
        <w:t>五、政府性基金预算当年拨款情况说明</w:t>
      </w:r>
    </w:p>
    <w:p w14:paraId="620F70AB">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ascii="楷体" w:hAnsi="楷体" w:eastAsia="楷体"/>
          <w:sz w:val="32"/>
          <w:szCs w:val="32"/>
          <w:u w:val="none"/>
        </w:rPr>
      </w:pPr>
      <w:r>
        <w:rPr>
          <w:rFonts w:hint="eastAsia" w:ascii="楷体" w:hAnsi="楷体" w:eastAsia="楷体"/>
          <w:sz w:val="32"/>
          <w:szCs w:val="32"/>
          <w:u w:val="none"/>
        </w:rPr>
        <w:t>（一）政府性基金预算当年规模变化情况</w:t>
      </w:r>
    </w:p>
    <w:p w14:paraId="3AFA0A4F">
      <w:pPr>
        <w:ind w:firstLine="640" w:firstLineChars="200"/>
        <w:jc w:val="left"/>
        <w:rPr>
          <w:rFonts w:ascii="仿宋_GB2312" w:hAnsi="黑体" w:eastAsia="仿宋_GB2312"/>
          <w:sz w:val="32"/>
          <w:szCs w:val="32"/>
          <w:u w:val="none"/>
        </w:rPr>
      </w:pPr>
      <w:r>
        <w:rPr>
          <w:rFonts w:hint="eastAsia" w:ascii="仿宋_GB2312" w:hAnsi="仿宋_GB2312" w:eastAsia="仿宋_GB2312" w:cs="仿宋_GB2312"/>
          <w:sz w:val="32"/>
          <w:szCs w:val="32"/>
        </w:rPr>
        <w:t>无政府性基金预算</w:t>
      </w:r>
    </w:p>
    <w:p w14:paraId="0877FB22">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ascii="楷体" w:hAnsi="楷体" w:eastAsia="楷体"/>
          <w:sz w:val="32"/>
          <w:szCs w:val="32"/>
          <w:u w:val="none"/>
        </w:rPr>
      </w:pPr>
      <w:r>
        <w:rPr>
          <w:rFonts w:hint="eastAsia" w:ascii="楷体" w:hAnsi="楷体" w:eastAsia="楷体"/>
          <w:sz w:val="32"/>
          <w:szCs w:val="32"/>
          <w:u w:val="none"/>
        </w:rPr>
        <w:t>（二）政府性基金预算当年拨款结构情况</w:t>
      </w:r>
    </w:p>
    <w:p w14:paraId="7EFFC584">
      <w:pPr>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无政府性基金预算</w:t>
      </w:r>
    </w:p>
    <w:p w14:paraId="2744F20D">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ascii="楷体" w:hAnsi="楷体" w:eastAsia="楷体"/>
          <w:sz w:val="32"/>
          <w:szCs w:val="32"/>
          <w:u w:val="none"/>
        </w:rPr>
      </w:pPr>
      <w:r>
        <w:rPr>
          <w:rFonts w:hint="eastAsia" w:ascii="楷体" w:hAnsi="楷体" w:eastAsia="楷体"/>
          <w:sz w:val="32"/>
          <w:szCs w:val="32"/>
          <w:u w:val="none"/>
        </w:rPr>
        <w:t>（三）政府性基金预算当年拨款具体使用情况</w:t>
      </w:r>
    </w:p>
    <w:p w14:paraId="55CF9CD0">
      <w:pPr>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无政府性基金预算</w:t>
      </w:r>
    </w:p>
    <w:p w14:paraId="5B0EE3C9">
      <w:pPr>
        <w:keepNext w:val="0"/>
        <w:keepLines w:val="0"/>
        <w:pageBreakBefore w:val="0"/>
        <w:numPr>
          <w:ilvl w:val="0"/>
          <w:numId w:val="3"/>
        </w:numPr>
        <w:kinsoku/>
        <w:wordWrap/>
        <w:overflowPunct/>
        <w:topLinePunct w:val="0"/>
        <w:autoSpaceDE/>
        <w:autoSpaceDN/>
        <w:bidi w:val="0"/>
        <w:adjustRightInd/>
        <w:snapToGrid/>
        <w:spacing w:line="590" w:lineRule="exact"/>
        <w:ind w:firstLine="640" w:firstLineChars="200"/>
        <w:jc w:val="both"/>
        <w:textAlignment w:val="auto"/>
        <w:rPr>
          <w:rFonts w:hint="eastAsia" w:ascii="黑体" w:hAnsi="黑体" w:eastAsia="黑体" w:cs="Times New Roman"/>
          <w:sz w:val="32"/>
          <w:szCs w:val="32"/>
          <w:u w:val="none"/>
          <w:shd w:val="clear" w:color="auto" w:fill="FFFFFF"/>
          <w:lang w:eastAsia="zh-CN"/>
        </w:rPr>
      </w:pPr>
      <w:r>
        <w:rPr>
          <w:rFonts w:hint="eastAsia" w:ascii="黑体" w:hAnsi="黑体" w:eastAsia="黑体" w:cs="Times New Roman"/>
          <w:sz w:val="32"/>
          <w:szCs w:val="32"/>
          <w:u w:val="none"/>
          <w:shd w:val="clear" w:color="auto" w:fill="FFFFFF"/>
          <w:lang w:eastAsia="zh-CN"/>
        </w:rPr>
        <w:t>国有资本经营预算当年拨款情况说明</w:t>
      </w:r>
    </w:p>
    <w:p w14:paraId="246FCB03">
      <w:pPr>
        <w:ind w:firstLine="640" w:firstLineChars="200"/>
        <w:jc w:val="left"/>
        <w:rPr>
          <w:rFonts w:ascii="仿宋_GB2312" w:hAnsi="黑体" w:eastAsia="仿宋_GB2312"/>
          <w:sz w:val="32"/>
          <w:szCs w:val="32"/>
          <w:u w:val="none"/>
        </w:rPr>
      </w:pPr>
      <w:r>
        <w:rPr>
          <w:rFonts w:hint="eastAsia" w:ascii="仿宋_GB2312" w:hAnsi="仿宋_GB2312" w:eastAsia="仿宋_GB2312" w:cs="仿宋_GB2312"/>
          <w:sz w:val="32"/>
          <w:szCs w:val="32"/>
        </w:rPr>
        <w:t>无国有资本经营预算</w:t>
      </w:r>
      <w:r>
        <w:rPr>
          <w:rFonts w:hint="eastAsia" w:ascii="仿宋_GB2312" w:hAnsi="仿宋_GB2312" w:eastAsia="仿宋_GB2312" w:cs="仿宋_GB2312"/>
          <w:sz w:val="32"/>
          <w:szCs w:val="32"/>
          <w:lang w:eastAsia="zh-CN"/>
        </w:rPr>
        <w:t>。</w:t>
      </w:r>
    </w:p>
    <w:p w14:paraId="5C4CA3B6">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黑体" w:hAnsi="黑体" w:eastAsia="黑体" w:cs="Times New Roman"/>
          <w:sz w:val="32"/>
          <w:szCs w:val="32"/>
          <w:u w:val="none"/>
          <w:shd w:val="clear" w:color="auto" w:fill="FFFFFF"/>
        </w:rPr>
      </w:pPr>
      <w:r>
        <w:rPr>
          <w:rFonts w:hint="eastAsia" w:ascii="黑体" w:hAnsi="黑体" w:eastAsia="黑体" w:cs="Times New Roman"/>
          <w:sz w:val="32"/>
          <w:szCs w:val="32"/>
          <w:u w:val="none"/>
          <w:shd w:val="clear" w:color="auto" w:fill="FFFFFF"/>
          <w:lang w:eastAsia="zh-CN"/>
        </w:rPr>
        <w:t>七、</w:t>
      </w:r>
      <w:r>
        <w:rPr>
          <w:rFonts w:hint="eastAsia" w:ascii="黑体" w:hAnsi="黑体" w:eastAsia="黑体" w:cs="Times New Roman"/>
          <w:sz w:val="32"/>
          <w:szCs w:val="32"/>
          <w:u w:val="none"/>
          <w:shd w:val="clear" w:color="auto" w:fill="FFFFFF"/>
        </w:rPr>
        <w:t>收支预算总体情况说明</w:t>
      </w:r>
    </w:p>
    <w:p w14:paraId="2F334135">
      <w:pPr>
        <w:spacing w:line="578"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按照综合预算原则，屯昌县南吕镇第二幼儿园所有收入和支出均纳入部门预算管理。收入包括：一般公共预算收入；支出包括：</w:t>
      </w:r>
      <w:r>
        <w:rPr>
          <w:rFonts w:hint="eastAsia" w:ascii="仿宋" w:hAnsi="仿宋" w:eastAsia="仿宋" w:cs="仿宋"/>
          <w:sz w:val="32"/>
          <w:szCs w:val="32"/>
          <w:lang w:val="en-US" w:eastAsia="zh-CN"/>
        </w:rPr>
        <w:t>教</w:t>
      </w:r>
      <w:r>
        <w:rPr>
          <w:rFonts w:hint="eastAsia" w:ascii="仿宋" w:hAnsi="仿宋" w:eastAsia="仿宋" w:cs="仿宋"/>
          <w:sz w:val="32"/>
          <w:szCs w:val="32"/>
        </w:rPr>
        <w:t>育支出。屯昌县南吕镇第二幼儿园</w:t>
      </w:r>
      <w:r>
        <w:rPr>
          <w:rFonts w:hint="eastAsia" w:ascii="仿宋" w:hAnsi="仿宋" w:eastAsia="仿宋" w:cs="仿宋"/>
          <w:sz w:val="32"/>
          <w:szCs w:val="32"/>
          <w:lang w:eastAsia="zh-CN"/>
        </w:rPr>
        <w:t>202</w:t>
      </w:r>
      <w:r>
        <w:rPr>
          <w:rFonts w:hint="eastAsia" w:ascii="仿宋" w:hAnsi="仿宋" w:eastAsia="仿宋" w:cs="仿宋"/>
          <w:sz w:val="32"/>
          <w:szCs w:val="32"/>
          <w:lang w:val="en-US" w:eastAsia="zh-CN"/>
        </w:rPr>
        <w:t>6</w:t>
      </w:r>
      <w:r>
        <w:rPr>
          <w:rFonts w:hint="eastAsia" w:ascii="仿宋" w:hAnsi="仿宋" w:eastAsia="仿宋" w:cs="仿宋"/>
          <w:sz w:val="32"/>
          <w:szCs w:val="32"/>
        </w:rPr>
        <w:t>年收支总预算6</w:t>
      </w:r>
      <w:r>
        <w:rPr>
          <w:rFonts w:hint="eastAsia" w:ascii="仿宋" w:hAnsi="仿宋" w:eastAsia="仿宋" w:cs="仿宋"/>
          <w:sz w:val="32"/>
          <w:szCs w:val="32"/>
          <w:lang w:val="en-US" w:eastAsia="zh-CN"/>
        </w:rPr>
        <w:t>6</w:t>
      </w:r>
      <w:r>
        <w:rPr>
          <w:rFonts w:hint="eastAsia" w:ascii="仿宋" w:hAnsi="仿宋" w:eastAsia="仿宋" w:cs="仿宋"/>
          <w:sz w:val="32"/>
          <w:szCs w:val="32"/>
        </w:rPr>
        <w:t>.</w:t>
      </w:r>
      <w:r>
        <w:rPr>
          <w:rFonts w:hint="eastAsia" w:ascii="仿宋" w:hAnsi="仿宋" w:eastAsia="仿宋" w:cs="仿宋"/>
          <w:sz w:val="32"/>
          <w:szCs w:val="32"/>
          <w:lang w:val="en-US" w:eastAsia="zh-CN"/>
        </w:rPr>
        <w:t>35</w:t>
      </w:r>
      <w:r>
        <w:rPr>
          <w:rFonts w:hint="eastAsia" w:ascii="仿宋" w:hAnsi="仿宋" w:eastAsia="仿宋" w:cs="仿宋"/>
          <w:sz w:val="32"/>
          <w:szCs w:val="32"/>
        </w:rPr>
        <w:t>万元。</w:t>
      </w:r>
    </w:p>
    <w:p w14:paraId="56CA65E6">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黑体" w:hAnsi="黑体" w:eastAsia="黑体" w:cs="Times New Roman"/>
          <w:sz w:val="32"/>
          <w:szCs w:val="32"/>
          <w:u w:val="none"/>
          <w:shd w:val="clear" w:color="auto" w:fill="FFFFFF"/>
        </w:rPr>
      </w:pPr>
      <w:r>
        <w:rPr>
          <w:rFonts w:hint="eastAsia" w:ascii="黑体" w:hAnsi="黑体" w:eastAsia="黑体" w:cs="Times New Roman"/>
          <w:sz w:val="32"/>
          <w:szCs w:val="32"/>
          <w:u w:val="none"/>
          <w:shd w:val="clear" w:color="auto" w:fill="FFFFFF"/>
          <w:lang w:eastAsia="zh-CN"/>
        </w:rPr>
        <w:t>八</w:t>
      </w:r>
      <w:r>
        <w:rPr>
          <w:rFonts w:hint="eastAsia" w:ascii="黑体" w:hAnsi="黑体" w:eastAsia="黑体" w:cs="Times New Roman"/>
          <w:sz w:val="32"/>
          <w:szCs w:val="32"/>
          <w:u w:val="none"/>
          <w:shd w:val="clear" w:color="auto" w:fill="FFFFFF"/>
        </w:rPr>
        <w:t>、收入预算情况说明</w:t>
      </w:r>
    </w:p>
    <w:p w14:paraId="3D1D4068">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仿宋_GB2312" w:hAnsi="黑体" w:eastAsia="仿宋_GB2312"/>
          <w:sz w:val="32"/>
          <w:szCs w:val="32"/>
          <w:u w:val="none"/>
        </w:rPr>
      </w:pPr>
      <w:r>
        <w:rPr>
          <w:rFonts w:hint="eastAsia" w:ascii="仿宋_GB2312" w:hAnsi="仿宋_GB2312" w:eastAsia="仿宋_GB2312" w:cs="仿宋_GB2312"/>
          <w:sz w:val="32"/>
          <w:szCs w:val="32"/>
        </w:rPr>
        <w:t>屯昌县南吕镇第二幼儿园</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年收入预算66.35万元，其中：上年结转</w:t>
      </w:r>
      <w:r>
        <w:rPr>
          <w:rFonts w:hint="eastAsia" w:ascii="仿宋_GB2312" w:hAnsi="黑体" w:eastAsia="仿宋_GB2312" w:cs="仿宋_GB2312"/>
          <w:sz w:val="32"/>
          <w:szCs w:val="32"/>
          <w:u w:val="none"/>
          <w:lang w:val="en-US" w:eastAsia="zh-CN"/>
        </w:rPr>
        <w:t>3.36</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5.06</w:t>
      </w:r>
      <w:r>
        <w:rPr>
          <w:rFonts w:hint="eastAsia" w:ascii="仿宋_GB2312" w:hAnsi="黑体" w:eastAsia="仿宋_GB2312"/>
          <w:sz w:val="32"/>
          <w:szCs w:val="32"/>
          <w:u w:val="none"/>
        </w:rPr>
        <w:t>%；</w:t>
      </w:r>
      <w:r>
        <w:rPr>
          <w:rFonts w:hint="eastAsia" w:ascii="仿宋_GB2312" w:hAnsi="黑体" w:eastAsia="仿宋_GB2312"/>
          <w:sz w:val="32"/>
          <w:szCs w:val="32"/>
          <w:u w:val="none"/>
          <w:lang w:eastAsia="zh-CN"/>
        </w:rPr>
        <w:t>一般公共预算</w:t>
      </w:r>
      <w:r>
        <w:rPr>
          <w:rFonts w:hint="eastAsia" w:ascii="仿宋_GB2312" w:hAnsi="黑体" w:eastAsia="仿宋_GB2312"/>
          <w:sz w:val="32"/>
          <w:szCs w:val="32"/>
          <w:u w:val="none"/>
        </w:rPr>
        <w:t>拨款收入</w:t>
      </w:r>
      <w:r>
        <w:rPr>
          <w:rFonts w:hint="eastAsia" w:ascii="仿宋_GB2312" w:hAnsi="黑体" w:eastAsia="仿宋_GB2312" w:cs="仿宋_GB2312"/>
          <w:sz w:val="32"/>
          <w:szCs w:val="32"/>
          <w:u w:val="none"/>
        </w:rPr>
        <w:t>62.99</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94.94</w:t>
      </w:r>
      <w:r>
        <w:rPr>
          <w:rFonts w:hint="eastAsia" w:ascii="仿宋_GB2312" w:hAnsi="黑体" w:eastAsia="仿宋_GB2312"/>
          <w:sz w:val="32"/>
          <w:szCs w:val="32"/>
          <w:u w:val="none"/>
        </w:rPr>
        <w:t>%；政府性基金</w:t>
      </w:r>
      <w:r>
        <w:rPr>
          <w:rFonts w:hint="eastAsia" w:ascii="仿宋_GB2312" w:hAnsi="黑体" w:eastAsia="仿宋_GB2312"/>
          <w:sz w:val="32"/>
          <w:szCs w:val="32"/>
          <w:u w:val="none"/>
          <w:lang w:eastAsia="zh-CN"/>
        </w:rPr>
        <w:t>预算拨款</w:t>
      </w:r>
      <w:r>
        <w:rPr>
          <w:rFonts w:hint="eastAsia" w:ascii="仿宋_GB2312" w:hAnsi="黑体" w:eastAsia="仿宋_GB2312"/>
          <w:sz w:val="32"/>
          <w:szCs w:val="32"/>
          <w:u w:val="none"/>
        </w:rPr>
        <w:t>收入</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highlight w:val="none"/>
          <w:u w:val="none"/>
        </w:rPr>
        <w:t>%；</w:t>
      </w:r>
      <w:r>
        <w:rPr>
          <w:rFonts w:hint="eastAsia" w:ascii="仿宋_GB2312" w:hAnsi="黑体" w:eastAsia="仿宋_GB2312"/>
          <w:sz w:val="32"/>
          <w:szCs w:val="32"/>
          <w:highlight w:val="none"/>
          <w:u w:val="none"/>
          <w:lang w:eastAsia="zh-CN"/>
        </w:rPr>
        <w:t>国有资本经营预算拨款收入</w:t>
      </w:r>
      <w:r>
        <w:rPr>
          <w:rFonts w:hint="eastAsia" w:ascii="仿宋_GB2312" w:hAnsi="黑体" w:eastAsia="仿宋_GB2312" w:cs="仿宋_GB2312"/>
          <w:sz w:val="32"/>
          <w:szCs w:val="32"/>
          <w:highlight w:val="none"/>
          <w:u w:val="none"/>
          <w:lang w:val="en-US" w:eastAsia="zh-CN"/>
        </w:rPr>
        <w:t>0</w:t>
      </w:r>
      <w:r>
        <w:rPr>
          <w:rFonts w:hint="eastAsia" w:ascii="仿宋_GB2312" w:hAnsi="黑体" w:eastAsia="仿宋_GB2312"/>
          <w:sz w:val="32"/>
          <w:szCs w:val="32"/>
          <w:highlight w:val="none"/>
          <w:u w:val="none"/>
        </w:rPr>
        <w:t>万元，占</w:t>
      </w:r>
      <w:r>
        <w:rPr>
          <w:rFonts w:hint="eastAsia" w:ascii="仿宋_GB2312" w:hAnsi="黑体" w:eastAsia="仿宋_GB2312"/>
          <w:sz w:val="32"/>
          <w:szCs w:val="32"/>
          <w:highlight w:val="none"/>
          <w:u w:val="none"/>
          <w:lang w:val="en-US" w:eastAsia="zh-CN"/>
        </w:rPr>
        <w:t>0</w:t>
      </w:r>
      <w:r>
        <w:rPr>
          <w:rFonts w:hint="eastAsia" w:ascii="仿宋_GB2312" w:hAnsi="黑体" w:eastAsia="仿宋_GB2312"/>
          <w:sz w:val="32"/>
          <w:szCs w:val="32"/>
          <w:highlight w:val="none"/>
          <w:u w:val="none"/>
        </w:rPr>
        <w:t>%；。</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增加</w:t>
      </w:r>
      <w:r>
        <w:rPr>
          <w:rFonts w:hint="eastAsia" w:ascii="仿宋_GB2312" w:hAnsi="黑体" w:eastAsia="仿宋_GB2312" w:cs="仿宋_GB2312"/>
          <w:sz w:val="32"/>
          <w:szCs w:val="32"/>
          <w:u w:val="none"/>
          <w:lang w:val="en-US" w:eastAsia="zh-CN"/>
        </w:rPr>
        <w:t>4.99万元</w:t>
      </w:r>
      <w:r>
        <w:rPr>
          <w:rFonts w:hint="eastAsia" w:ascii="仿宋_GB2312" w:hAnsi="黑体" w:eastAsia="仿宋_GB2312"/>
          <w:sz w:val="32"/>
          <w:szCs w:val="32"/>
          <w:u w:val="none"/>
        </w:rPr>
        <w:t>，主要是</w:t>
      </w:r>
      <w:r>
        <w:rPr>
          <w:rFonts w:hint="eastAsia" w:ascii="仿宋_GB2312" w:hAnsi="黑体" w:eastAsia="仿宋_GB2312"/>
          <w:sz w:val="32"/>
          <w:szCs w:val="32"/>
          <w:u w:val="none"/>
          <w:lang w:val="en-US" w:eastAsia="zh-CN"/>
        </w:rPr>
        <w:t>人员增加</w:t>
      </w:r>
      <w:r>
        <w:rPr>
          <w:rFonts w:hint="eastAsia" w:ascii="仿宋_GB2312" w:hAnsi="黑体" w:eastAsia="仿宋_GB2312"/>
          <w:sz w:val="32"/>
          <w:szCs w:val="32"/>
          <w:u w:val="none"/>
        </w:rPr>
        <w:t>。</w:t>
      </w:r>
    </w:p>
    <w:p w14:paraId="3338520C">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黑体" w:hAnsi="黑体" w:eastAsia="黑体" w:cs="Times New Roman"/>
          <w:sz w:val="32"/>
          <w:szCs w:val="32"/>
          <w:u w:val="none"/>
          <w:shd w:val="clear" w:color="auto" w:fill="FFFFFF"/>
        </w:rPr>
      </w:pPr>
      <w:r>
        <w:rPr>
          <w:rFonts w:hint="eastAsia" w:ascii="黑体" w:hAnsi="黑体" w:eastAsia="黑体" w:cs="Times New Roman"/>
          <w:sz w:val="32"/>
          <w:szCs w:val="32"/>
          <w:u w:val="none"/>
          <w:shd w:val="clear" w:color="auto" w:fill="FFFFFF"/>
          <w:lang w:eastAsia="zh-CN"/>
        </w:rPr>
        <w:t>九</w:t>
      </w:r>
      <w:r>
        <w:rPr>
          <w:rFonts w:hint="eastAsia" w:ascii="黑体" w:hAnsi="黑体" w:eastAsia="黑体" w:cs="Times New Roman"/>
          <w:sz w:val="32"/>
          <w:szCs w:val="32"/>
          <w:u w:val="none"/>
          <w:shd w:val="clear" w:color="auto" w:fill="FFFFFF"/>
        </w:rPr>
        <w:t>、支出预算情况说明</w:t>
      </w:r>
    </w:p>
    <w:p w14:paraId="25EB099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90" w:lineRule="exact"/>
        <w:ind w:left="0" w:right="0"/>
        <w:jc w:val="both"/>
        <w:textAlignment w:val="auto"/>
        <w:rPr>
          <w:sz w:val="32"/>
          <w:szCs w:val="32"/>
        </w:rPr>
      </w:pPr>
      <w:r>
        <w:rPr>
          <w:rFonts w:hint="eastAsia" w:ascii="仿宋_GB2312" w:hAnsi="仿宋_GB2312" w:eastAsia="仿宋_GB2312" w:cs="仿宋_GB2312"/>
          <w:sz w:val="32"/>
          <w:szCs w:val="32"/>
        </w:rPr>
        <w:t>屯昌县南吕镇第二幼儿园</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年支出预算66.35万元，其中：基本支出</w:t>
      </w:r>
      <w:r>
        <w:rPr>
          <w:rFonts w:hint="eastAsia" w:ascii="仿宋_GB2312" w:hAnsi="黑体" w:eastAsia="仿宋_GB2312" w:cs="仿宋_GB2312"/>
          <w:sz w:val="32"/>
          <w:szCs w:val="32"/>
          <w:u w:val="none"/>
          <w:lang w:val="en-US" w:eastAsia="zh-CN"/>
        </w:rPr>
        <w:t>62.78</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94.62</w:t>
      </w:r>
      <w:r>
        <w:rPr>
          <w:rFonts w:hint="eastAsia" w:ascii="仿宋_GB2312" w:hAnsi="黑体" w:eastAsia="仿宋_GB2312"/>
          <w:sz w:val="32"/>
          <w:szCs w:val="32"/>
          <w:u w:val="none"/>
        </w:rPr>
        <w:t>%；项目支出</w:t>
      </w:r>
      <w:r>
        <w:rPr>
          <w:rFonts w:hint="eastAsia" w:ascii="仿宋_GB2312" w:hAnsi="黑体" w:eastAsia="仿宋_GB2312" w:cs="仿宋_GB2312"/>
          <w:sz w:val="32"/>
          <w:szCs w:val="32"/>
          <w:u w:val="none"/>
          <w:lang w:val="en-US" w:eastAsia="zh-CN"/>
        </w:rPr>
        <w:t>3.57</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5.38</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增加</w:t>
      </w:r>
      <w:r>
        <w:rPr>
          <w:rFonts w:hint="eastAsia" w:ascii="仿宋_GB2312" w:hAnsi="黑体" w:eastAsia="仿宋_GB2312" w:cs="仿宋_GB2312"/>
          <w:sz w:val="32"/>
          <w:szCs w:val="32"/>
          <w:u w:val="none"/>
          <w:lang w:val="en-US" w:eastAsia="zh-CN"/>
        </w:rPr>
        <w:t>4.99</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w:t>
      </w:r>
      <w:r>
        <w:rPr>
          <w:rFonts w:hint="eastAsia" w:ascii="仿宋_GB2312" w:hAnsi="黑体" w:eastAsia="仿宋_GB2312"/>
          <w:sz w:val="32"/>
          <w:szCs w:val="32"/>
          <w:u w:val="none"/>
        </w:rPr>
        <w:t>主要是</w:t>
      </w:r>
      <w:r>
        <w:rPr>
          <w:rFonts w:hint="eastAsia" w:ascii="仿宋_GB2312" w:hAnsi="黑体" w:eastAsia="仿宋_GB2312"/>
          <w:sz w:val="32"/>
          <w:szCs w:val="32"/>
          <w:u w:val="none"/>
          <w:lang w:val="en-US" w:eastAsia="zh-CN"/>
        </w:rPr>
        <w:t>人员增加</w:t>
      </w:r>
      <w:r>
        <w:rPr>
          <w:rFonts w:hint="eastAsia" w:ascii="仿宋_GB2312" w:hAnsi="黑体" w:eastAsia="仿宋_GB2312"/>
          <w:sz w:val="32"/>
          <w:szCs w:val="32"/>
          <w:u w:val="none"/>
        </w:rPr>
        <w:t>。</w:t>
      </w:r>
    </w:p>
    <w:p w14:paraId="7DD76DE2">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黑体" w:hAnsi="黑体" w:eastAsia="黑体" w:cs="Times New Roman"/>
          <w:sz w:val="32"/>
          <w:szCs w:val="32"/>
          <w:u w:val="none"/>
          <w:shd w:val="clear" w:color="auto" w:fill="FFFFFF"/>
        </w:rPr>
      </w:pPr>
      <w:r>
        <w:rPr>
          <w:rFonts w:hint="eastAsia" w:ascii="黑体" w:hAnsi="黑体" w:eastAsia="黑体" w:cs="Times New Roman"/>
          <w:sz w:val="32"/>
          <w:szCs w:val="32"/>
          <w:u w:val="none"/>
          <w:shd w:val="clear" w:color="auto" w:fill="FFFFFF"/>
          <w:lang w:eastAsia="zh-CN"/>
        </w:rPr>
        <w:t>十</w:t>
      </w:r>
      <w:r>
        <w:rPr>
          <w:rFonts w:hint="eastAsia" w:ascii="黑体" w:hAnsi="黑体" w:eastAsia="黑体" w:cs="Times New Roman"/>
          <w:sz w:val="32"/>
          <w:szCs w:val="32"/>
          <w:u w:val="none"/>
          <w:shd w:val="clear" w:color="auto" w:fill="FFFFFF"/>
        </w:rPr>
        <w:t>、其他重要事项的情况说明</w:t>
      </w:r>
    </w:p>
    <w:p w14:paraId="53B4774F">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楷体" w:hAnsi="楷体" w:eastAsia="楷体"/>
          <w:sz w:val="32"/>
          <w:szCs w:val="32"/>
          <w:u w:val="none"/>
        </w:rPr>
      </w:pPr>
      <w:r>
        <w:rPr>
          <w:rFonts w:hint="eastAsia" w:ascii="楷体" w:hAnsi="楷体" w:eastAsia="楷体"/>
          <w:sz w:val="32"/>
          <w:szCs w:val="32"/>
          <w:u w:val="none"/>
        </w:rPr>
        <w:t>（一）机关运行经费</w:t>
      </w:r>
      <w:r>
        <w:rPr>
          <w:rFonts w:hint="eastAsia" w:ascii="楷体" w:hAnsi="楷体" w:eastAsia="楷体"/>
          <w:sz w:val="32"/>
          <w:szCs w:val="32"/>
          <w:u w:val="none"/>
          <w:lang w:val="en-US" w:eastAsia="zh-CN"/>
        </w:rPr>
        <w:t>（</w:t>
      </w:r>
      <w:r>
        <w:rPr>
          <w:rFonts w:hint="eastAsia" w:ascii="楷体" w:hAnsi="楷体" w:eastAsia="楷体"/>
          <w:sz w:val="32"/>
          <w:szCs w:val="32"/>
          <w:u w:val="none"/>
        </w:rPr>
        <w:t>行政单位</w:t>
      </w:r>
      <w:r>
        <w:rPr>
          <w:rFonts w:hint="eastAsia" w:ascii="楷体" w:hAnsi="楷体" w:eastAsia="楷体"/>
          <w:sz w:val="32"/>
          <w:szCs w:val="32"/>
          <w:u w:val="none"/>
          <w:lang w:eastAsia="zh-CN"/>
        </w:rPr>
        <w:t>、</w:t>
      </w:r>
      <w:r>
        <w:rPr>
          <w:rFonts w:hint="eastAsia" w:ascii="楷体" w:hAnsi="楷体" w:eastAsia="楷体"/>
          <w:sz w:val="32"/>
          <w:szCs w:val="32"/>
          <w:u w:val="none"/>
        </w:rPr>
        <w:t>参照公务员法管理的事业单位</w:t>
      </w:r>
      <w:r>
        <w:rPr>
          <w:rFonts w:hint="eastAsia" w:ascii="楷体" w:hAnsi="楷体" w:eastAsia="楷体"/>
          <w:sz w:val="32"/>
          <w:szCs w:val="32"/>
          <w:u w:val="none"/>
          <w:lang w:eastAsia="zh-CN"/>
        </w:rPr>
        <w:t>需说明，其他单位不需要说明</w:t>
      </w:r>
      <w:r>
        <w:rPr>
          <w:rFonts w:hint="eastAsia" w:ascii="楷体" w:hAnsi="楷体" w:eastAsia="楷体"/>
          <w:sz w:val="32"/>
          <w:szCs w:val="32"/>
          <w:u w:val="none"/>
          <w:lang w:val="en-US" w:eastAsia="zh-CN"/>
        </w:rPr>
        <w:t>）</w:t>
      </w:r>
    </w:p>
    <w:p w14:paraId="0224ED2E">
      <w:pPr>
        <w:spacing w:line="578" w:lineRule="exact"/>
        <w:ind w:firstLine="640" w:firstLineChars="200"/>
        <w:rPr>
          <w:rFonts w:ascii="仿宋_GB2312" w:hAnsi="黑体" w:eastAsia="仿宋_GB2312"/>
          <w:sz w:val="32"/>
          <w:szCs w:val="32"/>
          <w:u w:val="none"/>
        </w:rPr>
      </w:pPr>
      <w:r>
        <w:rPr>
          <w:rFonts w:hint="eastAsia" w:ascii="仿宋" w:hAnsi="仿宋" w:eastAsia="仿宋" w:cs="仿宋"/>
          <w:sz w:val="32"/>
          <w:szCs w:val="32"/>
          <w:lang w:eastAsia="zh-CN"/>
        </w:rPr>
        <w:t>202</w:t>
      </w:r>
      <w:r>
        <w:rPr>
          <w:rFonts w:hint="eastAsia" w:ascii="仿宋" w:hAnsi="仿宋" w:eastAsia="仿宋" w:cs="仿宋"/>
          <w:sz w:val="32"/>
          <w:szCs w:val="32"/>
          <w:lang w:val="en-US" w:eastAsia="zh-CN"/>
        </w:rPr>
        <w:t>6</w:t>
      </w:r>
      <w:r>
        <w:rPr>
          <w:rFonts w:hint="eastAsia" w:ascii="仿宋" w:hAnsi="仿宋" w:eastAsia="仿宋" w:cs="仿宋"/>
          <w:sz w:val="32"/>
          <w:szCs w:val="32"/>
        </w:rPr>
        <w:t>年屯昌县南吕镇第二幼儿园无机关运行经费预算。</w:t>
      </w:r>
    </w:p>
    <w:p w14:paraId="625A0F31">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楷体" w:hAnsi="楷体" w:eastAsia="楷体"/>
          <w:sz w:val="32"/>
          <w:szCs w:val="32"/>
          <w:u w:val="none"/>
        </w:rPr>
      </w:pPr>
      <w:r>
        <w:rPr>
          <w:rFonts w:hint="eastAsia" w:ascii="楷体" w:hAnsi="楷体" w:eastAsia="楷体"/>
          <w:sz w:val="32"/>
          <w:szCs w:val="32"/>
          <w:u w:val="none"/>
        </w:rPr>
        <w:t>（二）政府采购情况</w:t>
      </w:r>
    </w:p>
    <w:p w14:paraId="6ABD516C">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ascii="仿宋_GB2312" w:hAnsi="黑体" w:eastAsia="仿宋_GB2312"/>
          <w:sz w:val="32"/>
          <w:szCs w:val="32"/>
          <w:u w:val="none"/>
        </w:rPr>
      </w:pPr>
      <w:r>
        <w:rPr>
          <w:rFonts w:hint="eastAsia" w:ascii="仿宋" w:hAnsi="仿宋" w:eastAsia="仿宋" w:cs="仿宋"/>
          <w:sz w:val="32"/>
          <w:szCs w:val="32"/>
          <w:lang w:eastAsia="zh-CN"/>
        </w:rPr>
        <w:t>202</w:t>
      </w:r>
      <w:r>
        <w:rPr>
          <w:rFonts w:hint="eastAsia" w:ascii="仿宋" w:hAnsi="仿宋" w:eastAsia="仿宋" w:cs="仿宋"/>
          <w:sz w:val="32"/>
          <w:szCs w:val="32"/>
          <w:lang w:val="en-US" w:eastAsia="zh-CN"/>
        </w:rPr>
        <w:t>6</w:t>
      </w:r>
      <w:r>
        <w:rPr>
          <w:rFonts w:hint="eastAsia" w:ascii="仿宋" w:hAnsi="仿宋" w:eastAsia="仿宋" w:cs="仿宋"/>
          <w:sz w:val="32"/>
          <w:szCs w:val="32"/>
          <w:lang w:eastAsia="zh-CN"/>
        </w:rPr>
        <w:t>年屯昌县南吕镇第二幼儿园无政府采购预算</w:t>
      </w:r>
      <w:r>
        <w:rPr>
          <w:rFonts w:hint="eastAsia" w:ascii="仿宋_GB2312" w:hAnsi="黑体" w:eastAsia="仿宋_GB2312"/>
          <w:sz w:val="32"/>
          <w:szCs w:val="32"/>
          <w:u w:val="none"/>
        </w:rPr>
        <w:t>。</w:t>
      </w:r>
    </w:p>
    <w:p w14:paraId="4A2F03CC">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楷体" w:hAnsi="楷体" w:eastAsia="楷体"/>
          <w:sz w:val="32"/>
          <w:szCs w:val="32"/>
          <w:u w:val="none"/>
        </w:rPr>
      </w:pPr>
      <w:r>
        <w:rPr>
          <w:rFonts w:hint="eastAsia" w:ascii="楷体" w:hAnsi="楷体" w:eastAsia="楷体"/>
          <w:sz w:val="32"/>
          <w:szCs w:val="32"/>
          <w:u w:val="none"/>
        </w:rPr>
        <w:t>（三）国有资产占有使用情况</w:t>
      </w:r>
    </w:p>
    <w:p w14:paraId="7610E234">
      <w:pPr>
        <w:spacing w:line="578"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截至202</w:t>
      </w:r>
      <w:r>
        <w:rPr>
          <w:rFonts w:hint="eastAsia" w:ascii="仿宋" w:hAnsi="仿宋" w:eastAsia="仿宋" w:cs="仿宋"/>
          <w:sz w:val="32"/>
          <w:szCs w:val="32"/>
          <w:lang w:val="en-US" w:eastAsia="zh-CN"/>
        </w:rPr>
        <w:t>5</w:t>
      </w:r>
      <w:r>
        <w:rPr>
          <w:rFonts w:hint="eastAsia" w:ascii="仿宋" w:hAnsi="仿宋" w:eastAsia="仿宋" w:cs="仿宋"/>
          <w:sz w:val="32"/>
          <w:szCs w:val="32"/>
        </w:rPr>
        <w:t>年12月31日，屯昌县南吕镇第二幼儿园下属各预算单位共有车辆0辆，其中，领导干部用车0辆，机要通信应急用车0辆、一般执法执勤用车0辆、特种专业技术用车0辆、其他用车0辆。单位价值100万元以上设备0台（套）。</w:t>
      </w:r>
    </w:p>
    <w:p w14:paraId="477DDA2F">
      <w:pPr>
        <w:keepNext w:val="0"/>
        <w:keepLines w:val="0"/>
        <w:pageBreakBefore w:val="0"/>
        <w:widowControl/>
        <w:kinsoku/>
        <w:wordWrap/>
        <w:overflowPunct/>
        <w:topLinePunct w:val="0"/>
        <w:autoSpaceDE/>
        <w:autoSpaceDN/>
        <w:bidi w:val="0"/>
        <w:adjustRightInd/>
        <w:snapToGrid/>
        <w:spacing w:line="590" w:lineRule="exact"/>
        <w:ind w:firstLine="640" w:firstLineChars="200"/>
        <w:jc w:val="both"/>
        <w:textAlignment w:val="auto"/>
        <w:rPr>
          <w:rFonts w:ascii="楷体" w:hAnsi="楷体" w:eastAsia="楷体"/>
          <w:sz w:val="32"/>
          <w:szCs w:val="32"/>
          <w:u w:val="none"/>
        </w:rPr>
      </w:pPr>
      <w:r>
        <w:rPr>
          <w:rFonts w:hint="eastAsia" w:ascii="楷体" w:hAnsi="楷体" w:eastAsia="楷体"/>
          <w:sz w:val="32"/>
          <w:szCs w:val="32"/>
          <w:u w:val="none"/>
        </w:rPr>
        <w:t>（四）</w:t>
      </w:r>
      <w:r>
        <w:rPr>
          <w:rFonts w:hint="eastAsia" w:ascii="楷体" w:hAnsi="楷体" w:eastAsia="楷体" w:cs="黑体"/>
          <w:i w:val="0"/>
          <w:caps w:val="0"/>
          <w:spacing w:val="0"/>
          <w:kern w:val="2"/>
          <w:sz w:val="32"/>
          <w:szCs w:val="32"/>
          <w:lang w:val="en-US" w:eastAsia="zh-CN" w:bidi="ar"/>
        </w:rPr>
        <w:t>绩效目标设置及重点项目绩效目标说明</w:t>
      </w:r>
    </w:p>
    <w:p w14:paraId="2E873C97">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sz w:val="32"/>
          <w:szCs w:val="32"/>
          <w:u w:val="none"/>
        </w:rPr>
      </w:pP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r>
        <w:rPr>
          <w:rFonts w:hint="eastAsia" w:ascii="仿宋_GB2312" w:hAnsi="黑体" w:eastAsia="仿宋_GB2312" w:cs="仿宋_GB2312"/>
          <w:sz w:val="32"/>
          <w:szCs w:val="32"/>
          <w:u w:val="none"/>
          <w:lang w:val="en-US" w:eastAsia="zh-CN"/>
        </w:rPr>
        <w:t>1</w:t>
      </w:r>
      <w:r>
        <w:rPr>
          <w:rFonts w:hint="eastAsia" w:ascii="仿宋_GB2312" w:hAnsi="黑体" w:eastAsia="仿宋_GB2312" w:cs="仿宋_GB2312"/>
          <w:sz w:val="32"/>
          <w:szCs w:val="32"/>
          <w:u w:val="none"/>
        </w:rPr>
        <w:t>个项目实行绩效目标管理，涉及一般公共预算</w:t>
      </w:r>
      <w:r>
        <w:rPr>
          <w:rFonts w:hint="eastAsia" w:ascii="仿宋_GB2312" w:hAnsi="黑体" w:eastAsia="仿宋_GB2312" w:cs="仿宋_GB2312"/>
          <w:sz w:val="32"/>
          <w:szCs w:val="32"/>
          <w:u w:val="none"/>
          <w:lang w:val="en-US" w:eastAsia="zh-CN"/>
        </w:rPr>
        <w:t>0.42</w:t>
      </w:r>
      <w:r>
        <w:rPr>
          <w:rFonts w:hint="eastAsia" w:ascii="仿宋_GB2312" w:hAnsi="黑体" w:eastAsia="仿宋_GB2312"/>
          <w:sz w:val="32"/>
          <w:szCs w:val="32"/>
          <w:u w:val="none"/>
        </w:rPr>
        <w:t>万元。</w:t>
      </w:r>
    </w:p>
    <w:p w14:paraId="1E5EE56B">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sz w:val="32"/>
          <w:szCs w:val="32"/>
          <w:u w:val="none"/>
          <w:lang w:eastAsia="zh-CN"/>
        </w:rPr>
      </w:pPr>
      <w:r>
        <w:rPr>
          <w:rFonts w:hint="eastAsia" w:ascii="仿宋_GB2312" w:hAnsi="黑体" w:eastAsia="仿宋_GB2312"/>
          <w:sz w:val="32"/>
          <w:szCs w:val="32"/>
          <w:u w:val="none"/>
          <w:lang w:eastAsia="zh-CN"/>
        </w:rPr>
        <w:t>其中，重点项目预算绩效情况：</w:t>
      </w:r>
    </w:p>
    <w:p w14:paraId="61B037B1">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黑体" w:hAnsi="黑体" w:eastAsia="黑体"/>
          <w:b w:val="0"/>
          <w:bCs/>
          <w:sz w:val="32"/>
          <w:szCs w:val="32"/>
          <w:u w:val="none"/>
          <w:lang w:eastAsia="zh-CN"/>
        </w:rPr>
      </w:pPr>
      <w:r>
        <w:rPr>
          <w:rFonts w:hint="eastAsia" w:ascii="仿宋_GB2312" w:hAnsi="黑体" w:eastAsia="仿宋_GB2312"/>
          <w:sz w:val="32"/>
          <w:szCs w:val="32"/>
          <w:u w:val="none"/>
          <w:lang w:val="en-US" w:eastAsia="zh-CN"/>
        </w:rPr>
        <w:t>1.工会经费</w:t>
      </w:r>
      <w:r>
        <w:rPr>
          <w:rFonts w:hint="eastAsia" w:ascii="仿宋_GB2312" w:hAnsi="黑体" w:eastAsia="仿宋_GB2312" w:cs="仿宋_GB2312"/>
          <w:sz w:val="32"/>
          <w:szCs w:val="32"/>
          <w:u w:val="none"/>
          <w:lang w:eastAsia="zh-CN"/>
        </w:rPr>
        <w:t>项目，预算安排</w:t>
      </w:r>
      <w:r>
        <w:rPr>
          <w:rFonts w:hint="eastAsia" w:ascii="仿宋_GB2312" w:hAnsi="黑体" w:eastAsia="仿宋_GB2312" w:cs="仿宋_GB2312"/>
          <w:sz w:val="32"/>
          <w:szCs w:val="32"/>
          <w:u w:val="none"/>
          <w:lang w:val="en-US" w:eastAsia="zh-CN"/>
        </w:rPr>
        <w:t>0.42</w:t>
      </w:r>
      <w:r>
        <w:rPr>
          <w:rFonts w:hint="eastAsia" w:ascii="仿宋_GB2312" w:hAnsi="黑体" w:eastAsia="仿宋_GB2312" w:cs="仿宋_GB2312"/>
          <w:sz w:val="32"/>
          <w:szCs w:val="32"/>
          <w:u w:val="none"/>
          <w:lang w:eastAsia="zh-CN"/>
        </w:rPr>
        <w:t>万元，主要用于</w:t>
      </w:r>
      <w:r>
        <w:rPr>
          <w:rFonts w:hint="eastAsia" w:ascii="仿宋_GB2312" w:hAnsi="黑体" w:eastAsia="仿宋_GB2312" w:cs="仿宋_GB2312"/>
          <w:sz w:val="32"/>
          <w:szCs w:val="32"/>
          <w:u w:val="none"/>
          <w:lang w:val="en-US" w:eastAsia="zh-CN"/>
        </w:rPr>
        <w:t>工会支出</w:t>
      </w:r>
      <w:r>
        <w:rPr>
          <w:rFonts w:hint="eastAsia" w:ascii="仿宋_GB2312" w:hAnsi="黑体" w:eastAsia="仿宋_GB2312" w:cs="仿宋_GB2312"/>
          <w:sz w:val="32"/>
          <w:szCs w:val="32"/>
          <w:u w:val="none"/>
          <w:lang w:eastAsia="zh-CN"/>
        </w:rPr>
        <w:t>，绩效目标是</w:t>
      </w:r>
      <w:r>
        <w:rPr>
          <w:rFonts w:hint="eastAsia" w:ascii="仿宋_GB2312" w:hAnsi="黑体" w:eastAsia="仿宋_GB2312" w:cs="仿宋_GB2312"/>
          <w:sz w:val="32"/>
          <w:szCs w:val="32"/>
          <w:u w:val="none"/>
          <w:lang w:val="en-US" w:eastAsia="zh-CN"/>
        </w:rPr>
        <w:t>保障幼儿园工会正常运转</w:t>
      </w:r>
      <w:r>
        <w:rPr>
          <w:rFonts w:hint="eastAsia" w:ascii="仿宋_GB2312" w:hAnsi="黑体" w:eastAsia="仿宋_GB2312" w:cs="仿宋_GB2312"/>
          <w:sz w:val="32"/>
          <w:szCs w:val="32"/>
          <w:u w:val="none"/>
          <w:lang w:eastAsia="zh-CN"/>
        </w:rPr>
        <w:t>。</w:t>
      </w:r>
    </w:p>
    <w:p w14:paraId="70FFDF79">
      <w:pPr>
        <w:keepNext w:val="0"/>
        <w:keepLines w:val="0"/>
        <w:pageBreakBefore w:val="0"/>
        <w:kinsoku/>
        <w:wordWrap/>
        <w:overflowPunct/>
        <w:topLinePunct w:val="0"/>
        <w:autoSpaceDE/>
        <w:autoSpaceDN/>
        <w:bidi w:val="0"/>
        <w:adjustRightInd/>
        <w:snapToGrid/>
        <w:spacing w:line="590" w:lineRule="exact"/>
        <w:jc w:val="both"/>
        <w:textAlignment w:val="auto"/>
        <w:rPr>
          <w:rFonts w:hint="eastAsia" w:ascii="黑体" w:hAnsi="黑体" w:eastAsia="黑体"/>
          <w:b w:val="0"/>
          <w:bCs/>
          <w:sz w:val="32"/>
          <w:szCs w:val="32"/>
          <w:u w:val="none"/>
        </w:rPr>
      </w:pPr>
    </w:p>
    <w:p w14:paraId="68B3540A">
      <w:pPr>
        <w:keepNext w:val="0"/>
        <w:keepLines w:val="0"/>
        <w:pageBreakBefore w:val="0"/>
        <w:kinsoku/>
        <w:wordWrap/>
        <w:overflowPunct/>
        <w:topLinePunct w:val="0"/>
        <w:autoSpaceDE/>
        <w:autoSpaceDN/>
        <w:bidi w:val="0"/>
        <w:adjustRightInd/>
        <w:snapToGrid/>
        <w:spacing w:line="590" w:lineRule="exact"/>
        <w:jc w:val="both"/>
        <w:textAlignment w:val="auto"/>
        <w:rPr>
          <w:rFonts w:ascii="黑体" w:hAnsi="黑体" w:eastAsia="黑体"/>
          <w:b w:val="0"/>
          <w:bCs/>
          <w:sz w:val="32"/>
          <w:szCs w:val="32"/>
          <w:u w:val="none"/>
        </w:rPr>
      </w:pPr>
      <w:r>
        <w:rPr>
          <w:rFonts w:hint="eastAsia" w:ascii="黑体" w:hAnsi="黑体" w:eastAsia="黑体"/>
          <w:b w:val="0"/>
          <w:bCs/>
          <w:sz w:val="32"/>
          <w:szCs w:val="32"/>
          <w:u w:val="none"/>
        </w:rPr>
        <w:t>第四部分  名词解释</w:t>
      </w:r>
    </w:p>
    <w:p w14:paraId="048850F1">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仿宋_GB2312" w:eastAsia="仿宋_GB2312" w:cs="宋体"/>
          <w:bCs/>
          <w:color w:val="000000"/>
          <w:kern w:val="0"/>
          <w:sz w:val="32"/>
          <w:szCs w:val="32"/>
          <w:u w:val="none"/>
          <w:lang w:val="zh-CN"/>
        </w:rPr>
      </w:pPr>
    </w:p>
    <w:p w14:paraId="49B5CD5A">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一、财政拨款收入：指本级财政当年拨付的资金。</w:t>
      </w:r>
    </w:p>
    <w:p w14:paraId="7BFDA733">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二、一般公共预算拨款收入：指用于反映税收收入、专项收入、行政事业性收费收入、罚没收入、国有资源（资产）有偿使用收入、政府住房基金收入、捐赠收入等财政收入。</w:t>
      </w:r>
    </w:p>
    <w:p w14:paraId="48F9BE67">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lang w:eastAsia="zh-CN"/>
        </w:rPr>
      </w:pPr>
      <w:r>
        <w:rPr>
          <w:rFonts w:hint="eastAsia" w:ascii="仿宋_GB2312" w:hAnsi="宋体" w:eastAsia="仿宋_GB2312" w:cs="宋体"/>
          <w:color w:val="000000"/>
          <w:kern w:val="0"/>
          <w:sz w:val="32"/>
          <w:szCs w:val="32"/>
          <w:u w:val="none"/>
        </w:rPr>
        <w:t>三、政府性基金预算拨款收入：指是用于反映政府为支持某项事业发展或特定基础设施建设，依法依规向公民、法人和其他组织征收的以及出让土地、发行彩票等方式取得的具有专门用途的资金</w:t>
      </w:r>
      <w:r>
        <w:rPr>
          <w:rFonts w:hint="eastAsia" w:ascii="仿宋_GB2312" w:hAnsi="宋体" w:eastAsia="仿宋_GB2312" w:cs="宋体"/>
          <w:color w:val="000000"/>
          <w:kern w:val="0"/>
          <w:sz w:val="32"/>
          <w:szCs w:val="32"/>
          <w:u w:val="none"/>
          <w:lang w:eastAsia="zh-CN"/>
        </w:rPr>
        <w:t>。</w:t>
      </w:r>
    </w:p>
    <w:p w14:paraId="61DD4743">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 xml:space="preserve">四、事业收入：指用于反映事业单位开展专业业务活动及辅助活动所取得的收入。 </w:t>
      </w:r>
    </w:p>
    <w:p w14:paraId="53D44C32">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五、事业单位经营收入：指用于反映事业单位在专业活动及辅助活动之外开展非独立核算经营活动取得的收入。</w:t>
      </w:r>
    </w:p>
    <w:p w14:paraId="191908CE">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六、其他收入：指除上述“财政拨款收入”“事业收入”“经营收入”等以外的收入。</w:t>
      </w:r>
    </w:p>
    <w:p w14:paraId="740A3976">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七、上年结转：指以前年度尚未完成、结转到本年按有关规定继续使用的资金。</w:t>
      </w:r>
    </w:p>
    <w:p w14:paraId="5C3251FD">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八、基本支出：指行政事业单位用于为保障其机构正常运转、完成日常工作任务而发生的人员支出和公用支出。</w:t>
      </w:r>
    </w:p>
    <w:p w14:paraId="784505B8">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九、工资福利支出：反映单位开支的在职职工和编制外长期聘用人员的各类劳动报酬，以及为上述人员缴纳的各项社会保险费等。</w:t>
      </w:r>
    </w:p>
    <w:p w14:paraId="52940EA4">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十、对个人和家庭的补助支出：反映政府用于对个人和家庭的补助支出，包括离休费、退休费、退职（役）费、抚恤金、生活补助、救济费、医疗费补助、助学金、独生子女奖励金、其他等。</w:t>
      </w:r>
    </w:p>
    <w:p w14:paraId="04021030">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十一、商品和服务支出：反映单位购买商品和服务的支出，包括办公费、水费、电费、邮电费、培训费、公务用车运行维护费、差旅费、因公出国（境）费用、公务接待费、工会经费、会议费、福利费、物业管理费、维修（护）费、其他等。</w:t>
      </w:r>
    </w:p>
    <w:p w14:paraId="31A28846">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十二、项目支出：指各部门、各单位为完成其特定的工作任务和事业发展目标所发生的支出。</w:t>
      </w:r>
    </w:p>
    <w:p w14:paraId="5E81F308">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w:t>
      </w:r>
      <w:r>
        <w:rPr>
          <w:rFonts w:hint="eastAsia" w:ascii="仿宋_GB2312" w:hAnsi="宋体" w:eastAsia="仿宋_GB2312" w:cs="宋体"/>
          <w:color w:val="000000"/>
          <w:kern w:val="0"/>
          <w:sz w:val="32"/>
          <w:szCs w:val="32"/>
          <w:u w:val="none"/>
          <w:lang w:eastAsia="zh-CN"/>
        </w:rPr>
        <w:t>、</w:t>
      </w:r>
      <w:r>
        <w:rPr>
          <w:rFonts w:hint="eastAsia" w:ascii="仿宋_GB2312" w:hAnsi="宋体" w:eastAsia="仿宋_GB2312" w:cs="宋体"/>
          <w:color w:val="000000"/>
          <w:kern w:val="0"/>
          <w:sz w:val="32"/>
          <w:szCs w:val="32"/>
          <w:u w:val="none"/>
          <w:lang w:val="en-US" w:eastAsia="zh-CN"/>
        </w:rPr>
        <w:t>1个月及以上租车费用</w:t>
      </w:r>
      <w:r>
        <w:rPr>
          <w:rFonts w:hint="eastAsia" w:ascii="仿宋_GB2312" w:hAnsi="宋体" w:eastAsia="仿宋_GB2312" w:cs="宋体"/>
          <w:color w:val="000000"/>
          <w:kern w:val="0"/>
          <w:sz w:val="32"/>
          <w:szCs w:val="32"/>
          <w:u w:val="none"/>
        </w:rPr>
        <w:t>等支出；公务接待费指单位按规定开支的各类公务接待（含外宾接待）支出。</w:t>
      </w:r>
    </w:p>
    <w:p w14:paraId="265ACE17">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14:paraId="5FD576BE">
      <w:pPr>
        <w:keepNext w:val="0"/>
        <w:keepLines w:val="0"/>
        <w:pageBreakBefore w:val="0"/>
        <w:kinsoku/>
        <w:wordWrap/>
        <w:overflowPunct/>
        <w:topLinePunct w:val="0"/>
        <w:autoSpaceDE/>
        <w:autoSpaceDN/>
        <w:bidi w:val="0"/>
        <w:adjustRightInd/>
        <w:snapToGrid/>
        <w:spacing w:line="590" w:lineRule="exact"/>
        <w:ind w:firstLine="0" w:firstLineChars="0"/>
        <w:jc w:val="both"/>
        <w:textAlignment w:val="auto"/>
        <w:rPr>
          <w:rFonts w:ascii="仿宋_GB2312" w:hAnsi="黑体" w:eastAsia="仿宋_GB2312" w:cs="仿宋_GB2312"/>
          <w:sz w:val="32"/>
          <w:szCs w:val="32"/>
          <w:u w:val="none"/>
        </w:rPr>
      </w:pPr>
    </w:p>
    <w:p w14:paraId="0D7058AE"/>
    <w:sectPr>
      <w:footerReference r:id="rId3" w:type="default"/>
      <w:pgSz w:w="11906" w:h="16838"/>
      <w:pgMar w:top="1928" w:right="1474" w:bottom="1701" w:left="1587"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黑体_GBK">
    <w:altName w:val="微软雅黑"/>
    <w:panose1 w:val="02000000000000000000"/>
    <w:charset w:val="86"/>
    <w:family w:val="auto"/>
    <w:pitch w:val="default"/>
    <w:sig w:usb0="00000000" w:usb1="00000000" w:usb2="00082016" w:usb3="00000000" w:csb0="00040001" w:csb1="00000000"/>
  </w:font>
  <w:font w:name="方正仿宋_GBK">
    <w:altName w:val="微软雅黑"/>
    <w:panose1 w:val="02000000000000000000"/>
    <w:charset w:val="86"/>
    <w:family w:val="auto"/>
    <w:pitch w:val="default"/>
    <w:sig w:usb0="00000000" w:usb1="00000000" w:usb2="00082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KSOF8080F95D">
    <w:panose1 w:val="020B0503020204020204"/>
    <w:charset w:val="86"/>
    <w:family w:val="auto"/>
    <w:pitch w:val="default"/>
    <w:sig w:usb0="00000001" w:usb1="00000000" w:usb2="00000000" w:usb3="00000000" w:csb0="00040001" w:csb1="00000000"/>
  </w:font>
  <w:font w:name="KSOFEC83043A">
    <w:panose1 w:val="020B0503020204020204"/>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99EC7C">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793750" cy="327660"/>
              <wp:effectExtent l="0" t="0" r="0" b="0"/>
              <wp:wrapNone/>
              <wp:docPr id="1" name="文本框 1"/>
              <wp:cNvGraphicFramePr/>
              <a:graphic xmlns:a="http://schemas.openxmlformats.org/drawingml/2006/main">
                <a:graphicData uri="http://schemas.microsoft.com/office/word/2010/wordprocessingShape">
                  <wps:wsp>
                    <wps:cNvSpPr txBox="1"/>
                    <wps:spPr>
                      <a:xfrm>
                        <a:off x="0" y="0"/>
                        <a:ext cx="793750" cy="32766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9A5CE96">
                          <w:pPr>
                            <w:pStyle w:val="2"/>
                            <w:rPr>
                              <w:rFonts w:hint="eastAsia" w:ascii="宋体" w:hAnsi="宋体" w:eastAsia="宋体" w:cs="宋体"/>
                              <w:sz w:val="28"/>
                              <w:szCs w:val="28"/>
                              <w:lang w:eastAsia="zh-CN"/>
                            </w:rPr>
                          </w:pPr>
                          <w:r>
                            <w:rPr>
                              <w:rFonts w:hint="eastAsia" w:ascii="宋体" w:hAnsi="宋体" w:eastAsia="宋体" w:cs="宋体"/>
                              <w:sz w:val="28"/>
                              <w:szCs w:val="28"/>
                              <w:lang w:eastAsia="zh-CN"/>
                            </w:rPr>
                            <w:t xml:space="preserve">—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xml:space="preserve"> —</w:t>
                          </w: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top:0pt;height:25.8pt;width:62.5pt;mso-position-horizontal:outside;mso-position-horizontal-relative:margin;z-index:251659264;mso-width-relative:page;mso-height-relative:page;" filled="f" stroked="f" coordsize="21600,21600" o:gfxdata="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7M5a7tMAAAAEAQAADwAAAAAAAAABACAAAAAiAAAAZHJzL2Rvd25yZXYueG1s&#10;UEsBAhQAFAAAAAgAh07iQIWn1LU2AgAAYQQAAA4AAAAAAAAAAQAgAAAAIgEAAGRycy9lMm9Eb2Mu&#10;eG1sUEsFBgAAAAAGAAYAWQEAAMoFAAAAAA==&#10;">
              <v:fill on="f" focussize="0,0"/>
              <v:stroke on="f" weight="0.5pt"/>
              <v:imagedata o:title=""/>
              <o:lock v:ext="edit" aspectratio="f"/>
              <v:textbox inset="0mm,0mm,0mm,0mm">
                <w:txbxContent>
                  <w:p w14:paraId="79A5CE96">
                    <w:pPr>
                      <w:pStyle w:val="2"/>
                      <w:rPr>
                        <w:rFonts w:hint="eastAsia" w:ascii="宋体" w:hAnsi="宋体" w:eastAsia="宋体" w:cs="宋体"/>
                        <w:sz w:val="28"/>
                        <w:szCs w:val="28"/>
                        <w:lang w:eastAsia="zh-CN"/>
                      </w:rPr>
                    </w:pPr>
                    <w:r>
                      <w:rPr>
                        <w:rFonts w:hint="eastAsia" w:ascii="宋体" w:hAnsi="宋体" w:eastAsia="宋体" w:cs="宋体"/>
                        <w:sz w:val="28"/>
                        <w:szCs w:val="28"/>
                        <w:lang w:eastAsia="zh-CN"/>
                      </w:rPr>
                      <w:t xml:space="preserve">—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DEEC51"/>
    <w:multiLevelType w:val="singleLevel"/>
    <w:tmpl w:val="DBDEEC51"/>
    <w:lvl w:ilvl="0" w:tentative="0">
      <w:start w:val="6"/>
      <w:numFmt w:val="chineseCounting"/>
      <w:suff w:val="nothing"/>
      <w:lvlText w:val="%1、"/>
      <w:lvlJc w:val="left"/>
      <w:rPr>
        <w:rFonts w:hint="eastAsia"/>
      </w:rPr>
    </w:lvl>
  </w:abstractNum>
  <w:abstractNum w:abstractNumId="1">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D7F66E0"/>
    <w:rsid w:val="0D7F66E0"/>
    <w:rsid w:val="3FE827DB"/>
    <w:rsid w:val="415D6A9A"/>
    <w:rsid w:val="43A32E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屯昌县（屯城镇）</Company>
  <Pages>11</Pages>
  <Words>3682</Words>
  <Characters>3946</Characters>
  <Lines>0</Lines>
  <Paragraphs>0</Paragraphs>
  <TotalTime>0</TotalTime>
  <ScaleCrop>false</ScaleCrop>
  <LinksUpToDate>false</LinksUpToDate>
  <CharactersWithSpaces>3968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2026-02-28T08:07:00Z</dcterms:created>
  <dc:creator>子净</dc:creator>
  <cp:lastModifiedBy>　　</cp:lastModifiedBy>
  <dcterms:modified xsi:type="dcterms:W3CDTF">2026-03-02T09:58:02Z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eyJoZGlkIjoiNzQ4NWFlNGVmNmJmZGIzMTQ4Yzg2YTMzNjI0NmNjZmYiLCJ1c2VySWQiOiI0MTIyNTg0ODkifQ==</vt:lpwstr>
  </property>
  <property fmtid="{D5CDD505-2E9C-101B-9397-08002B2CF9AE}" pid="4" name="ICV">
    <vt:lpwstr>450657320AB44F76895CCEAA704E5614_12</vt:lpwstr>
  </property>
</Properties>
</file>