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E6AB25">
      <w:pPr>
        <w:spacing w:line="560" w:lineRule="exact"/>
        <w:rPr>
          <w:sz w:val="84"/>
          <w:szCs w:val="84"/>
          <w:u w:val="none"/>
        </w:rPr>
      </w:pPr>
    </w:p>
    <w:p w14:paraId="2BD37EFF">
      <w:pPr>
        <w:spacing w:line="560" w:lineRule="exact"/>
        <w:rPr>
          <w:sz w:val="84"/>
          <w:szCs w:val="84"/>
          <w:u w:val="none"/>
        </w:rPr>
      </w:pPr>
    </w:p>
    <w:p w14:paraId="052D8079">
      <w:pPr>
        <w:spacing w:line="560" w:lineRule="exact"/>
        <w:rPr>
          <w:sz w:val="84"/>
          <w:szCs w:val="84"/>
          <w:u w:val="none"/>
        </w:rPr>
      </w:pPr>
    </w:p>
    <w:p w14:paraId="16E8FFB7">
      <w:pPr>
        <w:spacing w:line="560" w:lineRule="exact"/>
        <w:rPr>
          <w:sz w:val="84"/>
          <w:szCs w:val="84"/>
          <w:u w:val="none"/>
        </w:rPr>
      </w:pPr>
    </w:p>
    <w:p w14:paraId="1A9F1607">
      <w:pPr>
        <w:spacing w:line="560" w:lineRule="exact"/>
        <w:jc w:val="center"/>
        <w:rPr>
          <w:rFonts w:hint="eastAsia"/>
          <w:sz w:val="52"/>
          <w:szCs w:val="52"/>
          <w:u w:val="none"/>
          <w:lang w:val="en-US" w:eastAsia="zh-CN"/>
        </w:rPr>
      </w:pPr>
    </w:p>
    <w:p w14:paraId="14D782EA">
      <w:pPr>
        <w:spacing w:line="560" w:lineRule="exact"/>
        <w:jc w:val="center"/>
        <w:rPr>
          <w:rFonts w:hint="eastAsia"/>
          <w:sz w:val="52"/>
          <w:szCs w:val="52"/>
          <w:u w:val="none"/>
          <w:lang w:val="en-US" w:eastAsia="zh-CN"/>
        </w:rPr>
      </w:pPr>
    </w:p>
    <w:p w14:paraId="56036788">
      <w:pPr>
        <w:spacing w:line="560" w:lineRule="exact"/>
        <w:jc w:val="center"/>
        <w:rPr>
          <w:rFonts w:hint="eastAsia"/>
          <w:sz w:val="52"/>
          <w:szCs w:val="52"/>
          <w:u w:val="none"/>
          <w:lang w:val="en-US" w:eastAsia="zh-CN"/>
        </w:rPr>
      </w:pPr>
    </w:p>
    <w:p w14:paraId="6A7666A5">
      <w:pPr>
        <w:spacing w:line="560" w:lineRule="exact"/>
        <w:jc w:val="center"/>
        <w:rPr>
          <w:rFonts w:hint="eastAsia"/>
          <w:sz w:val="52"/>
          <w:szCs w:val="52"/>
          <w:u w:val="none"/>
          <w:lang w:val="en-US" w:eastAsia="zh-CN"/>
        </w:rPr>
      </w:pPr>
    </w:p>
    <w:p w14:paraId="2F9FE21E">
      <w:pPr>
        <w:spacing w:line="560" w:lineRule="exact"/>
        <w:jc w:val="center"/>
        <w:rPr>
          <w:rFonts w:hint="eastAsia"/>
          <w:sz w:val="52"/>
          <w:szCs w:val="52"/>
          <w:u w:val="none"/>
          <w:lang w:val="en-US" w:eastAsia="zh-CN"/>
        </w:rPr>
      </w:pPr>
    </w:p>
    <w:p w14:paraId="15802232">
      <w:pPr>
        <w:spacing w:line="560" w:lineRule="exact"/>
        <w:jc w:val="center"/>
        <w:rPr>
          <w:rFonts w:hint="eastAsia"/>
          <w:sz w:val="52"/>
          <w:szCs w:val="52"/>
          <w:u w:val="none"/>
          <w:lang w:val="en-US" w:eastAsia="zh-CN"/>
        </w:rPr>
      </w:pPr>
    </w:p>
    <w:p w14:paraId="75ADBF19">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default" w:ascii="方正小标宋_GBK" w:hAnsi="方正小标宋_GBK" w:eastAsia="方正小标宋_GBK" w:cs="方正小标宋_GBK"/>
          <w:sz w:val="44"/>
          <w:szCs w:val="44"/>
          <w:u w:val="none"/>
          <w:lang w:val="en-US" w:eastAsia="zh-CN"/>
        </w:rPr>
      </w:pPr>
      <w:r>
        <w:rPr>
          <w:rFonts w:hint="eastAsia" w:ascii="方正小标宋_GBK" w:hAnsi="方正小标宋_GBK" w:eastAsia="方正小标宋_GBK" w:cs="方正小标宋_GBK"/>
          <w:sz w:val="44"/>
          <w:szCs w:val="44"/>
          <w:u w:val="none"/>
          <w:lang w:val="en-US" w:eastAsia="zh-CN"/>
        </w:rPr>
        <w:t>2026</w:t>
      </w:r>
      <w:r>
        <w:rPr>
          <w:rFonts w:hint="eastAsia" w:ascii="方正小标宋_GBK" w:hAnsi="方正小标宋_GBK" w:eastAsia="方正小标宋_GBK" w:cs="方正小标宋_GBK"/>
          <w:sz w:val="44"/>
          <w:szCs w:val="44"/>
          <w:u w:val="none"/>
        </w:rPr>
        <w:t>年</w:t>
      </w:r>
      <w:r>
        <w:rPr>
          <w:rFonts w:hint="eastAsia" w:ascii="方正小标宋_GBK" w:hAnsi="方正小标宋_GBK" w:eastAsia="方正小标宋_GBK" w:cs="方正小标宋_GBK"/>
          <w:sz w:val="44"/>
          <w:szCs w:val="44"/>
          <w:u w:val="none"/>
          <w:lang w:val="en-US" w:eastAsia="zh-CN"/>
        </w:rPr>
        <w:t>屯昌县乌坡镇乌坡学校</w:t>
      </w:r>
      <w:r>
        <w:rPr>
          <w:rFonts w:hint="eastAsia" w:ascii="方正小标宋_GBK" w:hAnsi="方正小标宋_GBK" w:eastAsia="方正小标宋_GBK" w:cs="方正小标宋_GBK"/>
          <w:sz w:val="44"/>
          <w:szCs w:val="44"/>
          <w:u w:val="none"/>
        </w:rPr>
        <w:t>预算</w:t>
      </w:r>
      <w:r>
        <w:rPr>
          <w:rFonts w:hint="eastAsia" w:ascii="方正小标宋_GBK" w:hAnsi="方正小标宋_GBK" w:eastAsia="方正小标宋_GBK" w:cs="方正小标宋_GBK"/>
          <w:sz w:val="44"/>
          <w:szCs w:val="44"/>
          <w:u w:val="none"/>
          <w:lang w:val="en-US" w:eastAsia="zh-CN"/>
        </w:rPr>
        <w:t>公开说明</w:t>
      </w:r>
    </w:p>
    <w:p w14:paraId="4203856A">
      <w:pPr>
        <w:spacing w:line="560" w:lineRule="exact"/>
        <w:ind w:firstLine="1680"/>
        <w:jc w:val="center"/>
        <w:rPr>
          <w:sz w:val="84"/>
          <w:szCs w:val="84"/>
          <w:u w:val="none"/>
        </w:rPr>
      </w:pPr>
    </w:p>
    <w:p w14:paraId="1AF20008">
      <w:pPr>
        <w:spacing w:line="560" w:lineRule="exact"/>
        <w:ind w:firstLine="1680"/>
        <w:jc w:val="center"/>
        <w:rPr>
          <w:sz w:val="84"/>
          <w:szCs w:val="84"/>
          <w:u w:val="none"/>
        </w:rPr>
      </w:pPr>
    </w:p>
    <w:p w14:paraId="5903BD1F">
      <w:pPr>
        <w:spacing w:line="560" w:lineRule="exact"/>
        <w:ind w:firstLine="1680"/>
        <w:jc w:val="center"/>
        <w:rPr>
          <w:sz w:val="84"/>
          <w:szCs w:val="84"/>
          <w:u w:val="none"/>
        </w:rPr>
      </w:pPr>
    </w:p>
    <w:p w14:paraId="1D6EF385">
      <w:pPr>
        <w:spacing w:line="560" w:lineRule="exact"/>
        <w:ind w:firstLine="1680"/>
        <w:jc w:val="center"/>
        <w:rPr>
          <w:sz w:val="84"/>
          <w:szCs w:val="84"/>
          <w:u w:val="none"/>
        </w:rPr>
      </w:pPr>
    </w:p>
    <w:p w14:paraId="16D9461A">
      <w:pPr>
        <w:rPr>
          <w:sz w:val="84"/>
          <w:szCs w:val="84"/>
          <w:u w:val="none"/>
        </w:rPr>
      </w:pPr>
      <w:r>
        <w:rPr>
          <w:sz w:val="84"/>
          <w:szCs w:val="84"/>
          <w:u w:val="none"/>
        </w:rPr>
        <w:br w:type="page"/>
      </w:r>
    </w:p>
    <w:p w14:paraId="69187253">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14:paraId="69E98682">
      <w:pPr>
        <w:pStyle w:val="6"/>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屯昌县乌坡镇乌坡学校</w:t>
      </w:r>
      <w:r>
        <w:rPr>
          <w:rFonts w:hint="eastAsia" w:ascii="方正黑体_GBK" w:hAnsi="方正黑体_GBK" w:eastAsia="方正黑体_GBK" w:cs="方正黑体_GBK"/>
          <w:sz w:val="32"/>
          <w:szCs w:val="32"/>
          <w:u w:val="none"/>
        </w:rPr>
        <w:t>概况</w:t>
      </w:r>
    </w:p>
    <w:p w14:paraId="155A141F">
      <w:pPr>
        <w:pStyle w:val="6"/>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14:paraId="60918CE1">
      <w:pPr>
        <w:pStyle w:val="6"/>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14:paraId="6F9FFC9A">
      <w:pPr>
        <w:pStyle w:val="6"/>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单位</w:t>
      </w:r>
      <w:r>
        <w:rPr>
          <w:rFonts w:hint="eastAsia" w:ascii="方正黑体_GBK" w:hAnsi="方正黑体_GBK" w:eastAsia="方正黑体_GBK" w:cs="方正黑体_GBK"/>
          <w:sz w:val="32"/>
          <w:szCs w:val="32"/>
          <w:u w:val="none"/>
        </w:rPr>
        <w:t>预算表</w:t>
      </w:r>
    </w:p>
    <w:p w14:paraId="163CF93F">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346C6157">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4AB3D3C4">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76CC3F91">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16D3A95E">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0A049F84">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5576025F">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14:paraId="37479C18">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258ED5EC">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351A4023">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20F0CDF8">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14:paraId="418743BD">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单位</w:t>
      </w:r>
      <w:r>
        <w:rPr>
          <w:rFonts w:hint="eastAsia" w:ascii="方正黑体_GBK" w:hAnsi="方正黑体_GBK" w:eastAsia="方正黑体_GBK" w:cs="方正黑体_GBK"/>
          <w:sz w:val="32"/>
          <w:szCs w:val="32"/>
          <w:u w:val="none"/>
        </w:rPr>
        <w:t>预算情况说明</w:t>
      </w:r>
    </w:p>
    <w:p w14:paraId="31A8D824">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14:paraId="71F15A1A">
      <w:pPr>
        <w:jc w:val="left"/>
        <w:rPr>
          <w:rFonts w:hint="eastAsia" w:ascii="黑体" w:hAnsi="黑体" w:eastAsia="黑体"/>
          <w:sz w:val="52"/>
          <w:szCs w:val="52"/>
          <w:u w:val="none"/>
        </w:rPr>
      </w:pPr>
    </w:p>
    <w:p w14:paraId="7F9C2BAF">
      <w:pPr>
        <w:pStyle w:val="6"/>
        <w:spacing w:line="560" w:lineRule="exact"/>
        <w:ind w:left="1320" w:firstLine="0" w:firstLineChars="0"/>
        <w:jc w:val="left"/>
        <w:rPr>
          <w:rFonts w:ascii="黑体" w:hAnsi="黑体" w:eastAsia="黑体"/>
          <w:sz w:val="32"/>
          <w:szCs w:val="32"/>
          <w:u w:val="none"/>
        </w:rPr>
      </w:pPr>
    </w:p>
    <w:p w14:paraId="238A8868">
      <w:pPr>
        <w:jc w:val="center"/>
        <w:rPr>
          <w:rFonts w:hint="eastAsia" w:ascii="方正黑体_GBK" w:hAnsi="方正黑体_GBK" w:eastAsia="方正黑体_GBK" w:cs="方正黑体_GBK"/>
          <w:sz w:val="32"/>
          <w:szCs w:val="32"/>
          <w:u w:val="none"/>
        </w:rPr>
      </w:pPr>
      <w:r>
        <w:rPr>
          <w:rFonts w:ascii="黑体" w:hAnsi="黑体" w:eastAsia="黑体"/>
          <w:sz w:val="32"/>
          <w:szCs w:val="32"/>
          <w:u w:val="none"/>
        </w:rPr>
        <w:br w:type="page"/>
      </w:r>
      <w:r>
        <w:rPr>
          <w:rFonts w:hint="eastAsia" w:ascii="方正黑体_GBK" w:hAnsi="方正黑体_GBK" w:eastAsia="方正黑体_GBK" w:cs="方正黑体_GBK"/>
          <w:b w:val="0"/>
          <w:bCs/>
          <w:sz w:val="32"/>
          <w:szCs w:val="32"/>
          <w:u w:val="none"/>
          <w:lang w:eastAsia="zh-CN"/>
        </w:rPr>
        <w:t>第</w:t>
      </w:r>
      <w:r>
        <w:rPr>
          <w:rFonts w:hint="eastAsia" w:ascii="方正黑体_GBK" w:hAnsi="方正黑体_GBK" w:eastAsia="方正黑体_GBK" w:cs="方正黑体_GBK"/>
          <w:b w:val="0"/>
          <w:bCs/>
          <w:sz w:val="32"/>
          <w:szCs w:val="32"/>
          <w:u w:val="none"/>
          <w:lang w:val="en-US" w:eastAsia="zh-CN"/>
        </w:rPr>
        <w:t>一</w:t>
      </w:r>
      <w:r>
        <w:rPr>
          <w:rFonts w:hint="eastAsia" w:ascii="方正黑体_GBK" w:hAnsi="方正黑体_GBK" w:eastAsia="方正黑体_GBK" w:cs="方正黑体_GBK"/>
          <w:b w:val="0"/>
          <w:bCs/>
          <w:sz w:val="32"/>
          <w:szCs w:val="32"/>
          <w:u w:val="none"/>
          <w:lang w:eastAsia="zh-CN"/>
        </w:rPr>
        <w:t>部分</w:t>
      </w:r>
      <w:r>
        <w:rPr>
          <w:rFonts w:hint="eastAsia" w:ascii="方正黑体_GBK" w:hAnsi="方正黑体_GBK" w:eastAsia="方正黑体_GBK" w:cs="方正黑体_GBK"/>
          <w:b w:val="0"/>
          <w:bCs/>
          <w:sz w:val="32"/>
          <w:szCs w:val="32"/>
          <w:u w:val="none"/>
          <w:lang w:val="en-US" w:eastAsia="zh-CN"/>
        </w:rPr>
        <w:t xml:space="preserve">  </w:t>
      </w:r>
      <w:r>
        <w:rPr>
          <w:rFonts w:hint="eastAsia" w:ascii="方正黑体_GBK" w:hAnsi="方正黑体_GBK" w:eastAsia="方正黑体_GBK" w:cs="方正黑体_GBK"/>
          <w:sz w:val="32"/>
          <w:szCs w:val="32"/>
          <w:u w:val="none"/>
        </w:rPr>
        <w:t>××概况</w:t>
      </w:r>
    </w:p>
    <w:p w14:paraId="2B81FB8E">
      <w:pPr>
        <w:keepNext w:val="0"/>
        <w:keepLines w:val="0"/>
        <w:pageBreakBefore w:val="0"/>
        <w:kinsoku/>
        <w:wordWrap/>
        <w:overflowPunct/>
        <w:topLinePunct w:val="0"/>
        <w:autoSpaceDE/>
        <w:autoSpaceDN/>
        <w:bidi w:val="0"/>
        <w:adjustRightInd/>
        <w:snapToGrid/>
        <w:spacing w:line="590" w:lineRule="exact"/>
        <w:jc w:val="both"/>
        <w:textAlignment w:val="auto"/>
        <w:rPr>
          <w:rFonts w:ascii="仿宋_GB2312" w:hAnsi="仿宋_GB2312" w:eastAsia="仿宋_GB2312" w:cs="仿宋_GB2312"/>
          <w:sz w:val="32"/>
          <w:szCs w:val="32"/>
          <w:u w:val="none"/>
        </w:rPr>
      </w:pPr>
    </w:p>
    <w:p w14:paraId="4E0E3554">
      <w:pPr>
        <w:pStyle w:val="6"/>
        <w:keepNext w:val="0"/>
        <w:keepLines w:val="0"/>
        <w:pageBreakBefore w:val="0"/>
        <w:numPr>
          <w:ilvl w:val="-1"/>
          <w:numId w:val="0"/>
        </w:numPr>
        <w:kinsoku/>
        <w:wordWrap/>
        <w:overflowPunct/>
        <w:topLinePunct w:val="0"/>
        <w:autoSpaceDE/>
        <w:autoSpaceDN/>
        <w:bidi w:val="0"/>
        <w:adjustRightInd/>
        <w:snapToGrid/>
        <w:spacing w:line="590" w:lineRule="exact"/>
        <w:ind w:left="0" w:firstLine="640" w:firstLineChars="200"/>
        <w:jc w:val="both"/>
        <w:textAlignment w:val="auto"/>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14:paraId="3F65EAB8">
      <w:pPr>
        <w:pStyle w:val="6"/>
        <w:numPr>
          <w:ilvl w:val="0"/>
          <w:numId w:val="0"/>
        </w:numPr>
        <w:ind w:left="210" w:leftChars="0" w:firstLine="64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lang w:eastAsia="zh-CN"/>
        </w:rPr>
        <w:t>（一）宣传贯彻执行党和国家的教育方针、政策、法律法规等，坚持依法治教、依法治学，贯彻执行上级部门的行政规章制度。</w:t>
      </w:r>
    </w:p>
    <w:p w14:paraId="6B9F5BF9">
      <w:pPr>
        <w:numPr>
          <w:ilvl w:val="0"/>
          <w:numId w:val="0"/>
        </w:numPr>
        <w:ind w:left="210" w:leftChars="0" w:firstLine="640" w:firstLineChars="200"/>
        <w:jc w:val="left"/>
        <w:rPr>
          <w:rFonts w:hint="eastAsia" w:ascii="仿宋_GB2312" w:hAnsi="黑体" w:eastAsia="仿宋_GB2312" w:cs="仿宋_GB2312"/>
          <w:sz w:val="32"/>
          <w:szCs w:val="32"/>
          <w:lang w:eastAsia="zh-CN"/>
        </w:rPr>
      </w:pPr>
      <w:r>
        <w:rPr>
          <w:rFonts w:hint="eastAsia" w:ascii="仿宋_GB2312" w:hAnsi="黑体" w:eastAsia="仿宋_GB2312" w:cs="仿宋_GB2312"/>
          <w:sz w:val="32"/>
          <w:szCs w:val="32"/>
          <w:lang w:eastAsia="zh-CN"/>
        </w:rPr>
        <w:t>（二）配合县、镇人民政府制定符合党的教育方针和国家教育法规及本校实际的教育发展规划和学校布局调整规划，并抓好组织实施和落实工作。</w:t>
      </w:r>
    </w:p>
    <w:p w14:paraId="5A65CC9F">
      <w:pPr>
        <w:numPr>
          <w:ilvl w:val="0"/>
          <w:numId w:val="0"/>
        </w:numPr>
        <w:ind w:left="210" w:leftChars="0" w:firstLine="640" w:firstLineChars="200"/>
        <w:jc w:val="left"/>
        <w:rPr>
          <w:rFonts w:hint="eastAsia" w:ascii="仿宋_GB2312" w:hAnsi="黑体" w:eastAsia="仿宋_GB2312" w:cs="仿宋_GB2312"/>
          <w:sz w:val="32"/>
          <w:szCs w:val="32"/>
          <w:lang w:eastAsia="zh-CN"/>
        </w:rPr>
      </w:pPr>
      <w:r>
        <w:rPr>
          <w:rFonts w:hint="eastAsia" w:ascii="仿宋_GB2312" w:hAnsi="黑体" w:eastAsia="仿宋_GB2312" w:cs="仿宋_GB2312"/>
          <w:sz w:val="32"/>
          <w:szCs w:val="32"/>
          <w:lang w:eastAsia="zh-CN"/>
        </w:rPr>
        <w:t>（三）配合各级政府依法动员、组织适龄儿童少年入学，严格控制辍学，推进普及义务教育。</w:t>
      </w:r>
    </w:p>
    <w:p w14:paraId="20BC3BA4">
      <w:pPr>
        <w:numPr>
          <w:ilvl w:val="0"/>
          <w:numId w:val="0"/>
        </w:numPr>
        <w:ind w:left="210" w:leftChars="0" w:firstLine="640" w:firstLineChars="200"/>
        <w:jc w:val="left"/>
        <w:rPr>
          <w:rFonts w:hint="eastAsia" w:ascii="仿宋_GB2312" w:hAnsi="黑体" w:eastAsia="仿宋_GB2312" w:cs="仿宋_GB2312"/>
          <w:sz w:val="32"/>
          <w:szCs w:val="32"/>
          <w:lang w:eastAsia="zh-CN"/>
        </w:rPr>
      </w:pPr>
      <w:r>
        <w:rPr>
          <w:rFonts w:hint="eastAsia" w:ascii="仿宋_GB2312" w:hAnsi="黑体" w:eastAsia="仿宋_GB2312" w:cs="仿宋_GB2312"/>
          <w:sz w:val="32"/>
          <w:szCs w:val="32"/>
          <w:lang w:eastAsia="zh-CN"/>
        </w:rPr>
        <w:t>（四）组织开展本校的教育教学科研和教育教学改革，科研兴教，科研兴校。负责对本校教育教学业务的具体管理，负责教育教学管理及教改工作，全面推进素质教育实施。</w:t>
      </w:r>
    </w:p>
    <w:p w14:paraId="53C5E331">
      <w:pPr>
        <w:numPr>
          <w:ilvl w:val="0"/>
          <w:numId w:val="0"/>
        </w:numPr>
        <w:ind w:left="210" w:leftChars="0" w:firstLine="640" w:firstLineChars="200"/>
        <w:jc w:val="left"/>
        <w:rPr>
          <w:rFonts w:hint="eastAsia" w:ascii="仿宋_GB2312" w:hAnsi="黑体" w:eastAsia="仿宋_GB2312" w:cs="仿宋_GB2312"/>
          <w:sz w:val="32"/>
          <w:szCs w:val="32"/>
          <w:lang w:eastAsia="zh-CN"/>
        </w:rPr>
      </w:pPr>
      <w:r>
        <w:rPr>
          <w:rFonts w:hint="eastAsia" w:ascii="仿宋_GB2312" w:hAnsi="黑体" w:eastAsia="仿宋_GB2312" w:cs="仿宋_GB2312"/>
          <w:sz w:val="32"/>
          <w:szCs w:val="32"/>
          <w:lang w:eastAsia="zh-CN"/>
        </w:rPr>
        <w:t>（五）按照干部和教师的职数、编制和管理权限，负责本校教师人事管理、继续教育、考核考评等工作。</w:t>
      </w:r>
    </w:p>
    <w:p w14:paraId="6E750EFD">
      <w:pPr>
        <w:pStyle w:val="6"/>
        <w:numPr>
          <w:ilvl w:val="-1"/>
          <w:numId w:val="0"/>
        </w:numPr>
        <w:spacing w:line="578" w:lineRule="exact"/>
        <w:ind w:left="0" w:firstLine="960" w:firstLineChars="300"/>
        <w:jc w:val="left"/>
        <w:rPr>
          <w:rFonts w:hint="eastAsia" w:ascii="仿宋" w:hAnsi="仿宋" w:eastAsia="仿宋" w:cs="仿宋"/>
          <w:sz w:val="32"/>
          <w:szCs w:val="32"/>
        </w:rPr>
      </w:pPr>
      <w:r>
        <w:rPr>
          <w:rFonts w:hint="eastAsia" w:ascii="仿宋_GB2312" w:hAnsi="黑体" w:eastAsia="仿宋_GB2312" w:cs="仿宋_GB2312"/>
          <w:sz w:val="32"/>
          <w:szCs w:val="32"/>
          <w:lang w:eastAsia="zh-CN"/>
        </w:rPr>
        <w:t>（六）负责本校财务工作，改善办学条件等。</w:t>
      </w:r>
    </w:p>
    <w:p w14:paraId="02940BD3">
      <w:pPr>
        <w:keepNext w:val="0"/>
        <w:keepLines w:val="0"/>
        <w:pageBreakBefore w:val="0"/>
        <w:numPr>
          <w:ilvl w:val="-1"/>
          <w:numId w:val="0"/>
        </w:numPr>
        <w:kinsoku/>
        <w:wordWrap/>
        <w:overflowPunct/>
        <w:topLinePunct w:val="0"/>
        <w:autoSpaceDE/>
        <w:autoSpaceDN/>
        <w:bidi w:val="0"/>
        <w:adjustRightInd/>
        <w:snapToGrid/>
        <w:spacing w:line="590" w:lineRule="exact"/>
        <w:ind w:firstLine="640" w:firstLineChars="200"/>
        <w:jc w:val="both"/>
        <w:textAlignment w:val="auto"/>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14:paraId="5B9C4441">
      <w:pPr>
        <w:pStyle w:val="6"/>
        <w:keepNext w:val="0"/>
        <w:keepLines w:val="0"/>
        <w:pageBreakBefore w:val="0"/>
        <w:numPr>
          <w:ilvl w:val="-1"/>
          <w:numId w:val="0"/>
        </w:numPr>
        <w:kinsoku/>
        <w:wordWrap/>
        <w:overflowPunct/>
        <w:topLinePunct w:val="0"/>
        <w:autoSpaceDE/>
        <w:autoSpaceDN/>
        <w:bidi w:val="0"/>
        <w:adjustRightInd/>
        <w:snapToGrid/>
        <w:spacing w:line="590" w:lineRule="exact"/>
        <w:ind w:left="800" w:firstLine="0" w:firstLineChars="0"/>
        <w:jc w:val="both"/>
        <w:textAlignment w:val="auto"/>
        <w:rPr>
          <w:rFonts w:ascii="仿宋_GB2312" w:hAnsi="黑体" w:eastAsia="仿宋_GB2312" w:cs="仿宋_GB2312"/>
          <w:sz w:val="32"/>
          <w:szCs w:val="32"/>
          <w:highlight w:val="yellow"/>
          <w:u w:val="none"/>
        </w:rPr>
      </w:pPr>
    </w:p>
    <w:p w14:paraId="50DFEC84">
      <w:pPr>
        <w:pStyle w:val="6"/>
        <w:keepNext w:val="0"/>
        <w:keepLines w:val="0"/>
        <w:pageBreakBefore w:val="0"/>
        <w:numPr>
          <w:ilvl w:val="-1"/>
          <w:numId w:val="0"/>
        </w:numPr>
        <w:kinsoku/>
        <w:wordWrap/>
        <w:overflowPunct/>
        <w:topLinePunct w:val="0"/>
        <w:autoSpaceDE/>
        <w:autoSpaceDN/>
        <w:bidi w:val="0"/>
        <w:adjustRightInd/>
        <w:snapToGrid/>
        <w:spacing w:line="590" w:lineRule="exact"/>
        <w:ind w:left="800" w:firstLine="0" w:firstLineChars="0"/>
        <w:jc w:val="both"/>
        <w:textAlignment w:val="auto"/>
        <w:rPr>
          <w:rFonts w:ascii="仿宋_GB2312" w:hAnsi="黑体" w:eastAsia="仿宋_GB2312" w:cs="仿宋_GB2312"/>
          <w:sz w:val="32"/>
          <w:szCs w:val="32"/>
          <w:highlight w:val="yellow"/>
          <w:u w:val="none"/>
        </w:rPr>
      </w:pPr>
    </w:p>
    <w:p w14:paraId="0C97A055">
      <w:pPr>
        <w:pStyle w:val="6"/>
        <w:keepNext w:val="0"/>
        <w:keepLines w:val="0"/>
        <w:pageBreakBefore w:val="0"/>
        <w:numPr>
          <w:ilvl w:val="-1"/>
          <w:numId w:val="0"/>
        </w:numPr>
        <w:kinsoku/>
        <w:wordWrap/>
        <w:overflowPunct/>
        <w:topLinePunct w:val="0"/>
        <w:autoSpaceDE/>
        <w:autoSpaceDN/>
        <w:bidi w:val="0"/>
        <w:adjustRightInd/>
        <w:snapToGrid/>
        <w:spacing w:line="590" w:lineRule="exact"/>
        <w:ind w:left="800" w:firstLine="0" w:firstLineChars="0"/>
        <w:jc w:val="both"/>
        <w:textAlignment w:val="auto"/>
        <w:rPr>
          <w:rFonts w:ascii="仿宋_GB2312" w:hAnsi="黑体" w:eastAsia="仿宋_GB2312" w:cs="仿宋_GB2312"/>
          <w:sz w:val="32"/>
          <w:szCs w:val="32"/>
          <w:highlight w:val="yellow"/>
          <w:u w:val="none"/>
        </w:rPr>
      </w:pPr>
    </w:p>
    <w:p w14:paraId="48CE5BE3">
      <w:pPr>
        <w:pStyle w:val="6"/>
        <w:keepNext w:val="0"/>
        <w:keepLines w:val="0"/>
        <w:pageBreakBefore w:val="0"/>
        <w:numPr>
          <w:ilvl w:val="0"/>
          <w:numId w:val="0"/>
        </w:numPr>
        <w:kinsoku/>
        <w:wordWrap/>
        <w:overflowPunct/>
        <w:topLinePunct w:val="0"/>
        <w:autoSpaceDE/>
        <w:autoSpaceDN/>
        <w:bidi w:val="0"/>
        <w:adjustRightInd/>
        <w:snapToGrid/>
        <w:spacing w:line="590" w:lineRule="exact"/>
        <w:jc w:val="center"/>
        <w:textAlignment w:val="auto"/>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w:t>
      </w:r>
      <w:r>
        <w:rPr>
          <w:rFonts w:hint="eastAsia" w:ascii="方正黑体_GBK" w:hAnsi="方正黑体_GBK" w:eastAsia="方正黑体_GBK" w:cs="方正黑体_GBK"/>
          <w:b w:val="0"/>
          <w:bCs/>
          <w:sz w:val="32"/>
          <w:szCs w:val="32"/>
          <w:u w:val="none"/>
          <w:lang w:eastAsia="zh-CN"/>
        </w:rPr>
        <w:t>单位</w:t>
      </w:r>
      <w:r>
        <w:rPr>
          <w:rFonts w:hint="eastAsia" w:ascii="方正黑体_GBK" w:hAnsi="方正黑体_GBK" w:eastAsia="方正黑体_GBK" w:cs="方正黑体_GBK"/>
          <w:b w:val="0"/>
          <w:bCs/>
          <w:sz w:val="32"/>
          <w:szCs w:val="32"/>
          <w:u w:val="none"/>
        </w:rPr>
        <w:t>预算表</w:t>
      </w:r>
    </w:p>
    <w:p w14:paraId="52F8653D">
      <w:pPr>
        <w:keepNext w:val="0"/>
        <w:keepLines w:val="0"/>
        <w:pageBreakBefore w:val="0"/>
        <w:kinsoku/>
        <w:wordWrap/>
        <w:overflowPunct/>
        <w:topLinePunct w:val="0"/>
        <w:autoSpaceDE/>
        <w:autoSpaceDN/>
        <w:bidi w:val="0"/>
        <w:adjustRightInd/>
        <w:snapToGrid/>
        <w:spacing w:line="590" w:lineRule="exact"/>
        <w:ind w:left="0"/>
        <w:jc w:val="both"/>
        <w:textAlignment w:val="auto"/>
        <w:rPr>
          <w:rFonts w:hint="eastAsia" w:ascii="仿宋_GB2312" w:hAnsi="黑体" w:eastAsia="仿宋_GB2312"/>
          <w:b/>
          <w:sz w:val="32"/>
          <w:szCs w:val="32"/>
          <w:u w:val="none"/>
        </w:rPr>
      </w:pPr>
    </w:p>
    <w:p w14:paraId="044C54B6">
      <w:pPr>
        <w:keepNext w:val="0"/>
        <w:keepLines w:val="0"/>
        <w:pageBreakBefore w:val="0"/>
        <w:kinsoku/>
        <w:wordWrap/>
        <w:overflowPunct/>
        <w:topLinePunct w:val="0"/>
        <w:autoSpaceDE/>
        <w:autoSpaceDN/>
        <w:bidi w:val="0"/>
        <w:adjustRightInd/>
        <w:snapToGrid/>
        <w:spacing w:line="590" w:lineRule="exact"/>
        <w:ind w:left="0"/>
        <w:jc w:val="center"/>
        <w:textAlignment w:val="auto"/>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（此部分内容即为单位预算公开表）</w:t>
      </w:r>
    </w:p>
    <w:p w14:paraId="594FC274">
      <w:pPr>
        <w:keepNext w:val="0"/>
        <w:keepLines w:val="0"/>
        <w:pageBreakBefore w:val="0"/>
        <w:kinsoku/>
        <w:wordWrap/>
        <w:overflowPunct/>
        <w:topLinePunct w:val="0"/>
        <w:autoSpaceDE/>
        <w:autoSpaceDN/>
        <w:bidi w:val="0"/>
        <w:adjustRightInd/>
        <w:snapToGrid/>
        <w:spacing w:line="590" w:lineRule="exact"/>
        <w:ind w:left="800"/>
        <w:jc w:val="both"/>
        <w:textAlignment w:val="auto"/>
        <w:rPr>
          <w:rFonts w:hint="eastAsia" w:ascii="仿宋_GB2312" w:hAnsi="黑体" w:eastAsia="仿宋_GB2312"/>
          <w:b/>
          <w:sz w:val="32"/>
          <w:szCs w:val="32"/>
          <w:u w:val="none"/>
        </w:rPr>
      </w:pPr>
    </w:p>
    <w:p w14:paraId="658A13E2">
      <w:pPr>
        <w:keepNext w:val="0"/>
        <w:keepLines w:val="0"/>
        <w:pageBreakBefore w:val="0"/>
        <w:kinsoku/>
        <w:wordWrap/>
        <w:overflowPunct/>
        <w:topLinePunct w:val="0"/>
        <w:autoSpaceDE/>
        <w:autoSpaceDN/>
        <w:bidi w:val="0"/>
        <w:adjustRightInd/>
        <w:snapToGrid/>
        <w:spacing w:line="590" w:lineRule="exact"/>
        <w:ind w:firstLine="0" w:firstLineChars="0"/>
        <w:jc w:val="center"/>
        <w:textAlignment w:val="auto"/>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w:t>
      </w:r>
      <w:r>
        <w:rPr>
          <w:rFonts w:hint="eastAsia" w:ascii="黑体" w:hAnsi="黑体" w:eastAsia="黑体"/>
          <w:sz w:val="32"/>
          <w:szCs w:val="32"/>
          <w:u w:val="none"/>
          <w:lang w:eastAsia="zh-CN"/>
        </w:rPr>
        <w:t>单位</w:t>
      </w:r>
      <w:r>
        <w:rPr>
          <w:rFonts w:hint="eastAsia" w:ascii="黑体" w:hAnsi="黑体" w:eastAsia="黑体"/>
          <w:sz w:val="32"/>
          <w:szCs w:val="32"/>
          <w:u w:val="none"/>
        </w:rPr>
        <w:t>预算情况说明</w:t>
      </w:r>
    </w:p>
    <w:p w14:paraId="7765BD73">
      <w:pPr>
        <w:keepNext w:val="0"/>
        <w:keepLines w:val="0"/>
        <w:pageBreakBefore w:val="0"/>
        <w:kinsoku/>
        <w:wordWrap/>
        <w:overflowPunct/>
        <w:topLinePunct w:val="0"/>
        <w:autoSpaceDE/>
        <w:autoSpaceDN/>
        <w:bidi w:val="0"/>
        <w:adjustRightInd/>
        <w:snapToGrid/>
        <w:spacing w:line="590" w:lineRule="exact"/>
        <w:jc w:val="both"/>
        <w:textAlignment w:val="auto"/>
        <w:rPr>
          <w:rFonts w:ascii="黑体" w:hAnsi="黑体" w:eastAsia="黑体"/>
          <w:sz w:val="32"/>
          <w:szCs w:val="32"/>
          <w:u w:val="none"/>
        </w:rPr>
      </w:pPr>
    </w:p>
    <w:p w14:paraId="64CD0D12">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14:paraId="37C7D3C3">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sz w:val="32"/>
          <w:szCs w:val="32"/>
          <w:u w:val="none"/>
          <w:lang w:val="en-US" w:eastAsia="zh-CN"/>
        </w:rPr>
        <w:t>屯昌县乌坡镇乌坡学校2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r>
        <w:rPr>
          <w:rFonts w:hint="eastAsia" w:ascii="仿宋_GB2312" w:hAnsi="黑体" w:eastAsia="仿宋_GB2312" w:cs="仿宋_GB2312"/>
          <w:sz w:val="32"/>
          <w:szCs w:val="32"/>
          <w:u w:val="none"/>
          <w:lang w:val="en-US" w:eastAsia="zh-CN"/>
        </w:rPr>
        <w:t>3456.36</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723.77</w:t>
      </w:r>
      <w:r>
        <w:rPr>
          <w:rFonts w:hint="eastAsia" w:ascii="仿宋_GB2312" w:hAnsi="黑体" w:eastAsia="仿宋_GB2312"/>
          <w:sz w:val="32"/>
          <w:szCs w:val="32"/>
          <w:u w:val="none"/>
        </w:rPr>
        <w:t>万元，主要是</w:t>
      </w:r>
      <w:r>
        <w:rPr>
          <w:rFonts w:hint="eastAsia" w:ascii="仿宋_GB2312" w:hAnsi="黑体" w:eastAsia="仿宋_GB2312"/>
          <w:sz w:val="32"/>
          <w:szCs w:val="32"/>
          <w:lang w:eastAsia="zh-CN"/>
        </w:rPr>
        <w:t>教职工人数</w:t>
      </w:r>
      <w:r>
        <w:rPr>
          <w:rFonts w:hint="eastAsia" w:ascii="仿宋_GB2312" w:hAnsi="黑体" w:eastAsia="仿宋_GB2312"/>
          <w:sz w:val="32"/>
          <w:szCs w:val="32"/>
          <w:lang w:val="en-US" w:eastAsia="zh-CN"/>
        </w:rPr>
        <w:t>减少，预算相应减少。</w:t>
      </w:r>
      <w:r>
        <w:rPr>
          <w:rFonts w:hint="eastAsia" w:ascii="仿宋_GB2312" w:hAnsi="黑体" w:eastAsia="仿宋_GB2312"/>
          <w:color w:val="auto"/>
          <w:sz w:val="32"/>
          <w:szCs w:val="32"/>
          <w:highlight w:val="none"/>
          <w:u w:val="none"/>
        </w:rPr>
        <w:t>其中，收入总计</w:t>
      </w:r>
      <w:r>
        <w:rPr>
          <w:rFonts w:hint="eastAsia" w:ascii="仿宋_GB2312" w:hAnsi="黑体" w:eastAsia="仿宋_GB2312" w:cs="仿宋_GB2312"/>
          <w:sz w:val="32"/>
          <w:szCs w:val="32"/>
          <w:u w:val="none"/>
          <w:lang w:val="en-US" w:eastAsia="zh-CN"/>
        </w:rPr>
        <w:t>3456.36</w:t>
      </w:r>
      <w:r>
        <w:rPr>
          <w:rFonts w:hint="eastAsia" w:ascii="仿宋_GB2312" w:hAnsi="黑体" w:eastAsia="仿宋_GB2312"/>
          <w:color w:val="auto"/>
          <w:sz w:val="32"/>
          <w:szCs w:val="32"/>
          <w:highlight w:val="none"/>
          <w:u w:val="none"/>
        </w:rPr>
        <w:t>万元，包括一般公共预算本年收入</w:t>
      </w:r>
      <w:r>
        <w:rPr>
          <w:rFonts w:hint="eastAsia" w:ascii="仿宋_GB2312" w:hAnsi="黑体" w:eastAsia="仿宋_GB2312" w:cs="仿宋_GB2312"/>
          <w:color w:val="auto"/>
          <w:sz w:val="32"/>
          <w:szCs w:val="32"/>
          <w:highlight w:val="none"/>
          <w:u w:val="none"/>
        </w:rPr>
        <w:t>3,447.18</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rPr>
        <w:t>9.18</w:t>
      </w:r>
      <w:r>
        <w:rPr>
          <w:rFonts w:hint="eastAsia" w:ascii="仿宋_GB2312" w:hAnsi="黑体" w:eastAsia="仿宋_GB2312"/>
          <w:color w:val="auto"/>
          <w:sz w:val="32"/>
          <w:szCs w:val="32"/>
          <w:highlight w:val="none"/>
          <w:u w:val="none"/>
        </w:rPr>
        <w:t>万元，政府性基金预算本年收入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r>
        <w:rPr>
          <w:rFonts w:hint="eastAsia" w:ascii="仿宋_GB2312" w:hAnsi="黑体" w:eastAsia="仿宋_GB2312" w:cs="仿宋_GB2312"/>
          <w:color w:val="auto"/>
          <w:sz w:val="32"/>
          <w:szCs w:val="32"/>
          <w:u w:val="none"/>
        </w:rPr>
        <w:t>3,456.36</w:t>
      </w:r>
      <w:r>
        <w:rPr>
          <w:rFonts w:hint="eastAsia" w:ascii="仿宋_GB2312" w:hAnsi="黑体" w:eastAsia="仿宋_GB2312"/>
          <w:color w:val="auto"/>
          <w:sz w:val="32"/>
          <w:szCs w:val="32"/>
          <w:u w:val="none"/>
        </w:rPr>
        <w:t>万元，包括一般公共服务支出</w:t>
      </w:r>
      <w:r>
        <w:rPr>
          <w:rFonts w:hint="eastAsia" w:ascii="仿宋_GB2312" w:hAnsi="黑体" w:eastAsia="仿宋_GB2312" w:cs="仿宋_GB2312"/>
          <w:color w:val="auto"/>
          <w:sz w:val="32"/>
          <w:szCs w:val="32"/>
          <w:u w:val="none"/>
        </w:rPr>
        <w:t>3,456.36</w:t>
      </w:r>
      <w:r>
        <w:rPr>
          <w:rFonts w:hint="eastAsia" w:ascii="仿宋_GB2312" w:hAnsi="黑体" w:eastAsia="仿宋_GB2312"/>
          <w:color w:val="auto"/>
          <w:sz w:val="32"/>
          <w:szCs w:val="32"/>
          <w:u w:val="none"/>
        </w:rPr>
        <w:t>万元、外交支出</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万元、国</w:t>
      </w:r>
      <w:r>
        <w:rPr>
          <w:rFonts w:hint="eastAsia" w:ascii="仿宋_GB2312" w:hAnsi="黑体" w:eastAsia="仿宋_GB2312"/>
          <w:sz w:val="32"/>
          <w:szCs w:val="32"/>
          <w:u w:val="none"/>
        </w:rPr>
        <w:t>防支出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ascii="仿宋_GB2312" w:hAnsi="黑体" w:eastAsia="仿宋_GB2312"/>
          <w:sz w:val="32"/>
          <w:szCs w:val="32"/>
          <w:u w:val="none"/>
        </w:rPr>
        <w:t>……</w:t>
      </w:r>
      <w:r>
        <w:rPr>
          <w:rFonts w:hint="eastAsia" w:ascii="仿宋_GB2312" w:hAnsi="黑体" w:eastAsia="仿宋_GB2312"/>
          <w:sz w:val="32"/>
          <w:szCs w:val="32"/>
          <w:u w:val="none"/>
        </w:rPr>
        <w:t>，结转下年</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14:paraId="3C59F23D">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黑体" w:hAnsi="黑体" w:eastAsia="黑体"/>
          <w:sz w:val="32"/>
          <w:szCs w:val="32"/>
          <w:u w:val="none"/>
        </w:rPr>
      </w:pPr>
      <w:r>
        <w:rPr>
          <w:rFonts w:hint="eastAsia" w:ascii="黑体" w:hAnsi="黑体" w:eastAsia="黑体"/>
          <w:sz w:val="32"/>
          <w:szCs w:val="32"/>
          <w:u w:val="none"/>
        </w:rPr>
        <w:t>二、一般公共预算当年拨款情况说明</w:t>
      </w:r>
    </w:p>
    <w:p w14:paraId="38619646">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（一）一般公共预算当年规模变化情况</w:t>
      </w:r>
    </w:p>
    <w:p w14:paraId="26527A2C">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sz w:val="32"/>
          <w:szCs w:val="32"/>
          <w:u w:val="none"/>
          <w:lang w:val="en-US" w:eastAsia="zh-CN"/>
        </w:rPr>
        <w:t>屯昌县乌坡镇乌坡学校</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r>
        <w:rPr>
          <w:rFonts w:hint="eastAsia" w:ascii="仿宋_GB2312" w:hAnsi="黑体" w:eastAsia="仿宋_GB2312" w:cs="仿宋_GB2312"/>
          <w:color w:val="auto"/>
          <w:sz w:val="32"/>
          <w:szCs w:val="32"/>
          <w:highlight w:val="none"/>
          <w:u w:val="none"/>
        </w:rPr>
        <w:t>3,447.18</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732.95</w:t>
      </w:r>
      <w:r>
        <w:rPr>
          <w:rFonts w:hint="eastAsia" w:ascii="仿宋_GB2312" w:hAnsi="黑体" w:eastAsia="仿宋_GB2312"/>
          <w:sz w:val="32"/>
          <w:szCs w:val="32"/>
          <w:u w:val="none"/>
        </w:rPr>
        <w:t>万元，主要是</w:t>
      </w:r>
      <w:r>
        <w:rPr>
          <w:rFonts w:hint="eastAsia" w:ascii="仿宋_GB2312" w:hAnsi="黑体" w:eastAsia="仿宋_GB2312"/>
          <w:sz w:val="32"/>
          <w:szCs w:val="32"/>
          <w:lang w:eastAsia="zh-CN"/>
        </w:rPr>
        <w:t>教职工人数</w:t>
      </w:r>
      <w:r>
        <w:rPr>
          <w:rFonts w:hint="eastAsia" w:ascii="仿宋_GB2312" w:hAnsi="黑体" w:eastAsia="仿宋_GB2312"/>
          <w:sz w:val="32"/>
          <w:szCs w:val="32"/>
          <w:lang w:val="en-US" w:eastAsia="zh-CN"/>
        </w:rPr>
        <w:t>减少，预算相应减少</w:t>
      </w:r>
      <w:r>
        <w:rPr>
          <w:rFonts w:hint="eastAsia" w:ascii="仿宋_GB2312" w:hAnsi="黑体" w:eastAsia="仿宋_GB2312"/>
          <w:sz w:val="32"/>
          <w:szCs w:val="32"/>
          <w:u w:val="none"/>
          <w:lang w:eastAsia="zh-CN"/>
        </w:rPr>
        <w:t>。</w:t>
      </w:r>
    </w:p>
    <w:p w14:paraId="5CF06FEC">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（二）一般公共预算当年拨款结构情况</w:t>
      </w:r>
    </w:p>
    <w:p w14:paraId="041FAB7A">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hint="eastAsia" w:ascii="仿宋_GB2312" w:hAnsi="黑体" w:eastAsia="仿宋_GB2312" w:cs="仿宋_GB2312"/>
          <w:sz w:val="32"/>
          <w:szCs w:val="32"/>
          <w:lang w:val="en-US" w:eastAsia="zh-CN"/>
        </w:rPr>
      </w:pPr>
      <w:r>
        <w:rPr>
          <w:rFonts w:hint="eastAsia" w:ascii="仿宋_GB2312" w:hAnsi="黑体" w:eastAsia="仿宋_GB2312"/>
          <w:sz w:val="32"/>
          <w:szCs w:val="32"/>
        </w:rPr>
        <w:t>教育（类）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2,319.13</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67.1</w:t>
      </w:r>
      <w:r>
        <w:rPr>
          <w:rFonts w:hint="eastAsia" w:ascii="仿宋_GB2312" w:hAnsi="黑体" w:eastAsia="仿宋_GB2312"/>
          <w:sz w:val="32"/>
          <w:szCs w:val="32"/>
        </w:rPr>
        <w:t>%； 社会保障和就业（类）</w:t>
      </w:r>
      <w:r>
        <w:rPr>
          <w:rFonts w:hint="eastAsia" w:ascii="仿宋_GB2312" w:hAnsi="黑体" w:eastAsia="仿宋_GB2312" w:cs="仿宋_GB2312"/>
          <w:sz w:val="32"/>
          <w:szCs w:val="32"/>
        </w:rPr>
        <w:t>支出525.94</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15.22</w:t>
      </w:r>
      <w:r>
        <w:rPr>
          <w:rFonts w:hint="eastAsia" w:ascii="仿宋_GB2312" w:hAnsi="黑体" w:eastAsia="仿宋_GB2312"/>
          <w:sz w:val="32"/>
          <w:szCs w:val="32"/>
        </w:rPr>
        <w:t>%； 卫生健康（类）</w:t>
      </w:r>
      <w:r>
        <w:rPr>
          <w:rFonts w:hint="eastAsia" w:ascii="仿宋_GB2312" w:hAnsi="黑体" w:eastAsia="仿宋_GB2312" w:cs="仿宋_GB2312"/>
          <w:sz w:val="32"/>
          <w:szCs w:val="32"/>
        </w:rPr>
        <w:t>支出</w:t>
      </w:r>
      <w:r>
        <w:rPr>
          <w:rFonts w:hint="eastAsia" w:ascii="仿宋_GB2312" w:hAnsi="黑体" w:eastAsia="仿宋_GB2312"/>
          <w:sz w:val="32"/>
          <w:szCs w:val="32"/>
        </w:rPr>
        <w:t>377.77万元，占</w:t>
      </w:r>
      <w:r>
        <w:rPr>
          <w:rFonts w:hint="eastAsia" w:ascii="仿宋_GB2312" w:hAnsi="黑体" w:eastAsia="仿宋_GB2312" w:cs="仿宋_GB2312"/>
          <w:sz w:val="32"/>
          <w:szCs w:val="32"/>
          <w:lang w:val="en-US" w:eastAsia="zh-CN"/>
        </w:rPr>
        <w:t>10.93</w:t>
      </w:r>
      <w:r>
        <w:rPr>
          <w:rFonts w:hint="eastAsia" w:ascii="仿宋_GB2312" w:hAnsi="黑体" w:eastAsia="仿宋_GB2312"/>
          <w:sz w:val="32"/>
          <w:szCs w:val="32"/>
        </w:rPr>
        <w:t>%； 住房保障（类）</w:t>
      </w:r>
      <w:r>
        <w:rPr>
          <w:rFonts w:hint="eastAsia" w:ascii="仿宋_GB2312" w:hAnsi="黑体" w:eastAsia="仿宋_GB2312" w:cs="仿宋_GB2312"/>
          <w:sz w:val="32"/>
          <w:szCs w:val="32"/>
        </w:rPr>
        <w:t>支出</w:t>
      </w:r>
      <w:r>
        <w:rPr>
          <w:rFonts w:hint="eastAsia" w:ascii="仿宋_GB2312" w:hAnsi="黑体" w:eastAsia="仿宋_GB2312"/>
          <w:sz w:val="32"/>
          <w:szCs w:val="32"/>
        </w:rPr>
        <w:t>233.51万元，占</w:t>
      </w:r>
      <w:r>
        <w:rPr>
          <w:rFonts w:hint="eastAsia" w:ascii="仿宋_GB2312" w:hAnsi="黑体" w:eastAsia="仿宋_GB2312" w:cs="仿宋_GB2312"/>
          <w:sz w:val="32"/>
          <w:szCs w:val="32"/>
          <w:lang w:val="en-US" w:eastAsia="zh-CN"/>
        </w:rPr>
        <w:t>6.75%。</w:t>
      </w:r>
    </w:p>
    <w:p w14:paraId="42F34C63">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14:paraId="7D5DE354">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w:t>
      </w:r>
      <w:r>
        <w:rPr>
          <w:rFonts w:hint="eastAsia" w:ascii="仿宋_GB2312" w:hAnsi="黑体" w:eastAsia="仿宋_GB2312" w:cs="仿宋_GB2312"/>
          <w:sz w:val="32"/>
          <w:szCs w:val="32"/>
          <w:lang w:eastAsia="zh-CN"/>
        </w:rPr>
        <w:t>教育支出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eastAsia="zh-CN"/>
        </w:rPr>
        <w:t>普通教育</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eastAsia="zh-CN"/>
        </w:rPr>
        <w:t>初中教育</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2,319.13</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减少</w:t>
      </w:r>
      <w:r>
        <w:rPr>
          <w:rFonts w:hint="eastAsia" w:ascii="仿宋_GB2312" w:hAnsi="黑体" w:eastAsia="仿宋_GB2312" w:cs="仿宋_GB2312"/>
          <w:sz w:val="32"/>
          <w:szCs w:val="32"/>
          <w:lang w:val="en-US" w:eastAsia="zh-CN"/>
        </w:rPr>
        <w:t>514.04</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教职工人数</w:t>
      </w:r>
      <w:r>
        <w:rPr>
          <w:rFonts w:hint="eastAsia" w:ascii="仿宋_GB2312" w:hAnsi="黑体" w:eastAsia="仿宋_GB2312"/>
          <w:sz w:val="32"/>
          <w:szCs w:val="32"/>
          <w:lang w:val="en-US" w:eastAsia="zh-CN"/>
        </w:rPr>
        <w:t>减少</w:t>
      </w:r>
      <w:r>
        <w:rPr>
          <w:rFonts w:hint="eastAsia" w:ascii="仿宋_GB2312" w:hAnsi="黑体" w:eastAsia="仿宋_GB2312"/>
          <w:sz w:val="32"/>
          <w:szCs w:val="32"/>
          <w:lang w:eastAsia="zh-CN"/>
        </w:rPr>
        <w:t>、工资</w:t>
      </w:r>
      <w:r>
        <w:rPr>
          <w:rFonts w:hint="eastAsia" w:ascii="仿宋_GB2312" w:hAnsi="黑体" w:eastAsia="仿宋_GB2312"/>
          <w:sz w:val="32"/>
          <w:szCs w:val="32"/>
          <w:lang w:val="en-US" w:eastAsia="zh-CN"/>
        </w:rPr>
        <w:t>减少</w:t>
      </w:r>
      <w:r>
        <w:rPr>
          <w:rFonts w:hint="eastAsia" w:ascii="仿宋_GB2312" w:hAnsi="黑体" w:eastAsia="仿宋_GB2312"/>
          <w:sz w:val="32"/>
          <w:szCs w:val="32"/>
          <w:lang w:eastAsia="zh-CN"/>
        </w:rPr>
        <w:t>。</w:t>
      </w:r>
    </w:p>
    <w:p w14:paraId="6F40E2E7">
      <w:pPr>
        <w:numPr>
          <w:ilvl w:val="0"/>
          <w:numId w:val="3"/>
        </w:numPr>
        <w:ind w:firstLine="640" w:firstLineChars="200"/>
        <w:rPr>
          <w:rFonts w:hint="eastAsia" w:ascii="仿宋_GB2312" w:hAnsi="黑体" w:eastAsia="仿宋_GB2312" w:cs="仿宋_GB2312"/>
          <w:sz w:val="32"/>
          <w:szCs w:val="32"/>
          <w:lang w:eastAsia="zh-CN"/>
        </w:rPr>
      </w:pPr>
      <w:r>
        <w:rPr>
          <w:rFonts w:hint="eastAsia" w:ascii="仿宋_GB2312" w:hAnsi="黑体" w:eastAsia="仿宋_GB2312"/>
          <w:sz w:val="32"/>
          <w:szCs w:val="32"/>
          <w:lang w:eastAsia="zh-CN"/>
        </w:rPr>
        <w:t>社会保障和就业支出</w:t>
      </w:r>
      <w:r>
        <w:rPr>
          <w:rFonts w:hint="eastAsia" w:ascii="仿宋_GB2312" w:hAnsi="黑体" w:eastAsia="仿宋_GB2312" w:cs="仿宋_GB2312"/>
          <w:sz w:val="32"/>
          <w:szCs w:val="32"/>
        </w:rPr>
        <w:t>（类）行政事业单位离退休（款）机关事业单位基本养老保险缴费支出（项）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rPr>
        <w:t>525.94</w:t>
      </w:r>
      <w:r>
        <w:rPr>
          <w:rFonts w:hint="eastAsia" w:ascii="仿宋_GB2312" w:hAnsi="黑体" w:eastAsia="仿宋_GB2312"/>
          <w:sz w:val="32"/>
          <w:szCs w:val="32"/>
          <w:lang w:val="en-US" w:eastAsia="zh-CN"/>
        </w:rPr>
        <w:t>万元</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val="en-US" w:eastAsia="zh-CN"/>
        </w:rPr>
        <w:t>增加39.74</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本年度教职工人数</w:t>
      </w:r>
      <w:r>
        <w:rPr>
          <w:rFonts w:hint="eastAsia" w:ascii="仿宋_GB2312" w:hAnsi="黑体" w:eastAsia="仿宋_GB2312"/>
          <w:sz w:val="32"/>
          <w:szCs w:val="32"/>
          <w:lang w:val="en-US" w:eastAsia="zh-CN"/>
        </w:rPr>
        <w:t>减少，</w:t>
      </w:r>
      <w:r>
        <w:rPr>
          <w:rFonts w:hint="eastAsia" w:ascii="仿宋_GB2312" w:hAnsi="黑体" w:eastAsia="仿宋_GB2312"/>
          <w:sz w:val="32"/>
          <w:szCs w:val="32"/>
          <w:lang w:eastAsia="zh-CN"/>
        </w:rPr>
        <w:t>基本养老保险缴费基数</w:t>
      </w:r>
      <w:r>
        <w:rPr>
          <w:rFonts w:hint="eastAsia" w:ascii="仿宋_GB2312" w:hAnsi="黑体" w:eastAsia="仿宋_GB2312"/>
          <w:sz w:val="32"/>
          <w:szCs w:val="32"/>
          <w:lang w:val="en-US" w:eastAsia="zh-CN"/>
        </w:rPr>
        <w:t>与机关事业单位职业年金缴费相应减少</w:t>
      </w:r>
      <w:r>
        <w:rPr>
          <w:rFonts w:hint="eastAsia" w:ascii="仿宋_GB2312" w:hAnsi="黑体" w:eastAsia="仿宋_GB2312" w:cs="仿宋_GB2312"/>
          <w:sz w:val="32"/>
          <w:szCs w:val="32"/>
          <w:lang w:eastAsia="zh-CN"/>
        </w:rPr>
        <w:t>。</w:t>
      </w:r>
    </w:p>
    <w:p w14:paraId="7EDF3BB8">
      <w:pPr>
        <w:ind w:firstLine="640" w:firstLineChars="200"/>
        <w:rPr>
          <w:rFonts w:hint="eastAsia" w:ascii="仿宋_GB2312" w:hAnsi="黑体" w:eastAsia="仿宋_GB2312" w:cs="仿宋_GB2312"/>
          <w:sz w:val="32"/>
          <w:szCs w:val="32"/>
          <w:lang w:eastAsia="zh-CN"/>
        </w:rPr>
      </w:pPr>
      <w:r>
        <w:rPr>
          <w:rFonts w:hint="eastAsia" w:ascii="仿宋_GB2312" w:hAnsi="黑体" w:eastAsia="仿宋_GB2312"/>
          <w:sz w:val="32"/>
          <w:szCs w:val="32"/>
          <w:lang w:val="en-US" w:eastAsia="zh-CN"/>
        </w:rPr>
        <w:t>3.</w:t>
      </w:r>
      <w:r>
        <w:rPr>
          <w:rFonts w:hint="eastAsia" w:ascii="仿宋_GB2312" w:hAnsi="黑体" w:eastAsia="仿宋_GB2312" w:cs="仿宋_GB2312"/>
          <w:sz w:val="32"/>
          <w:szCs w:val="32"/>
          <w:lang w:eastAsia="zh-CN"/>
        </w:rPr>
        <w:t>卫生健康支出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eastAsia="zh-CN"/>
        </w:rPr>
        <w:t xml:space="preserve"> 行政事业单位医疗</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eastAsia="zh-CN"/>
        </w:rPr>
        <w:t>事业单位医疗、 公务员医疗补助、 其他行政事业单位医疗支出</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年预算数为377.77万元，比上年预算</w:t>
      </w:r>
      <w:r>
        <w:rPr>
          <w:rFonts w:hint="eastAsia" w:ascii="仿宋_GB2312" w:hAnsi="黑体" w:eastAsia="仿宋_GB2312"/>
          <w:sz w:val="32"/>
          <w:szCs w:val="32"/>
          <w:lang w:val="en-US" w:eastAsia="zh-CN"/>
        </w:rPr>
        <w:t>减少</w:t>
      </w:r>
      <w:r>
        <w:rPr>
          <w:rFonts w:hint="eastAsia" w:ascii="仿宋_GB2312" w:hAnsi="黑体" w:eastAsia="仿宋_GB2312" w:cs="仿宋_GB2312"/>
          <w:sz w:val="32"/>
          <w:szCs w:val="32"/>
          <w:lang w:val="en-US" w:eastAsia="zh-CN"/>
        </w:rPr>
        <w:t>87.14</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本年度教职工人数</w:t>
      </w:r>
      <w:r>
        <w:rPr>
          <w:rFonts w:hint="eastAsia" w:ascii="仿宋_GB2312" w:hAnsi="黑体" w:eastAsia="仿宋_GB2312"/>
          <w:sz w:val="32"/>
          <w:szCs w:val="32"/>
          <w:lang w:val="en-US" w:eastAsia="zh-CN"/>
        </w:rPr>
        <w:t>减少，医疗保险基数、</w:t>
      </w:r>
      <w:r>
        <w:rPr>
          <w:rFonts w:hint="eastAsia" w:ascii="仿宋_GB2312" w:hAnsi="黑体" w:eastAsia="仿宋_GB2312"/>
          <w:sz w:val="32"/>
          <w:szCs w:val="32"/>
          <w:lang w:eastAsia="zh-CN"/>
        </w:rPr>
        <w:t>公务员</w:t>
      </w:r>
      <w:r>
        <w:rPr>
          <w:rFonts w:hint="eastAsia" w:ascii="仿宋_GB2312" w:hAnsi="黑体" w:eastAsia="仿宋_GB2312" w:cs="仿宋_GB2312"/>
          <w:sz w:val="32"/>
          <w:szCs w:val="32"/>
          <w:lang w:eastAsia="zh-CN"/>
        </w:rPr>
        <w:t>医疗补助</w:t>
      </w:r>
      <w:r>
        <w:rPr>
          <w:rFonts w:hint="eastAsia" w:ascii="仿宋_GB2312" w:hAnsi="黑体" w:eastAsia="仿宋_GB2312"/>
          <w:sz w:val="32"/>
          <w:szCs w:val="32"/>
          <w:lang w:val="en-US" w:eastAsia="zh-CN"/>
        </w:rPr>
        <w:t>相应减少</w:t>
      </w:r>
      <w:r>
        <w:rPr>
          <w:rFonts w:hint="eastAsia" w:ascii="仿宋_GB2312" w:hAnsi="黑体" w:eastAsia="仿宋_GB2312" w:cs="仿宋_GB2312"/>
          <w:sz w:val="32"/>
          <w:szCs w:val="32"/>
          <w:lang w:eastAsia="zh-CN"/>
        </w:rPr>
        <w:t>。</w:t>
      </w:r>
    </w:p>
    <w:p w14:paraId="0D499BD9">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hint="eastAsia" w:ascii="仿宋_GB2312" w:hAnsi="黑体" w:eastAsia="仿宋_GB2312"/>
          <w:sz w:val="32"/>
          <w:szCs w:val="32"/>
          <w:lang w:eastAsia="zh-CN"/>
        </w:rPr>
      </w:pP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lang w:eastAsia="zh-CN"/>
        </w:rPr>
        <w:t>住房保障支出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eastAsia="zh-CN"/>
        </w:rPr>
        <w:t xml:space="preserve"> 住房改革支出</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eastAsia="zh-CN"/>
        </w:rPr>
        <w:t xml:space="preserve"> 住房公积金</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年预算数为233.51万元，比上年预算数</w:t>
      </w:r>
      <w:r>
        <w:rPr>
          <w:rFonts w:hint="eastAsia" w:ascii="仿宋_GB2312" w:hAnsi="黑体" w:eastAsia="仿宋_GB2312"/>
          <w:sz w:val="32"/>
          <w:szCs w:val="32"/>
          <w:lang w:val="en-US" w:eastAsia="zh-CN"/>
        </w:rPr>
        <w:t>减少</w:t>
      </w:r>
      <w:r>
        <w:rPr>
          <w:rFonts w:hint="eastAsia" w:ascii="仿宋_GB2312" w:hAnsi="黑体" w:eastAsia="仿宋_GB2312" w:cs="仿宋_GB2312"/>
          <w:sz w:val="32"/>
          <w:szCs w:val="32"/>
          <w:lang w:val="en-US" w:eastAsia="zh-CN"/>
        </w:rPr>
        <w:t>82.86</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公积金基数相应减少</w:t>
      </w:r>
      <w:r>
        <w:rPr>
          <w:rFonts w:hint="eastAsia" w:ascii="仿宋_GB2312" w:hAnsi="黑体" w:eastAsia="仿宋_GB2312"/>
          <w:sz w:val="32"/>
          <w:szCs w:val="32"/>
          <w:lang w:eastAsia="zh-CN"/>
        </w:rPr>
        <w:t>。</w:t>
      </w:r>
    </w:p>
    <w:p w14:paraId="616E5E09">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黑体" w:hAnsi="黑体" w:eastAsia="黑体"/>
          <w:sz w:val="32"/>
          <w:szCs w:val="32"/>
          <w:u w:val="none"/>
        </w:rPr>
      </w:pPr>
      <w:r>
        <w:rPr>
          <w:rFonts w:hint="eastAsia" w:ascii="黑体" w:hAnsi="黑体" w:eastAsia="黑体"/>
          <w:sz w:val="32"/>
          <w:szCs w:val="32"/>
          <w:u w:val="none"/>
        </w:rPr>
        <w:t>三、一般公共预算基本支出情况说明</w:t>
      </w:r>
    </w:p>
    <w:p w14:paraId="39D21386">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sz w:val="32"/>
          <w:szCs w:val="32"/>
          <w:lang w:val="en-US" w:eastAsia="zh-CN"/>
        </w:rPr>
        <w:t>屯</w:t>
      </w:r>
      <w:r>
        <w:rPr>
          <w:rFonts w:hint="eastAsia" w:ascii="仿宋_GB2312" w:hAnsi="黑体" w:eastAsia="仿宋_GB2312"/>
          <w:sz w:val="32"/>
          <w:szCs w:val="32"/>
          <w:lang w:eastAsia="zh-CN"/>
        </w:rPr>
        <w:t>昌县乌坡镇乌坡学校</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年一般公共预算基本支出为</w:t>
      </w:r>
      <w:r>
        <w:rPr>
          <w:rFonts w:hint="eastAsia" w:ascii="仿宋_GB2312" w:hAnsi="黑体" w:eastAsia="仿宋_GB2312" w:cs="仿宋_GB2312"/>
          <w:sz w:val="32"/>
          <w:szCs w:val="32"/>
          <w:u w:val="none"/>
        </w:rPr>
        <w:t>3,360.55</w:t>
      </w:r>
      <w:r>
        <w:rPr>
          <w:rFonts w:hint="eastAsia" w:ascii="仿宋_GB2312" w:hAnsi="黑体" w:eastAsia="仿宋_GB2312"/>
          <w:sz w:val="32"/>
          <w:szCs w:val="32"/>
          <w:u w:val="none"/>
        </w:rPr>
        <w:t>万元，其中：</w:t>
      </w:r>
    </w:p>
    <w:p w14:paraId="4283F234">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sz w:val="32"/>
          <w:szCs w:val="32"/>
          <w:u w:val="none"/>
        </w:rPr>
        <w:t>人员经费</w:t>
      </w:r>
      <w:r>
        <w:rPr>
          <w:rFonts w:hint="eastAsia" w:ascii="仿宋_GB2312" w:hAnsi="黑体" w:eastAsia="仿宋_GB2312" w:cs="仿宋_GB2312"/>
          <w:sz w:val="32"/>
          <w:szCs w:val="32"/>
          <w:u w:val="none"/>
        </w:rPr>
        <w:t>3,338.86</w:t>
      </w:r>
      <w:r>
        <w:rPr>
          <w:rFonts w:hint="eastAsia" w:ascii="仿宋_GB2312" w:hAnsi="黑体" w:eastAsia="仿宋_GB2312"/>
          <w:sz w:val="32"/>
          <w:szCs w:val="32"/>
          <w:u w:val="none"/>
        </w:rPr>
        <w:t>万元，主要包括：基本工资、津贴补贴、奖金、社会保障缴费、</w:t>
      </w:r>
      <w:r>
        <w:rPr>
          <w:rFonts w:ascii="仿宋_GB2312" w:hAnsi="黑体" w:eastAsia="仿宋_GB2312"/>
          <w:sz w:val="32"/>
          <w:szCs w:val="32"/>
          <w:u w:val="none"/>
        </w:rPr>
        <w:t>……</w:t>
      </w:r>
      <w:r>
        <w:rPr>
          <w:rFonts w:hint="eastAsia" w:ascii="仿宋_GB2312" w:hAnsi="黑体" w:eastAsia="仿宋_GB2312"/>
          <w:sz w:val="32"/>
          <w:szCs w:val="32"/>
          <w:u w:val="none"/>
          <w:lang w:eastAsia="zh-CN"/>
        </w:rPr>
        <w:t>；</w:t>
      </w:r>
    </w:p>
    <w:p w14:paraId="49A2CA87">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sz w:val="32"/>
          <w:szCs w:val="32"/>
          <w:u w:val="none"/>
        </w:rPr>
        <w:t>公用经费</w:t>
      </w:r>
      <w:r>
        <w:rPr>
          <w:rFonts w:hint="eastAsia" w:ascii="仿宋_GB2312" w:hAnsi="黑体" w:eastAsia="仿宋_GB2312" w:cs="仿宋_GB2312"/>
          <w:sz w:val="32"/>
          <w:szCs w:val="32"/>
          <w:u w:val="none"/>
        </w:rPr>
        <w:t>21.69</w:t>
      </w:r>
      <w:r>
        <w:rPr>
          <w:rFonts w:hint="eastAsia" w:ascii="仿宋_GB2312" w:hAnsi="黑体" w:eastAsia="仿宋_GB2312"/>
          <w:sz w:val="32"/>
          <w:szCs w:val="32"/>
          <w:u w:val="none"/>
        </w:rPr>
        <w:t>万元，主要包括：办公费、咨询费、手续费、水费、电费、</w:t>
      </w:r>
      <w:r>
        <w:rPr>
          <w:rFonts w:ascii="仿宋_GB2312" w:hAnsi="黑体" w:eastAsia="仿宋_GB2312"/>
          <w:sz w:val="32"/>
          <w:szCs w:val="32"/>
          <w:u w:val="none"/>
        </w:rPr>
        <w:t>……</w:t>
      </w:r>
      <w:r>
        <w:rPr>
          <w:rFonts w:hint="eastAsia" w:ascii="仿宋_GB2312" w:hAnsi="黑体" w:eastAsia="仿宋_GB2312"/>
          <w:sz w:val="32"/>
          <w:szCs w:val="32"/>
          <w:u w:val="none"/>
        </w:rPr>
        <w:t>。</w:t>
      </w:r>
    </w:p>
    <w:p w14:paraId="1B9D25B0">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rPr>
        <w:t>四、</w:t>
      </w:r>
      <w:r>
        <w:rPr>
          <w:rFonts w:ascii="黑体" w:hAnsi="黑体" w:eastAsia="黑体" w:cs="Times New Roman"/>
          <w:sz w:val="32"/>
          <w:szCs w:val="32"/>
          <w:u w:val="none"/>
          <w:shd w:val="clear" w:color="auto" w:fill="FFFFFF"/>
        </w:rPr>
        <w:t>“三公”经费预算情况</w:t>
      </w:r>
      <w:r>
        <w:rPr>
          <w:rFonts w:hint="eastAsia" w:ascii="黑体" w:hAnsi="黑体" w:eastAsia="黑体" w:cs="Times New Roman"/>
          <w:sz w:val="32"/>
          <w:szCs w:val="32"/>
          <w:u w:val="none"/>
          <w:shd w:val="clear" w:color="auto" w:fill="FFFFFF"/>
        </w:rPr>
        <w:t>说明</w:t>
      </w:r>
    </w:p>
    <w:p w14:paraId="5B333D4E">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（一）</w:t>
      </w:r>
      <w:r>
        <w:rPr>
          <w:rFonts w:hint="eastAsia" w:ascii="仿宋_GB2312" w:hAnsi="黑体" w:eastAsia="仿宋_GB2312"/>
          <w:sz w:val="32"/>
          <w:szCs w:val="32"/>
          <w:lang w:val="en-US" w:eastAsia="zh-CN"/>
        </w:rPr>
        <w:t>屯</w:t>
      </w:r>
      <w:r>
        <w:rPr>
          <w:rFonts w:hint="eastAsia" w:ascii="仿宋_GB2312" w:hAnsi="黑体" w:eastAsia="仿宋_GB2312"/>
          <w:sz w:val="32"/>
          <w:szCs w:val="32"/>
          <w:lang w:eastAsia="zh-CN"/>
        </w:rPr>
        <w:t>昌县乌坡镇乌坡学校</w:t>
      </w:r>
      <w:r>
        <w:rPr>
          <w:rFonts w:hint="eastAsia" w:ascii="仿宋_GB2312" w:hAnsi="黑体" w:eastAsia="仿宋_GB2312"/>
          <w:sz w:val="32"/>
          <w:szCs w:val="32"/>
          <w:u w:val="none"/>
          <w:lang w:val="en-US" w:eastAsia="zh-CN"/>
        </w:rPr>
        <w:t>2026</w:t>
      </w:r>
      <w:r>
        <w:rPr>
          <w:rFonts w:hint="eastAsia" w:ascii="仿宋_GB2312" w:hAnsi="黑体" w:eastAsia="仿宋_GB2312"/>
          <w:sz w:val="32"/>
          <w:szCs w:val="32"/>
          <w:u w:val="none"/>
        </w:rPr>
        <w:t>年一般公共预算“三公”经费预算数为</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万元，其中：</w:t>
      </w:r>
    </w:p>
    <w:p w14:paraId="3B0EF814">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eastAsia="zh-CN"/>
        </w:rPr>
      </w:pPr>
      <w:r>
        <w:rPr>
          <w:rFonts w:hint="eastAsia" w:ascii="仿宋_GB2312" w:hAnsi="黑体" w:eastAsia="仿宋_GB2312"/>
          <w:sz w:val="32"/>
          <w:szCs w:val="32"/>
          <w:u w:val="none"/>
        </w:rPr>
        <w:t>因公出国（境）经费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万元，与上年预算持平</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主要原因包括：</w:t>
      </w:r>
      <w:r>
        <w:rPr>
          <w:rFonts w:hint="eastAsia" w:ascii="仿宋_GB2312" w:hAnsi="黑体" w:eastAsia="仿宋_GB2312"/>
          <w:sz w:val="32"/>
          <w:szCs w:val="32"/>
          <w:u w:val="none"/>
          <w:lang w:val="en-US" w:eastAsia="zh-CN"/>
        </w:rPr>
        <w:t>没有</w:t>
      </w:r>
      <w:r>
        <w:rPr>
          <w:rFonts w:hint="eastAsia" w:ascii="仿宋_GB2312" w:hAnsi="黑体" w:eastAsia="仿宋_GB2312"/>
          <w:sz w:val="32"/>
          <w:szCs w:val="32"/>
          <w:u w:val="none"/>
        </w:rPr>
        <w:t>“三公”经费。</w:t>
      </w:r>
      <w:r>
        <w:rPr>
          <w:rFonts w:hint="eastAsia" w:ascii="仿宋_GB2312" w:hAnsi="黑体" w:eastAsia="仿宋_GB2312"/>
          <w:sz w:val="32"/>
          <w:szCs w:val="32"/>
          <w:u w:val="none"/>
          <w:lang w:eastAsia="zh-CN"/>
        </w:rPr>
        <w:t>。</w:t>
      </w:r>
    </w:p>
    <w:p w14:paraId="0172D235">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eastAsia="zh-CN"/>
        </w:rPr>
      </w:pPr>
      <w:r>
        <w:rPr>
          <w:rFonts w:hint="eastAsia" w:ascii="仿宋_GB2312" w:hAnsi="黑体" w:eastAsia="仿宋_GB2312"/>
          <w:sz w:val="32"/>
          <w:szCs w:val="32"/>
          <w:u w:val="none"/>
        </w:rPr>
        <w:t>公务用车购置及运行费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万元（其中，公务用车购置费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万元，公务用车运行费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万元），与上年预算持平</w:t>
      </w:r>
      <w:r>
        <w:rPr>
          <w:rFonts w:hint="eastAsia" w:ascii="仿宋_GB2312" w:hAnsi="黑体" w:eastAsia="仿宋_GB2312"/>
          <w:sz w:val="32"/>
          <w:szCs w:val="32"/>
          <w:u w:val="none"/>
          <w:lang w:eastAsia="zh-CN"/>
        </w:rPr>
        <w:t>。</w:t>
      </w:r>
    </w:p>
    <w:p w14:paraId="3A554137">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公务接待费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万元，与上年预算持平。</w:t>
      </w:r>
    </w:p>
    <w:p w14:paraId="7BD3DB4C">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（二）</w:t>
      </w:r>
      <w:r>
        <w:rPr>
          <w:rFonts w:hint="eastAsia" w:ascii="仿宋_GB2312" w:hAnsi="黑体" w:eastAsia="仿宋_GB2312"/>
          <w:sz w:val="32"/>
          <w:szCs w:val="32"/>
          <w:lang w:val="en-US" w:eastAsia="zh-CN"/>
        </w:rPr>
        <w:t>屯</w:t>
      </w:r>
      <w:r>
        <w:rPr>
          <w:rFonts w:hint="eastAsia" w:ascii="仿宋_GB2312" w:hAnsi="黑体" w:eastAsia="仿宋_GB2312"/>
          <w:sz w:val="32"/>
          <w:szCs w:val="32"/>
          <w:lang w:eastAsia="zh-CN"/>
        </w:rPr>
        <w:t>昌县乌坡镇乌坡学校</w:t>
      </w:r>
      <w:r>
        <w:rPr>
          <w:rFonts w:hint="eastAsia" w:ascii="仿宋_GB2312" w:hAnsi="黑体" w:eastAsia="仿宋_GB2312"/>
          <w:sz w:val="32"/>
          <w:szCs w:val="32"/>
          <w:u w:val="none"/>
          <w:lang w:eastAsia="zh-CN"/>
        </w:rPr>
        <w:t>2</w:t>
      </w:r>
      <w:r>
        <w:rPr>
          <w:rFonts w:hint="eastAsia" w:ascii="仿宋_GB2312" w:hAnsi="黑体" w:eastAsia="仿宋_GB2312"/>
          <w:sz w:val="32"/>
          <w:szCs w:val="32"/>
          <w:u w:val="none"/>
          <w:lang w:val="en-US" w:eastAsia="zh-CN"/>
        </w:rPr>
        <w:t>026</w:t>
      </w:r>
      <w:r>
        <w:rPr>
          <w:rFonts w:hint="eastAsia" w:ascii="仿宋_GB2312" w:hAnsi="黑体" w:eastAsia="仿宋_GB2312"/>
          <w:sz w:val="32"/>
          <w:szCs w:val="32"/>
          <w:u w:val="none"/>
        </w:rPr>
        <w:t>年政府性基金预算“三公”经费预算数为</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万元，其中：</w:t>
      </w:r>
    </w:p>
    <w:p w14:paraId="39A4E6CB">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eastAsia="zh-CN"/>
        </w:rPr>
      </w:pPr>
      <w:r>
        <w:rPr>
          <w:rFonts w:hint="eastAsia" w:ascii="仿宋_GB2312" w:hAnsi="黑体" w:eastAsia="仿宋_GB2312"/>
          <w:sz w:val="32"/>
          <w:szCs w:val="32"/>
          <w:u w:val="none"/>
        </w:rPr>
        <w:t>因公出国（境）经费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万元，与上年预算持平</w:t>
      </w:r>
      <w:r>
        <w:rPr>
          <w:rFonts w:hint="eastAsia" w:ascii="仿宋_GB2312" w:hAnsi="黑体" w:eastAsia="仿宋_GB2312"/>
          <w:sz w:val="32"/>
          <w:szCs w:val="32"/>
          <w:u w:val="none"/>
          <w:lang w:eastAsia="zh-CN"/>
        </w:rPr>
        <w:t>。</w:t>
      </w:r>
    </w:p>
    <w:p w14:paraId="2B19F6CD">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公务用车购置及运行费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万元（其中，公务用车购置费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万元，公务用车运行费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万元），与上年预算持平。</w:t>
      </w:r>
    </w:p>
    <w:p w14:paraId="1AB20F59">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公务接待费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万元，与上年预算持平。</w:t>
      </w:r>
    </w:p>
    <w:p w14:paraId="3C0CC311">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rPr>
        <w:t>五、政府性基金预算当年拨款情况说明</w:t>
      </w:r>
    </w:p>
    <w:p w14:paraId="433AAC2D">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（一）政府性基金预算当年规模变化情况</w:t>
      </w:r>
    </w:p>
    <w:p w14:paraId="65EB46DB">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sz w:val="32"/>
          <w:szCs w:val="32"/>
          <w:lang w:val="en-US" w:eastAsia="zh-CN"/>
        </w:rPr>
        <w:t>屯</w:t>
      </w:r>
      <w:r>
        <w:rPr>
          <w:rFonts w:hint="eastAsia" w:ascii="仿宋_GB2312" w:hAnsi="黑体" w:eastAsia="仿宋_GB2312"/>
          <w:sz w:val="32"/>
          <w:szCs w:val="32"/>
          <w:lang w:eastAsia="zh-CN"/>
        </w:rPr>
        <w:t>昌县乌坡镇乌坡学校</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年政府性基金预算当年拨款</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与上年持平。</w:t>
      </w:r>
    </w:p>
    <w:p w14:paraId="6D3C68CF">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（二）政府性基金预算当年拨款结构情况</w:t>
      </w:r>
    </w:p>
    <w:p w14:paraId="63DDE552">
      <w:pPr>
        <w:ind w:firstLine="800" w:firstLineChars="250"/>
        <w:rPr>
          <w:rFonts w:ascii="仿宋_GB2312" w:hAnsi="黑体" w:eastAsia="仿宋_GB2312"/>
          <w:sz w:val="32"/>
          <w:szCs w:val="32"/>
          <w:u w:val="none"/>
        </w:rPr>
      </w:pPr>
      <w:r>
        <w:rPr>
          <w:rFonts w:hint="eastAsia" w:ascii="仿宋_GB2312" w:hAnsi="黑体" w:eastAsia="仿宋_GB2312"/>
          <w:sz w:val="32"/>
          <w:szCs w:val="32"/>
        </w:rPr>
        <w:t>无政府性基金预算。</w:t>
      </w:r>
    </w:p>
    <w:p w14:paraId="41C4E269">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14:paraId="4335A179">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cs="仿宋_GB2312"/>
          <w:sz w:val="32"/>
          <w:szCs w:val="32"/>
          <w:u w:val="none"/>
          <w:lang w:eastAsia="zh-CN"/>
        </w:rPr>
      </w:pPr>
      <w:r>
        <w:rPr>
          <w:rFonts w:hint="eastAsia" w:ascii="仿宋_GB2312" w:hAnsi="黑体" w:eastAsia="仿宋_GB2312"/>
          <w:sz w:val="32"/>
          <w:szCs w:val="32"/>
        </w:rPr>
        <w:t>无政府性基金预算</w:t>
      </w:r>
      <w:r>
        <w:rPr>
          <w:rFonts w:hint="eastAsia" w:ascii="仿宋_GB2312" w:hAnsi="黑体" w:eastAsia="仿宋_GB2312"/>
          <w:sz w:val="32"/>
          <w:szCs w:val="32"/>
          <w:u w:val="none"/>
        </w:rPr>
        <w:t>。</w:t>
      </w:r>
    </w:p>
    <w:p w14:paraId="403C276A">
      <w:pPr>
        <w:keepNext w:val="0"/>
        <w:keepLines w:val="0"/>
        <w:pageBreakBefore w:val="0"/>
        <w:numPr>
          <w:ilvl w:val="0"/>
          <w:numId w:val="4"/>
        </w:numPr>
        <w:kinsoku/>
        <w:wordWrap/>
        <w:overflowPunct/>
        <w:topLinePunct w:val="0"/>
        <w:autoSpaceDE/>
        <w:autoSpaceDN/>
        <w:bidi w:val="0"/>
        <w:adjustRightInd/>
        <w:snapToGrid/>
        <w:spacing w:line="590" w:lineRule="exact"/>
        <w:ind w:firstLine="640" w:firstLineChars="200"/>
        <w:jc w:val="both"/>
        <w:textAlignment w:val="auto"/>
        <w:rPr>
          <w:rFonts w:hint="eastAsia" w:ascii="黑体" w:hAnsi="黑体" w:eastAsia="黑体" w:cs="Times New Roman"/>
          <w:sz w:val="32"/>
          <w:szCs w:val="32"/>
          <w:u w:val="none"/>
          <w:shd w:val="clear" w:color="auto" w:fill="FFFFFF"/>
          <w:lang w:eastAsia="zh-CN"/>
        </w:rPr>
      </w:pPr>
      <w:r>
        <w:rPr>
          <w:rFonts w:hint="eastAsia" w:ascii="黑体" w:hAnsi="黑体" w:eastAsia="黑体" w:cs="Times New Roman"/>
          <w:sz w:val="32"/>
          <w:szCs w:val="32"/>
          <w:u w:val="none"/>
          <w:shd w:val="clear" w:color="auto" w:fill="FFFFFF"/>
          <w:lang w:eastAsia="zh-CN"/>
        </w:rPr>
        <w:t>国有资本经营预算当年拨款情况说明</w:t>
      </w:r>
    </w:p>
    <w:p w14:paraId="15CD149A">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sz w:val="32"/>
          <w:szCs w:val="32"/>
          <w:lang w:val="en-US" w:eastAsia="zh-CN"/>
        </w:rPr>
        <w:t>屯</w:t>
      </w:r>
      <w:r>
        <w:rPr>
          <w:rFonts w:hint="eastAsia" w:ascii="仿宋_GB2312" w:hAnsi="黑体" w:eastAsia="仿宋_GB2312"/>
          <w:sz w:val="32"/>
          <w:szCs w:val="32"/>
          <w:lang w:eastAsia="zh-CN"/>
        </w:rPr>
        <w:t>昌县乌坡镇乌坡学校</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与上年持平。</w:t>
      </w:r>
    </w:p>
    <w:p w14:paraId="5EEECD84">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七、</w:t>
      </w:r>
      <w:r>
        <w:rPr>
          <w:rFonts w:hint="eastAsia" w:ascii="黑体" w:hAnsi="黑体" w:eastAsia="黑体" w:cs="Times New Roman"/>
          <w:sz w:val="32"/>
          <w:szCs w:val="32"/>
          <w:u w:val="none"/>
          <w:shd w:val="clear" w:color="auto" w:fill="FFFFFF"/>
        </w:rPr>
        <w:t>收支预算总体情况说明</w:t>
      </w:r>
    </w:p>
    <w:p w14:paraId="3DB59BE2">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cs="仿宋_GB2312"/>
          <w:sz w:val="32"/>
          <w:szCs w:val="32"/>
          <w:u w:val="none"/>
        </w:rPr>
        <w:t>按照综合预算原则，</w:t>
      </w:r>
      <w:r>
        <w:rPr>
          <w:rFonts w:hint="eastAsia" w:ascii="仿宋_GB2312" w:hAnsi="黑体" w:eastAsia="仿宋_GB2312"/>
          <w:sz w:val="32"/>
          <w:szCs w:val="32"/>
          <w:lang w:eastAsia="zh-CN"/>
        </w:rPr>
        <w:t>屯昌县乌坡镇乌坡学校</w:t>
      </w:r>
      <w:r>
        <w:rPr>
          <w:rFonts w:hint="eastAsia" w:ascii="仿宋_GB2312" w:hAnsi="黑体" w:eastAsia="仿宋_GB2312" w:cs="仿宋_GB2312"/>
          <w:sz w:val="32"/>
          <w:szCs w:val="32"/>
          <w:u w:val="none"/>
        </w:rPr>
        <w:t>所有收入和支出均纳入部门预算管理。</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年收支总预算</w:t>
      </w:r>
      <w:r>
        <w:rPr>
          <w:rFonts w:hint="eastAsia" w:ascii="仿宋_GB2312" w:hAnsi="黑体" w:eastAsia="仿宋_GB2312" w:cs="仿宋_GB2312"/>
          <w:sz w:val="32"/>
          <w:szCs w:val="32"/>
          <w:u w:val="none"/>
          <w:lang w:val="en-US" w:eastAsia="zh-CN"/>
        </w:rPr>
        <w:t>3456.36</w:t>
      </w:r>
      <w:r>
        <w:rPr>
          <w:rFonts w:hint="eastAsia" w:ascii="仿宋_GB2312" w:hAnsi="黑体" w:eastAsia="仿宋_GB2312"/>
          <w:sz w:val="32"/>
          <w:szCs w:val="32"/>
          <w:u w:val="none"/>
        </w:rPr>
        <w:t>万元</w:t>
      </w:r>
      <w:r>
        <w:rPr>
          <w:rFonts w:hint="eastAsia" w:ascii="仿宋_GB2312" w:hAnsi="黑体" w:eastAsia="仿宋_GB2312"/>
          <w:sz w:val="32"/>
          <w:szCs w:val="32"/>
          <w:highlight w:val="none"/>
          <w:u w:val="none"/>
        </w:rPr>
        <w:t>。</w:t>
      </w:r>
      <w:r>
        <w:rPr>
          <w:rFonts w:hint="eastAsia" w:ascii="仿宋_GB2312" w:hAnsi="黑体" w:eastAsia="仿宋_GB2312" w:cs="仿宋_GB2312"/>
          <w:sz w:val="32"/>
          <w:szCs w:val="32"/>
          <w:highlight w:val="none"/>
          <w:u w:val="none"/>
        </w:rPr>
        <w:t>收入包括：一般公共预算收入、政府性基金收入、</w:t>
      </w:r>
      <w:r>
        <w:rPr>
          <w:rFonts w:hint="eastAsia" w:ascii="仿宋_GB2312" w:hAnsi="黑体" w:eastAsia="仿宋_GB2312" w:cs="仿宋_GB2312"/>
          <w:sz w:val="32"/>
          <w:szCs w:val="32"/>
          <w:highlight w:val="none"/>
          <w:u w:val="none"/>
          <w:lang w:eastAsia="zh-CN"/>
        </w:rPr>
        <w:t>国有资本经营预算收入、财政专户管理</w:t>
      </w:r>
      <w:r>
        <w:rPr>
          <w:rFonts w:hint="eastAsia" w:ascii="仿宋_GB2312" w:hAnsi="黑体" w:eastAsia="仿宋_GB2312" w:cs="仿宋_GB2312"/>
          <w:sz w:val="32"/>
          <w:szCs w:val="32"/>
          <w:highlight w:val="none"/>
          <w:u w:val="none"/>
        </w:rPr>
        <w:t>资金收入、事业收入、</w:t>
      </w:r>
      <w:r>
        <w:rPr>
          <w:rFonts w:ascii="仿宋_GB2312" w:hAnsi="黑体" w:eastAsia="仿宋_GB2312"/>
          <w:sz w:val="32"/>
          <w:szCs w:val="32"/>
          <w:highlight w:val="none"/>
          <w:u w:val="none"/>
        </w:rPr>
        <w:t>……</w:t>
      </w:r>
      <w:r>
        <w:rPr>
          <w:rFonts w:hint="eastAsia" w:ascii="仿宋_GB2312" w:hAnsi="黑体" w:eastAsia="仿宋_GB2312"/>
          <w:sz w:val="32"/>
          <w:szCs w:val="32"/>
          <w:highlight w:val="none"/>
          <w:u w:val="none"/>
        </w:rPr>
        <w:t>；支出包括：一般公共服务支出、外交支出、国防支出、公共安全支出、教育支出、</w:t>
      </w:r>
      <w:r>
        <w:rPr>
          <w:rFonts w:ascii="仿宋_GB2312" w:hAnsi="黑体" w:eastAsia="仿宋_GB2312"/>
          <w:sz w:val="32"/>
          <w:szCs w:val="32"/>
          <w:highlight w:val="none"/>
          <w:u w:val="none"/>
        </w:rPr>
        <w:t>…</w:t>
      </w:r>
      <w:r>
        <w:rPr>
          <w:rFonts w:ascii="仿宋_GB2312" w:hAnsi="黑体" w:eastAsia="仿宋_GB2312"/>
          <w:sz w:val="32"/>
          <w:szCs w:val="32"/>
          <w:u w:val="none"/>
        </w:rPr>
        <w:t>…</w:t>
      </w:r>
      <w:r>
        <w:rPr>
          <w:rFonts w:hint="eastAsia" w:ascii="仿宋_GB2312" w:hAnsi="黑体" w:eastAsia="仿宋_GB2312"/>
          <w:sz w:val="32"/>
          <w:szCs w:val="32"/>
          <w:u w:val="none"/>
        </w:rPr>
        <w:t>。</w:t>
      </w:r>
    </w:p>
    <w:p w14:paraId="0A7BA12A">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八</w:t>
      </w:r>
      <w:r>
        <w:rPr>
          <w:rFonts w:hint="eastAsia" w:ascii="黑体" w:hAnsi="黑体" w:eastAsia="黑体" w:cs="Times New Roman"/>
          <w:sz w:val="32"/>
          <w:szCs w:val="32"/>
          <w:u w:val="none"/>
          <w:shd w:val="clear" w:color="auto" w:fill="FFFFFF"/>
        </w:rPr>
        <w:t>、收入预算情况说明</w:t>
      </w:r>
    </w:p>
    <w:p w14:paraId="5EF4BCA1">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sz w:val="32"/>
          <w:szCs w:val="32"/>
          <w:lang w:eastAsia="zh-CN"/>
        </w:rPr>
        <w:t>屯昌县乌坡镇乌坡学校</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年收入预算</w:t>
      </w:r>
      <w:r>
        <w:rPr>
          <w:rFonts w:hint="eastAsia" w:ascii="仿宋_GB2312" w:hAnsi="黑体" w:eastAsia="仿宋_GB2312" w:cs="仿宋_GB2312"/>
          <w:sz w:val="32"/>
          <w:szCs w:val="32"/>
          <w:u w:val="none"/>
          <w:lang w:val="en-US" w:eastAsia="zh-CN"/>
        </w:rPr>
        <w:t>3456.36</w:t>
      </w:r>
      <w:r>
        <w:rPr>
          <w:rFonts w:hint="eastAsia" w:ascii="仿宋_GB2312" w:hAnsi="黑体" w:eastAsia="仿宋_GB2312"/>
          <w:sz w:val="32"/>
          <w:szCs w:val="32"/>
          <w:u w:val="none"/>
        </w:rPr>
        <w:t>万元，其中：上年结转</w:t>
      </w:r>
      <w:r>
        <w:rPr>
          <w:rFonts w:hint="eastAsia" w:ascii="仿宋_GB2312" w:hAnsi="黑体" w:eastAsia="仿宋_GB2312" w:cs="仿宋_GB2312"/>
          <w:sz w:val="32"/>
          <w:szCs w:val="32"/>
          <w:u w:val="none"/>
        </w:rPr>
        <w:t>9.18</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0.27</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r>
        <w:rPr>
          <w:rFonts w:hint="eastAsia" w:ascii="仿宋_GB2312" w:hAnsi="黑体" w:eastAsia="仿宋_GB2312" w:cs="仿宋_GB2312"/>
          <w:sz w:val="32"/>
          <w:szCs w:val="32"/>
          <w:u w:val="none"/>
        </w:rPr>
        <w:t>3447.18</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99.73</w:t>
      </w:r>
      <w:r>
        <w:rPr>
          <w:rFonts w:hint="eastAsia" w:ascii="仿宋_GB2312" w:hAnsi="黑体" w:eastAsia="仿宋_GB2312"/>
          <w:sz w:val="32"/>
          <w:szCs w:val="32"/>
          <w:u w:val="none"/>
        </w:rPr>
        <w:t>%；政府性基金</w:t>
      </w:r>
      <w:r>
        <w:rPr>
          <w:rFonts w:hint="eastAsia" w:ascii="仿宋_GB2312" w:hAnsi="黑体" w:eastAsia="仿宋_GB2312"/>
          <w:sz w:val="32"/>
          <w:szCs w:val="32"/>
          <w:u w:val="none"/>
          <w:lang w:eastAsia="zh-CN"/>
        </w:rPr>
        <w:t>预算拨款</w:t>
      </w:r>
      <w:r>
        <w:rPr>
          <w:rFonts w:hint="eastAsia" w:ascii="仿宋_GB2312" w:hAnsi="黑体" w:eastAsia="仿宋_GB2312"/>
          <w:sz w:val="32"/>
          <w:szCs w:val="32"/>
          <w:u w:val="none"/>
        </w:rPr>
        <w:t>收入</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eastAsia="zh-CN"/>
        </w:rPr>
        <w:t>国有资本经营预算拨款收入</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万元，占</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723.77</w:t>
      </w:r>
      <w:r>
        <w:rPr>
          <w:rFonts w:hint="eastAsia" w:ascii="仿宋_GB2312" w:hAnsi="黑体" w:eastAsia="仿宋_GB2312"/>
          <w:sz w:val="32"/>
          <w:szCs w:val="32"/>
          <w:u w:val="none"/>
        </w:rPr>
        <w:t>万元，主要是</w:t>
      </w:r>
      <w:r>
        <w:rPr>
          <w:rFonts w:hint="eastAsia" w:ascii="仿宋_GB2312" w:hAnsi="黑体" w:eastAsia="仿宋_GB2312"/>
          <w:sz w:val="32"/>
          <w:szCs w:val="32"/>
          <w:lang w:eastAsia="zh-CN"/>
        </w:rPr>
        <w:t>教职工人数</w:t>
      </w:r>
      <w:r>
        <w:rPr>
          <w:rFonts w:hint="eastAsia" w:ascii="仿宋_GB2312" w:hAnsi="黑体" w:eastAsia="仿宋_GB2312"/>
          <w:sz w:val="32"/>
          <w:szCs w:val="32"/>
          <w:lang w:val="en-US" w:eastAsia="zh-CN"/>
        </w:rPr>
        <w:t>减少，预算相应减少</w:t>
      </w:r>
      <w:r>
        <w:rPr>
          <w:rFonts w:hint="eastAsia" w:ascii="仿宋_GB2312" w:hAnsi="黑体" w:eastAsia="仿宋_GB2312"/>
          <w:sz w:val="32"/>
          <w:szCs w:val="32"/>
          <w:u w:val="none"/>
        </w:rPr>
        <w:t>。</w:t>
      </w:r>
    </w:p>
    <w:p w14:paraId="76ACFAE2">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九</w:t>
      </w:r>
      <w:r>
        <w:rPr>
          <w:rFonts w:hint="eastAsia" w:ascii="黑体" w:hAnsi="黑体" w:eastAsia="黑体" w:cs="Times New Roman"/>
          <w:sz w:val="32"/>
          <w:szCs w:val="32"/>
          <w:u w:val="none"/>
          <w:shd w:val="clear" w:color="auto" w:fill="FFFFFF"/>
        </w:rPr>
        <w:t>、支出预算情况说明</w:t>
      </w:r>
    </w:p>
    <w:p w14:paraId="49D4F66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0" w:lineRule="exact"/>
        <w:ind w:left="0" w:right="0"/>
        <w:jc w:val="both"/>
        <w:textAlignment w:val="auto"/>
        <w:rPr>
          <w:sz w:val="32"/>
          <w:szCs w:val="32"/>
        </w:rPr>
      </w:pPr>
      <w:r>
        <w:rPr>
          <w:rFonts w:hint="eastAsia" w:ascii="仿宋_GB2312" w:hAnsi="黑体" w:eastAsia="仿宋_GB2312"/>
          <w:sz w:val="32"/>
          <w:szCs w:val="32"/>
          <w:lang w:eastAsia="zh-CN"/>
        </w:rPr>
        <w:t>屯昌县乌坡镇乌坡学校</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年支出预算</w:t>
      </w:r>
      <w:r>
        <w:rPr>
          <w:rFonts w:hint="eastAsia" w:ascii="仿宋_GB2312" w:hAnsi="黑体" w:eastAsia="仿宋_GB2312" w:cs="仿宋_GB2312"/>
          <w:sz w:val="32"/>
          <w:szCs w:val="32"/>
          <w:u w:val="none"/>
          <w:lang w:val="en-US" w:eastAsia="zh-CN"/>
        </w:rPr>
        <w:t>3456.36</w:t>
      </w:r>
      <w:r>
        <w:rPr>
          <w:rFonts w:hint="eastAsia" w:ascii="仿宋_GB2312" w:hAnsi="黑体" w:eastAsia="仿宋_GB2312"/>
          <w:sz w:val="32"/>
          <w:szCs w:val="32"/>
          <w:u w:val="none"/>
        </w:rPr>
        <w:t>万元，其中：基本支出</w:t>
      </w:r>
      <w:r>
        <w:rPr>
          <w:rFonts w:hint="eastAsia" w:ascii="仿宋_GB2312" w:hAnsi="黑体" w:eastAsia="仿宋_GB2312" w:cs="仿宋_GB2312"/>
          <w:sz w:val="32"/>
          <w:szCs w:val="32"/>
          <w:u w:val="none"/>
        </w:rPr>
        <w:t>3,360.55</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97.23</w:t>
      </w:r>
      <w:r>
        <w:rPr>
          <w:rFonts w:hint="eastAsia" w:ascii="仿宋_GB2312" w:hAnsi="黑体" w:eastAsia="仿宋_GB2312"/>
          <w:sz w:val="32"/>
          <w:szCs w:val="32"/>
          <w:u w:val="none"/>
        </w:rPr>
        <w:t>%；项目支出</w:t>
      </w:r>
      <w:r>
        <w:rPr>
          <w:rFonts w:hint="eastAsia" w:ascii="仿宋_GB2312" w:hAnsi="黑体" w:eastAsia="仿宋_GB2312" w:cs="仿宋_GB2312"/>
          <w:sz w:val="32"/>
          <w:szCs w:val="32"/>
          <w:u w:val="none"/>
        </w:rPr>
        <w:t>95.81</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2.77</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723.77</w:t>
      </w:r>
      <w:r>
        <w:rPr>
          <w:rFonts w:hint="eastAsia" w:ascii="仿宋_GB2312" w:hAnsi="黑体" w:eastAsia="仿宋_GB2312"/>
          <w:sz w:val="32"/>
          <w:szCs w:val="32"/>
          <w:u w:val="none"/>
        </w:rPr>
        <w:t>万元，主要是</w:t>
      </w:r>
      <w:r>
        <w:rPr>
          <w:rFonts w:hint="eastAsia" w:ascii="仿宋_GB2312" w:hAnsi="黑体" w:eastAsia="仿宋_GB2312"/>
          <w:sz w:val="32"/>
          <w:szCs w:val="32"/>
          <w:lang w:eastAsia="zh-CN"/>
        </w:rPr>
        <w:t>教职工人数</w:t>
      </w:r>
      <w:r>
        <w:rPr>
          <w:rFonts w:hint="eastAsia" w:ascii="仿宋_GB2312" w:hAnsi="黑体" w:eastAsia="仿宋_GB2312"/>
          <w:sz w:val="32"/>
          <w:szCs w:val="32"/>
          <w:lang w:val="en-US" w:eastAsia="zh-CN"/>
        </w:rPr>
        <w:t>减少，预算相应减少</w:t>
      </w:r>
      <w:r>
        <w:rPr>
          <w:rFonts w:hint="eastAsia" w:ascii="仿宋_GB2312" w:hAnsi="黑体" w:eastAsia="仿宋_GB2312"/>
          <w:sz w:val="32"/>
          <w:szCs w:val="32"/>
          <w:u w:val="none"/>
        </w:rPr>
        <w:t>。</w:t>
      </w:r>
    </w:p>
    <w:p w14:paraId="1174B233">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十</w:t>
      </w:r>
      <w:r>
        <w:rPr>
          <w:rFonts w:hint="eastAsia" w:ascii="黑体" w:hAnsi="黑体" w:eastAsia="黑体" w:cs="Times New Roman"/>
          <w:sz w:val="32"/>
          <w:szCs w:val="32"/>
          <w:u w:val="none"/>
          <w:shd w:val="clear" w:color="auto" w:fill="FFFFFF"/>
        </w:rPr>
        <w:t>、其他重要事项的情况说明</w:t>
      </w:r>
    </w:p>
    <w:p w14:paraId="5063E51D">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14:paraId="0766E717">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rPr>
        <w:t>年</w:t>
      </w:r>
      <w:r>
        <w:rPr>
          <w:rFonts w:hint="eastAsia" w:ascii="仿宋_GB2312" w:hAnsi="仿宋_GB2312" w:eastAsia="仿宋_GB2312" w:cs="仿宋_GB2312"/>
          <w:sz w:val="32"/>
          <w:szCs w:val="32"/>
          <w:lang w:eastAsia="zh-CN"/>
        </w:rPr>
        <w:t>屯昌县乌坡镇乌坡学校</w:t>
      </w:r>
      <w:r>
        <w:rPr>
          <w:rFonts w:hint="eastAsia" w:ascii="仿宋_GB2312" w:hAnsi="黑体" w:eastAsia="仿宋_GB2312" w:cs="仿宋_GB2312"/>
          <w:sz w:val="32"/>
          <w:szCs w:val="32"/>
        </w:rPr>
        <w:t>本级</w:t>
      </w:r>
      <w:r>
        <w:rPr>
          <w:rFonts w:hint="eastAsia" w:ascii="仿宋_GB2312" w:hAnsi="黑体" w:eastAsia="仿宋_GB2312" w:cs="仿宋_GB2312"/>
          <w:sz w:val="32"/>
          <w:szCs w:val="32"/>
          <w:lang w:eastAsia="zh-CN"/>
        </w:rPr>
        <w:t>无</w:t>
      </w:r>
      <w:r>
        <w:rPr>
          <w:rFonts w:hint="eastAsia" w:ascii="仿宋_GB2312" w:hAnsi="黑体" w:eastAsia="仿宋_GB2312" w:cs="仿宋_GB2312"/>
          <w:sz w:val="32"/>
          <w:szCs w:val="32"/>
        </w:rPr>
        <w:t>机关运行经费预算</w:t>
      </w:r>
      <w:r>
        <w:rPr>
          <w:rFonts w:hint="eastAsia" w:ascii="仿宋_GB2312" w:hAnsi="黑体" w:eastAsia="仿宋_GB2312"/>
          <w:sz w:val="32"/>
          <w:szCs w:val="32"/>
          <w:u w:val="none"/>
        </w:rPr>
        <w:t>。</w:t>
      </w:r>
    </w:p>
    <w:p w14:paraId="190516E9">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（二）政府采购情况</w:t>
      </w:r>
    </w:p>
    <w:p w14:paraId="45A12122">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rPr>
        <w:t>年</w:t>
      </w:r>
      <w:r>
        <w:rPr>
          <w:rFonts w:hint="eastAsia" w:ascii="仿宋_GB2312" w:hAnsi="仿宋_GB2312" w:eastAsia="仿宋_GB2312" w:cs="仿宋_GB2312"/>
          <w:sz w:val="32"/>
          <w:szCs w:val="32"/>
          <w:lang w:eastAsia="zh-CN"/>
        </w:rPr>
        <w:t>屯昌县乌坡镇乌坡学校</w:t>
      </w:r>
      <w:r>
        <w:rPr>
          <w:rFonts w:hint="eastAsia" w:ascii="仿宋_GB2312" w:hAnsi="黑体" w:eastAsia="仿宋_GB2312" w:cs="仿宋_GB2312"/>
          <w:sz w:val="32"/>
          <w:szCs w:val="32"/>
        </w:rPr>
        <w:t>本级预算单位</w:t>
      </w:r>
      <w:r>
        <w:rPr>
          <w:rFonts w:hint="eastAsia" w:ascii="仿宋_GB2312" w:hAnsi="黑体" w:eastAsia="仿宋_GB2312" w:cs="仿宋_GB2312"/>
          <w:sz w:val="32"/>
          <w:szCs w:val="32"/>
          <w:lang w:eastAsia="zh-CN"/>
        </w:rPr>
        <w:t>无</w:t>
      </w:r>
      <w:r>
        <w:rPr>
          <w:rFonts w:hint="eastAsia" w:ascii="仿宋_GB2312" w:hAnsi="黑体" w:eastAsia="仿宋_GB2312" w:cs="仿宋_GB2312"/>
          <w:sz w:val="32"/>
          <w:szCs w:val="32"/>
        </w:rPr>
        <w:t>政府采购预算</w:t>
      </w:r>
      <w:r>
        <w:rPr>
          <w:rFonts w:hint="eastAsia" w:ascii="仿宋_GB2312" w:hAnsi="黑体" w:eastAsia="仿宋_GB2312"/>
          <w:sz w:val="32"/>
          <w:szCs w:val="32"/>
          <w:u w:val="none"/>
        </w:rPr>
        <w:t>。</w:t>
      </w:r>
    </w:p>
    <w:p w14:paraId="461D9B07">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（三）国有资产占有使用情况</w:t>
      </w:r>
    </w:p>
    <w:p w14:paraId="77BEB289">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2025</w:t>
      </w:r>
      <w:r>
        <w:rPr>
          <w:rFonts w:hint="eastAsia" w:ascii="仿宋_GB2312" w:hAnsi="黑体" w:eastAsia="仿宋_GB2312"/>
          <w:sz w:val="32"/>
          <w:szCs w:val="32"/>
          <w:highlight w:val="none"/>
          <w:u w:val="none"/>
        </w:rPr>
        <w:t>年12月31日，</w:t>
      </w:r>
      <w:r>
        <w:rPr>
          <w:rFonts w:hint="eastAsia" w:ascii="仿宋_GB2312" w:hAnsi="仿宋_GB2312" w:eastAsia="仿宋_GB2312" w:cs="仿宋_GB2312"/>
          <w:sz w:val="32"/>
          <w:szCs w:val="32"/>
          <w:lang w:eastAsia="zh-CN"/>
        </w:rPr>
        <w:t>屯昌县乌坡镇乌坡学校</w:t>
      </w:r>
      <w:r>
        <w:rPr>
          <w:rFonts w:hint="eastAsia" w:ascii="仿宋_GB2312" w:hAnsi="黑体" w:eastAsia="仿宋_GB2312" w:cs="仿宋_GB2312"/>
          <w:sz w:val="32"/>
          <w:szCs w:val="32"/>
          <w:u w:val="none"/>
        </w:rPr>
        <w:t>本级及下属各预算单位共有车辆</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辆，其中，领导干部用车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辆，机要通信应急用车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辆、一般执法执勤用车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辆、特种专业技术用车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辆、其他用车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辆。单位价值100万元以上设备</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台（套）。</w:t>
      </w:r>
    </w:p>
    <w:p w14:paraId="13D55D17">
      <w:pPr>
        <w:keepNext w:val="0"/>
        <w:keepLines w:val="0"/>
        <w:pageBreakBefore w:val="0"/>
        <w:widowControl/>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14:paraId="0E7E30E1">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仿宋_GB2312" w:eastAsia="仿宋_GB2312" w:cs="仿宋_GB2312"/>
          <w:sz w:val="32"/>
          <w:szCs w:val="32"/>
          <w:lang w:eastAsia="zh-CN"/>
        </w:rPr>
        <w:t>屯昌县乌坡镇乌坡学校</w:t>
      </w:r>
      <w:r>
        <w:rPr>
          <w:rFonts w:hint="eastAsia" w:ascii="仿宋_GB2312" w:hAnsi="仿宋_GB2312" w:eastAsia="仿宋_GB2312" w:cs="仿宋_GB2312"/>
          <w:sz w:val="32"/>
          <w:szCs w:val="32"/>
          <w:lang w:val="en-US" w:eastAsia="zh-CN"/>
        </w:rPr>
        <w:t>9</w:t>
      </w:r>
      <w:r>
        <w:rPr>
          <w:rFonts w:hint="eastAsia" w:ascii="仿宋_GB2312" w:hAnsi="黑体" w:eastAsia="仿宋_GB2312" w:cs="仿宋_GB2312"/>
          <w:sz w:val="32"/>
          <w:szCs w:val="32"/>
          <w:u w:val="none"/>
        </w:rPr>
        <w:t>个项目实行绩效目标管理，涉及一般公共预算</w:t>
      </w:r>
      <w:r>
        <w:rPr>
          <w:rFonts w:hint="eastAsia" w:ascii="仿宋_GB2312" w:hAnsi="黑体" w:eastAsia="仿宋_GB2312" w:cs="仿宋_GB2312"/>
          <w:sz w:val="32"/>
          <w:szCs w:val="32"/>
          <w:u w:val="none"/>
          <w:lang w:val="en-US" w:eastAsia="zh-CN"/>
        </w:rPr>
        <w:t>3456.36</w:t>
      </w:r>
      <w:r>
        <w:rPr>
          <w:rFonts w:hint="eastAsia" w:ascii="仿宋_GB2312" w:hAnsi="黑体" w:eastAsia="仿宋_GB2312"/>
          <w:sz w:val="32"/>
          <w:szCs w:val="32"/>
          <w:u w:val="none"/>
        </w:rPr>
        <w:t>万元、政府性基金</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14:paraId="16859283">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黑体" w:hAnsi="黑体" w:eastAsia="黑体"/>
          <w:b w:val="0"/>
          <w:bCs/>
          <w:sz w:val="32"/>
          <w:szCs w:val="32"/>
          <w:u w:val="none"/>
          <w:lang w:eastAsia="zh-CN"/>
        </w:rPr>
      </w:pPr>
    </w:p>
    <w:p w14:paraId="76527674">
      <w:pPr>
        <w:keepNext w:val="0"/>
        <w:keepLines w:val="0"/>
        <w:pageBreakBefore w:val="0"/>
        <w:kinsoku/>
        <w:wordWrap/>
        <w:overflowPunct/>
        <w:topLinePunct w:val="0"/>
        <w:autoSpaceDE/>
        <w:autoSpaceDN/>
        <w:bidi w:val="0"/>
        <w:adjustRightInd/>
        <w:snapToGrid/>
        <w:spacing w:line="590" w:lineRule="exact"/>
        <w:jc w:val="both"/>
        <w:textAlignment w:val="auto"/>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14:paraId="6CA7E0E7">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eastAsia="仿宋_GB2312" w:cs="宋体"/>
          <w:bCs/>
          <w:color w:val="000000"/>
          <w:kern w:val="0"/>
          <w:sz w:val="32"/>
          <w:szCs w:val="32"/>
          <w:u w:val="none"/>
          <w:lang w:val="zh-CN"/>
        </w:rPr>
      </w:pPr>
    </w:p>
    <w:p w14:paraId="1CB26101">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一、财政拨款收入：指本级财政当年拨付的资金。</w:t>
      </w:r>
    </w:p>
    <w:p w14:paraId="5F80CBBF">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二、一般公共预算拨款收入：指用于反映税收收入、专项收入、行政事业性收费收入、罚没收入、国有资源（资产）有偿使用收入、政府住房基金收入、捐赠收入等财政收入。</w:t>
      </w:r>
    </w:p>
    <w:p w14:paraId="66C37073">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lang w:eastAsia="zh-CN"/>
        </w:rPr>
      </w:pPr>
      <w:r>
        <w:rPr>
          <w:rFonts w:hint="eastAsia" w:ascii="仿宋_GB2312" w:hAnsi="宋体" w:eastAsia="仿宋_GB2312" w:cs="宋体"/>
          <w:color w:val="000000"/>
          <w:kern w:val="0"/>
          <w:sz w:val="32"/>
          <w:szCs w:val="32"/>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2"/>
          <w:u w:val="none"/>
          <w:lang w:eastAsia="zh-CN"/>
        </w:rPr>
        <w:t>。</w:t>
      </w:r>
    </w:p>
    <w:p w14:paraId="550E84AC">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 xml:space="preserve">四、事业收入：指用于反映事业单位开展专业业务活动及辅助活动所取得的收入。 </w:t>
      </w:r>
    </w:p>
    <w:p w14:paraId="01EEFEA2">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五、事业单位经营收入：指用于反映事业单位在专业活动及辅助活动之外开展非独立核算经营活动取得的收入。</w:t>
      </w:r>
    </w:p>
    <w:p w14:paraId="4A3CEEDE">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六、其他收入：指除上述“财政拨款收入”“事业收入”“经营收入”等以外的收入。</w:t>
      </w:r>
    </w:p>
    <w:p w14:paraId="7B3E6216">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七、上年结转：指以前年度尚未完成、结转到本年按有关规定继续使用的资金。</w:t>
      </w:r>
    </w:p>
    <w:p w14:paraId="4A7A24A6">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八、基本支出：指行政事业单位用于为保障其机构正常运转、完成日常工作任务而发生的人员支出和公用支出。</w:t>
      </w:r>
    </w:p>
    <w:p w14:paraId="3A6771AD">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九、工资福利支出：反映单位开支的在职职工和编制外长期聘用人员的各类劳动报酬，以及为上述人员缴纳的各项社会保险费等。</w:t>
      </w:r>
    </w:p>
    <w:p w14:paraId="78CAF1C1">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十、对个人和家庭的补助支出：反映政府用于对个人和家庭的补助支出，包括离休费、退休费、退职（役）费、抚恤金、生活补助、救济费、医疗费补助、助学金、独生子女奖励金、其他等。</w:t>
      </w:r>
    </w:p>
    <w:p w14:paraId="596CBB9A">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6D9116C7">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十二、项目支出：指各部门、各单位为完成其特定的工作任务和事业发展目标所发生的支出。</w:t>
      </w:r>
    </w:p>
    <w:p w14:paraId="7E4548D1">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2"/>
          <w:u w:val="none"/>
          <w:lang w:eastAsia="zh-CN"/>
        </w:rPr>
        <w:t>、</w:t>
      </w:r>
      <w:r>
        <w:rPr>
          <w:rFonts w:hint="eastAsia" w:ascii="仿宋_GB2312" w:hAnsi="宋体" w:eastAsia="仿宋_GB2312" w:cs="宋体"/>
          <w:color w:val="000000"/>
          <w:kern w:val="0"/>
          <w:sz w:val="32"/>
          <w:szCs w:val="32"/>
          <w:u w:val="none"/>
          <w:lang w:val="en-US" w:eastAsia="zh-CN"/>
        </w:rPr>
        <w:t>1个月及以上租车费用</w:t>
      </w:r>
      <w:r>
        <w:rPr>
          <w:rFonts w:hint="eastAsia" w:ascii="仿宋_GB2312" w:hAnsi="宋体" w:eastAsia="仿宋_GB2312" w:cs="宋体"/>
          <w:color w:val="000000"/>
          <w:kern w:val="0"/>
          <w:sz w:val="32"/>
          <w:szCs w:val="32"/>
          <w:u w:val="none"/>
        </w:rPr>
        <w:t>等支出；公务接待费指单位按规定开支的各类公务接待（含外宾接待）支出。</w:t>
      </w:r>
    </w:p>
    <w:p w14:paraId="1D664856">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pPr>
      <w:r>
        <w:rPr>
          <w:rFonts w:hint="eastAsia" w:ascii="仿宋_GB2312" w:hAnsi="宋体" w:eastAsia="仿宋_GB2312" w:cs="宋体"/>
          <w:color w:val="000000"/>
          <w:kern w:val="0"/>
          <w:sz w:val="32"/>
          <w:szCs w:val="32"/>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bookmarkStart w:id="0" w:name="_GoBack"/>
      <w:bookmarkEnd w:id="0"/>
    </w:p>
    <w:sectPr>
      <w:footerReference r:id="rId3" w:type="default"/>
      <w:pgSz w:w="11906" w:h="16838"/>
      <w:pgMar w:top="1928" w:right="1474" w:bottom="1701" w:left="158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040000" w:csb1="00000000"/>
  </w:font>
  <w:font w:name="方正黑体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8080F95D">
    <w:panose1 w:val="020B0503020204020204"/>
    <w:charset w:val="86"/>
    <w:family w:val="auto"/>
    <w:pitch w:val="default"/>
    <w:sig w:usb0="00000001" w:usb1="00000000" w:usb2="00000000" w:usb3="00000000" w:csb0="00040001" w:csb1="00000000"/>
  </w:font>
  <w:font w:name="KSOFEC83043A">
    <w:panose1 w:val="020B0503020204020204"/>
    <w:charset w:val="86"/>
    <w:family w:val="auto"/>
    <w:pitch w:val="default"/>
    <w:sig w:usb0="00000001"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F2E934">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793750" cy="32766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93750" cy="32766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AAA147">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25.8pt;width:62.5pt;mso-position-horizontal:outside;mso-position-horizontal-relative:margin;z-index:251659264;mso-width-relative:page;mso-height-relative:page;" filled="f" stroked="f" coordsize="21600,21600" o:gfxdata="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7M5a7tMAAAAEAQAADwAAAAAAAAABACAAAAAiAAAAZHJzL2Rvd25yZXYueG1s&#10;UEsBAhQAFAAAAAgAh07iQIWn1LU2AgAAYQQAAA4AAAAAAAAAAQAgAAAAIgEAAGRycy9lMm9Eb2Mu&#10;eG1sUEsFBgAAAAAGAAYAWQEAAMoFAAAAAA==&#10;">
              <v:fill on="f" focussize="0,0"/>
              <v:stroke on="f" weight="0.5pt"/>
              <v:imagedata o:title=""/>
              <o:lock v:ext="edit" aspectratio="f"/>
              <v:textbox inset="0mm,0mm,0mm,0mm">
                <w:txbxContent>
                  <w:p w14:paraId="6EAAA147">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E260F695"/>
    <w:multiLevelType w:val="singleLevel"/>
    <w:tmpl w:val="E260F695"/>
    <w:lvl w:ilvl="0" w:tentative="0">
      <w:start w:val="2"/>
      <w:numFmt w:val="decimal"/>
      <w:suff w:val="space"/>
      <w:lvlText w:val="%1."/>
      <w:lvlJc w:val="left"/>
    </w:lvl>
  </w:abstractNum>
  <w:abstractNum w:abstractNumId="2">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7F66E0"/>
    <w:rsid w:val="0D7F66E0"/>
    <w:rsid w:val="415D6A9A"/>
    <w:rsid w:val="7C9661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屯昌县（屯城镇）</Company>
  <Pages>10</Pages>
  <Words>3965</Words>
  <Characters>4075</Characters>
  <Lines>0</Lines>
  <Paragraphs>0</Paragraphs>
  <TotalTime>1</TotalTime>
  <ScaleCrop>false</ScaleCrop>
  <LinksUpToDate>false</LinksUpToDate>
  <CharactersWithSpaces>4095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2026-02-28T08:07:00Z</dcterms:created>
  <dc:creator>子净</dc:creator>
  <cp:lastModifiedBy>sstdj</cp:lastModifiedBy>
  <dcterms:modified xsi:type="dcterms:W3CDTF">2026-03-09T07:37:28Z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eyJoZGlkIjoiOWRmNjY3NWRjNmYyYjAzYTRjM2ZmYzIwN2FlODgwMzYiLCJ1c2VySWQiOiI0MTAzNTM4MTgifQ==</vt:lpwstr>
  </property>
  <property fmtid="{D5CDD505-2E9C-101B-9397-08002B2CF9AE}" pid="4" name="ICV">
    <vt:lpwstr>E7412BFE04C846E1BB7DC75833F703A6_12</vt:lpwstr>
  </property>
</Properties>
</file>