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屯昌县光明学校2024年度</w:t>
      </w: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049_WPSOffice_Level1"/>
      <w:bookmarkStart w:id="3" w:name="_Toc32433_WPSOffice_Level1"/>
      <w:bookmarkStart w:id="4" w:name="_Toc10720_WPSOffice_Level1"/>
      <w:bookmarkStart w:id="5" w:name="_Toc23465_WPSOffice_Level1"/>
      <w:bookmarkStart w:id="6" w:name="_Toc22941_WPSOffice_Level1"/>
      <w:bookmarkStart w:id="7" w:name="_Toc1704_WPSOffice_Level1"/>
      <w:bookmarkStart w:id="8" w:name="_Toc24238_WPSOffice_Level2"/>
      <w:bookmarkStart w:id="9" w:name="_Toc20205_WPSOffice_Level2"/>
      <w:bookmarkStart w:id="10" w:name="_Toc26580_WPSOffice_Level2"/>
      <w:bookmarkStart w:id="11" w:name="_Toc14159_WPSOffice_Level2"/>
      <w:bookmarkStart w:id="12" w:name="_Toc32622_WPSOffice_Level2"/>
      <w:bookmarkStart w:id="13" w:name="_Toc20274_WPSOffice_Level2"/>
    </w:p>
    <w:p>
      <w:pPr>
        <w:spacing w:line="578" w:lineRule="exact"/>
        <w:jc w:val="center"/>
        <w:rPr>
          <w:rFonts w:hint="eastAsia" w:ascii="黑体" w:hAnsi="ˎ̥" w:eastAsia="黑体"/>
          <w:sz w:val="32"/>
          <w:szCs w:val="32"/>
        </w:rPr>
      </w:pPr>
      <w:bookmarkStart w:id="119" w:name="_GoBack"/>
      <w:bookmarkEnd w:id="119"/>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仿宋_GB2312" w:hAnsi="ˎ̥" w:eastAsia="仿宋_GB2312"/>
          <w:sz w:val="32"/>
          <w:szCs w:val="32"/>
        </w:rPr>
      </w:pPr>
      <w:r>
        <w:rPr>
          <w:rFonts w:hint="eastAsia" w:ascii="黑体" w:hAnsi="黑体" w:eastAsia="黑体" w:cs="黑体"/>
          <w:sz w:val="32"/>
          <w:szCs w:val="32"/>
          <w:lang w:val="en-US" w:eastAsia="zh-CN"/>
        </w:rPr>
        <w:t>屯昌县光明学校</w:t>
      </w:r>
      <w:r>
        <w:rPr>
          <w:rFonts w:hint="eastAsia" w:ascii="黑体" w:hAnsi="黑体" w:eastAsia="黑体" w:cs="黑体"/>
          <w:sz w:val="32"/>
          <w:szCs w:val="32"/>
        </w:rPr>
        <w:t>职责</w:t>
      </w:r>
      <w:bookmarkEnd w:id="9"/>
      <w:bookmarkEnd w:id="10"/>
      <w:bookmarkEnd w:id="11"/>
      <w:bookmarkEnd w:id="12"/>
      <w:bookmarkEnd w:id="13"/>
    </w:p>
    <w:p>
      <w:pPr>
        <w:widowControl/>
        <w:spacing w:afterAutospacing="1" w:line="240" w:lineRule="auto"/>
        <w:ind w:firstLine="640" w:firstLineChars="200"/>
        <w:jc w:val="left"/>
        <w:rPr>
          <w:rFonts w:hint="default" w:ascii="黑体" w:hAnsi="黑体" w:eastAsia="黑体" w:cs="黑体"/>
          <w:sz w:val="32"/>
          <w:szCs w:val="32"/>
          <w:lang w:val="en-US" w:eastAsia="zh-CN"/>
        </w:rPr>
      </w:pPr>
      <w:r>
        <w:rPr>
          <w:rFonts w:hint="default" w:ascii="仿宋_GB2312" w:hAnsi="ˎ̥" w:eastAsia="仿宋_GB2312"/>
          <w:sz w:val="32"/>
          <w:szCs w:val="32"/>
        </w:rPr>
        <w:t>贯彻执行党的教育方针、政策和国家有关教育的法律法规以及有关规定，坚持依法治教、依法治学。</w:t>
      </w:r>
    </w:p>
    <w:p>
      <w:pPr>
        <w:spacing w:line="578" w:lineRule="exact"/>
        <w:ind w:firstLine="640" w:firstLineChars="200"/>
        <w:rPr>
          <w:rFonts w:hint="eastAsia" w:ascii="黑体" w:hAnsi="黑体" w:eastAsia="黑体" w:cs="黑体"/>
          <w:sz w:val="32"/>
          <w:szCs w:val="32"/>
        </w:rPr>
      </w:pPr>
      <w:bookmarkStart w:id="14" w:name="_Toc17796_WPSOffice_Level2"/>
      <w:bookmarkStart w:id="15" w:name="_Toc24474_WPSOffice_Level2"/>
      <w:bookmarkStart w:id="16" w:name="_Toc4833_WPSOffice_Level2"/>
      <w:bookmarkStart w:id="17" w:name="_Toc6572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 w:hAnsi="仿宋" w:eastAsia="仿宋" w:cs="仿宋"/>
          <w:bCs/>
          <w:kern w:val="0"/>
          <w:sz w:val="32"/>
          <w:szCs w:val="32"/>
          <w:lang w:val="en-US" w:eastAsia="zh-CN" w:bidi="ar-SA"/>
        </w:rPr>
      </w:pPr>
      <w:r>
        <w:rPr>
          <w:rFonts w:hint="eastAsia" w:ascii="仿宋" w:hAnsi="仿宋" w:eastAsia="仿宋" w:cs="仿宋"/>
          <w:bCs/>
          <w:kern w:val="0"/>
          <w:sz w:val="32"/>
          <w:szCs w:val="32"/>
          <w:lang w:val="en-US" w:eastAsia="zh-CN" w:bidi="ar-SA"/>
        </w:rPr>
        <w:t>屯昌县光明学校为基层预算单位，无下属单位。</w:t>
      </w:r>
    </w:p>
    <w:p>
      <w:pPr>
        <w:spacing w:line="578" w:lineRule="exact"/>
        <w:jc w:val="center"/>
        <w:rPr>
          <w:rFonts w:hint="eastAsia" w:ascii="黑体" w:hAnsi="ˎ̥" w:eastAsia="黑体"/>
          <w:sz w:val="32"/>
          <w:szCs w:val="32"/>
        </w:rPr>
      </w:pPr>
      <w:bookmarkStart w:id="19" w:name="_Toc30690_WPSOffice_Level1"/>
      <w:bookmarkStart w:id="20" w:name="_Toc8164_WPSOffice_Level1"/>
      <w:bookmarkStart w:id="21" w:name="_Toc6234_WPSOffice_Level1"/>
      <w:bookmarkStart w:id="22" w:name="_Toc28253_WPSOffice_Level1"/>
      <w:bookmarkStart w:id="23" w:name="_Toc15521_WPSOffice_Level1"/>
      <w:bookmarkStart w:id="24" w:name="_Toc30451_WPSOffice_Level1"/>
      <w:bookmarkStart w:id="25" w:name="_Toc4029_WPSOffice_Level2"/>
      <w:bookmarkStart w:id="26" w:name="_Toc32472_WPSOffice_Level2"/>
      <w:bookmarkStart w:id="27" w:name="_Toc8867_WPSOffice_Level2"/>
      <w:bookmarkStart w:id="28" w:name="_Toc11518_WPSOffice_Level2"/>
      <w:bookmarkStart w:id="29" w:name="_Toc32695_WPSOffice_Level2"/>
      <w:bookmarkStart w:id="30" w:name="_Toc6211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3139_WPSOffice_Level2"/>
      <w:bookmarkStart w:id="32" w:name="_Toc30334_WPSOffice_Level2"/>
      <w:bookmarkStart w:id="33" w:name="_Toc28622_WPSOffice_Level2"/>
      <w:bookmarkStart w:id="34" w:name="_Toc26621_WPSOffice_Level2"/>
      <w:bookmarkStart w:id="35" w:name="_Toc25608_WPSOffice_Level2"/>
      <w:bookmarkStart w:id="36" w:name="_Toc1434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4658_WPSOffice_Level2"/>
      <w:bookmarkStart w:id="38" w:name="_Toc3262_WPSOffice_Level2"/>
      <w:bookmarkStart w:id="39" w:name="_Toc17626_WPSOffice_Level2"/>
      <w:bookmarkStart w:id="40" w:name="_Toc13854_WPSOffice_Level2"/>
      <w:bookmarkStart w:id="41" w:name="_Toc5489_WPSOffice_Level2"/>
      <w:bookmarkStart w:id="42" w:name="_Toc178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1415_WPSOffice_Level2"/>
      <w:bookmarkStart w:id="44" w:name="_Toc13701_WPSOffice_Level2"/>
      <w:bookmarkStart w:id="45" w:name="_Toc23591_WPSOffice_Level2"/>
      <w:bookmarkStart w:id="46" w:name="_Toc7988_WPSOffice_Level2"/>
      <w:bookmarkStart w:id="47" w:name="_Toc4265_WPSOffice_Level2"/>
      <w:bookmarkStart w:id="48" w:name="_Toc2349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22783_WPSOffice_Level2"/>
      <w:bookmarkStart w:id="51" w:name="_Toc7879_WPSOffice_Level2"/>
      <w:bookmarkStart w:id="52" w:name="_Toc25166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5343_WPSOffice_Level2"/>
      <w:bookmarkStart w:id="56" w:name="_Toc25362_WPSOffice_Level2"/>
      <w:bookmarkStart w:id="57" w:name="_Toc17283_WPSOffice_Level2"/>
      <w:bookmarkStart w:id="58" w:name="_Toc2632_WPSOffice_Level2"/>
      <w:bookmarkStart w:id="59" w:name="_Toc8373_WPSOffice_Level2"/>
      <w:bookmarkStart w:id="60" w:name="_Toc1783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21310_WPSOffice_Level2"/>
      <w:bookmarkStart w:id="62" w:name="_Toc5594_WPSOffice_Level2"/>
      <w:bookmarkStart w:id="63" w:name="_Toc6020_WPSOffice_Level2"/>
      <w:bookmarkStart w:id="64" w:name="_Toc13345_WPSOffice_Level2"/>
      <w:bookmarkStart w:id="65" w:name="_Toc11799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9377_WPSOffice_Level2"/>
      <w:bookmarkStart w:id="68" w:name="_Toc29886_WPSOffice_Level2"/>
      <w:bookmarkStart w:id="69" w:name="_Toc19961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16686_WPSOffice_Level1"/>
      <w:bookmarkStart w:id="72" w:name="_Toc28629_WPSOffice_Level1"/>
      <w:bookmarkStart w:id="73" w:name="_Toc27590_WPSOffice_Level1"/>
      <w:bookmarkStart w:id="74" w:name="_Toc4402_WPSOffice_Level1"/>
      <w:bookmarkStart w:id="75" w:name="_Toc31264_WPSOffice_Level1"/>
      <w:bookmarkStart w:id="76"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学校2024年9月成立，无之前数据对比</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lang w:val="en-US" w:eastAsia="zh-CN"/>
        </w:rPr>
        <w:t>已花完</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lang w:val="en-US" w:eastAsia="zh-CN"/>
        </w:rPr>
        <w:t>学校2024年9月成立，无之前数据</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已花完</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学校2024年9月成立无之前数据对比</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万元，主要是学校2024年9月成立无之前数据</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万元。学校2024年9月成立</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无之前数据对比。</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万元，学校2024年9月成立无之前数据对比。</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万元，学校2024年9月成立无之前数据对比。</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9989_WPSOffice_Level2"/>
      <w:bookmarkStart w:id="78" w:name="_Toc17398_WPSOffice_Level2"/>
      <w:bookmarkStart w:id="79" w:name="_Toc13694_WPSOffice_Level2"/>
      <w:bookmarkStart w:id="80" w:name="_Toc21737_WPSOffice_Level2"/>
      <w:bookmarkStart w:id="81" w:name="_Toc23005_WPSOffice_Level2"/>
      <w:bookmarkStart w:id="82" w:name="_Toc19665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%。学校2024年9月成立无之前数据对比。</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7767_WPSOffice_Level2"/>
      <w:bookmarkStart w:id="84" w:name="_Toc19075_WPSOffice_Level2"/>
      <w:bookmarkStart w:id="85" w:name="_Toc2711_WPSOffice_Level2"/>
      <w:bookmarkStart w:id="86" w:name="_Toc23864_WPSOffice_Level2"/>
      <w:bookmarkStart w:id="87" w:name="_Toc18793_WPSOffice_Level2"/>
      <w:bookmarkStart w:id="88" w:name="_Toc19535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教育支出325.38万元，占100%。</w:t>
      </w: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2318_WPSOffice_Level2"/>
      <w:bookmarkStart w:id="90" w:name="_Toc29364_WPSOffice_Level2"/>
      <w:bookmarkStart w:id="91" w:name="_Toc9502_WPSOffice_Level2"/>
      <w:bookmarkStart w:id="92" w:name="_Toc25136_WPSOffice_Level2"/>
      <w:bookmarkStart w:id="93" w:name="_Toc15415_WPSOffice_Level2"/>
      <w:bookmarkStart w:id="94" w:name="_Toc21701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325.38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教育支出325.38万元，占100%。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325.38</w:t>
      </w:r>
      <w:r>
        <w:rPr>
          <w:rFonts w:hint="eastAsia" w:ascii="仿宋_GB2312" w:hAnsi="ˎ̥" w:eastAsia="仿宋_GB2312"/>
          <w:color w:val="auto"/>
          <w:sz w:val="32"/>
          <w:szCs w:val="32"/>
        </w:rPr>
        <w:t>万元，学校2024年9月成立无</w:t>
      </w:r>
      <w:r>
        <w:rPr>
          <w:rFonts w:hint="eastAsia" w:ascii="仿宋_GB2312" w:hAnsi="ˎ̥" w:eastAsia="仿宋_GB2312"/>
          <w:color w:val="auto"/>
          <w:sz w:val="32"/>
          <w:szCs w:val="32"/>
          <w:lang w:val="en-US" w:eastAsia="zh-CN"/>
        </w:rPr>
        <w:t>年初预算数</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325.38</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0.00</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color w:val="auto"/>
          <w:sz w:val="32"/>
          <w:szCs w:val="32"/>
          <w:lang w:val="en-US" w:eastAsia="zh-CN"/>
        </w:rPr>
        <w:t>325.38</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w:t>
      </w:r>
      <w:r>
        <w:rPr>
          <w:rFonts w:hint="eastAsia" w:ascii="仿宋_GB2312" w:hAnsi="ˎ̥" w:eastAsia="仿宋_GB2312"/>
          <w:sz w:val="32"/>
          <w:szCs w:val="32"/>
        </w:rPr>
        <w:t>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%。学校2024年9月成立无之前数据对比。</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lang w:val="en-US" w:eastAsia="zh-CN"/>
        </w:rPr>
        <w:t>无</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年度单位决算报表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主要原因是</w:t>
      </w:r>
      <w:r>
        <w:rPr>
          <w:rFonts w:hint="eastAsia" w:ascii="仿宋_GB2312" w:hAnsi="ˎ̥" w:eastAsia="仿宋_GB2312"/>
          <w:color w:val="auto"/>
          <w:sz w:val="32"/>
          <w:szCs w:val="32"/>
        </w:rPr>
        <w:t>没有国有资本经营预算。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2024年度国有资本经营预算财政拨款支出0万元，主要用于以下方面：无。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无</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没有</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 xml:space="preserve"> </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 xml:space="preserve"> </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 xml:space="preserve"> </w:t>
      </w:r>
      <w:r>
        <w:rPr>
          <w:rFonts w:hint="eastAsia" w:ascii="仿宋_GB2312" w:hAnsi="ˎ̥" w:eastAsia="仿宋_GB2312"/>
          <w:sz w:val="32"/>
          <w:szCs w:val="32"/>
        </w:rPr>
        <w:t>%。具体情况</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lang w:val="en-US" w:eastAsia="zh-CN"/>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人次。开支内容包括：</w:t>
      </w: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 xml:space="preserve"> 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lang w:val="en-US" w:eastAsia="zh-CN"/>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lang w:val="en-US" w:eastAsia="zh-CN"/>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w:t>
      </w:r>
      <w:r>
        <w:rPr>
          <w:rFonts w:hint="eastAsia" w:ascii="仿宋_GB2312" w:hAnsi="ˎ̥" w:eastAsia="仿宋_GB2312"/>
          <w:sz w:val="32"/>
          <w:szCs w:val="32"/>
        </w:rPr>
        <w:t>数、公务用车保有量，接待团组数、接待人次可取自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ascii="仿宋_GB2312" w:hAnsi="ˎ̥" w:eastAsia="仿宋_GB2312"/>
          <w:sz w:val="32"/>
          <w:szCs w:val="32"/>
        </w:rPr>
        <w:t>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共涉及资金0万元，占一般公共预算项目支出总额的0%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等</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等</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w:t>
      </w:r>
      <w:r>
        <w:rPr>
          <w:rFonts w:hint="eastAsia" w:ascii="仿宋_GB2312" w:eastAsia="仿宋_GB2312"/>
          <w:color w:val="auto"/>
          <w:sz w:val="32"/>
          <w:szCs w:val="32"/>
          <w:lang w:eastAsia="zh-CN"/>
        </w:rPr>
        <w:t>单位</w:t>
      </w:r>
      <w:r>
        <w:rPr>
          <w:rFonts w:hint="eastAsia" w:ascii="仿宋_GB2312" w:eastAsia="仿宋_GB2312"/>
          <w:color w:val="auto"/>
          <w:sz w:val="32"/>
          <w:szCs w:val="32"/>
        </w:rPr>
        <w:t>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从评价情况来看，……（预算</w:t>
      </w:r>
      <w:r>
        <w:rPr>
          <w:rFonts w:hint="eastAsia" w:ascii="仿宋_GB2312" w:eastAsia="仿宋_GB2312"/>
          <w:color w:val="auto"/>
          <w:sz w:val="32"/>
          <w:szCs w:val="32"/>
          <w:lang w:eastAsia="zh-CN"/>
        </w:rPr>
        <w:t>单位</w:t>
      </w:r>
      <w:r>
        <w:rPr>
          <w:rFonts w:hint="eastAsia" w:ascii="仿宋_GB2312" w:eastAsia="仿宋_GB2312"/>
          <w:color w:val="auto"/>
          <w:sz w:val="32"/>
          <w:szCs w:val="32"/>
        </w:rPr>
        <w:t>如有，请对预算绩效评价情况进行简单说明；没有，则简要说明本年没有进行相关工作及理由。</w:t>
      </w:r>
      <w:r>
        <w:rPr>
          <w:rFonts w:hint="eastAsia" w:ascii="仿宋_GB2312" w:eastAsia="仿宋_GB2312"/>
          <w:color w:val="auto"/>
          <w:sz w:val="32"/>
          <w:szCs w:val="32"/>
          <w:lang w:eastAsia="zh-CN"/>
        </w:rPr>
        <w:t>单位</w:t>
      </w:r>
      <w:r>
        <w:rPr>
          <w:rFonts w:hint="eastAsia" w:ascii="仿宋_GB2312" w:eastAsia="仿宋_GB2312"/>
          <w:color w:val="auto"/>
          <w:sz w:val="32"/>
          <w:szCs w:val="32"/>
        </w:rPr>
        <w:t>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b w:val="0"/>
          <w:bCs w:val="0"/>
          <w:color w:val="auto"/>
          <w:sz w:val="32"/>
          <w:szCs w:val="32"/>
        </w:rPr>
      </w:pPr>
      <w:r>
        <w:rPr>
          <w:rFonts w:hint="eastAsia" w:ascii="仿宋_GB2312" w:eastAsia="仿宋_GB2312"/>
          <w:b w:val="0"/>
          <w:bCs w:val="0"/>
          <w:color w:val="auto"/>
          <w:sz w:val="32"/>
          <w:szCs w:val="32"/>
          <w:lang w:val="en-US" w:eastAsia="zh-CN"/>
        </w:rPr>
        <w:t>0</w:t>
      </w:r>
      <w:r>
        <w:rPr>
          <w:rFonts w:hint="eastAsia" w:ascii="仿宋_GB2312" w:eastAsia="仿宋_GB2312"/>
          <w:b w:val="0"/>
          <w:bCs w:val="0"/>
          <w:color w:val="auto"/>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val="en-US" w:eastAsia="zh-CN"/>
        </w:rPr>
        <w:t>0项目绩效自评报告：根据年初设定的绩效目标，项目绩效自评得分为0分。全年预算数为0万元，执行数为0万元，完成预算的0%。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评价项目数量在3个以内的，至少将1个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评价项目数量大于3个的，至少将2个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eastAsia="仿宋_GB2312"/>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反映财政单位组织开展的预算单位重点项目财政评价情况，如有，可将评价报告附后。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5978_WPSOffice_Level2"/>
      <w:bookmarkStart w:id="96" w:name="_Toc15565_WPSOffice_Level2"/>
      <w:bookmarkStart w:id="97" w:name="_Toc15262_WPSOffice_Level2"/>
      <w:bookmarkStart w:id="98" w:name="_Toc18325_WPSOffice_Level2"/>
      <w:bookmarkStart w:id="99" w:name="_Toc32639_WPSOffice_Level2"/>
      <w:bookmarkStart w:id="100" w:name="_Toc23598_WPSOffice_Level2"/>
      <w:r>
        <w:rPr>
          <w:rFonts w:hint="eastAsia" w:ascii="楷体" w:hAnsi="楷体" w:eastAsia="楷体" w:cs="楷体"/>
          <w:bCs/>
          <w:sz w:val="32"/>
          <w:szCs w:val="32"/>
        </w:rPr>
        <w:t>（</w:t>
      </w:r>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屯昌县光明学校机关</w:t>
      </w:r>
      <w:r>
        <w:rPr>
          <w:rFonts w:hint="eastAsia" w:ascii="仿宋_GB2312" w:hAnsi="ˎ̥" w:eastAsia="仿宋_GB2312"/>
          <w:color w:val="auto"/>
          <w:sz w:val="32"/>
          <w:szCs w:val="32"/>
        </w:rPr>
        <w:t>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w:t>
      </w:r>
      <w:r>
        <w:rPr>
          <w:rFonts w:hint="eastAsia" w:ascii="仿宋_GB2312" w:hAnsi="ˎ̥" w:eastAsia="仿宋_GB2312"/>
          <w:sz w:val="32"/>
          <w:szCs w:val="32"/>
        </w:rPr>
        <w:t>意</w:t>
      </w:r>
      <w:r>
        <w:rPr>
          <w:rFonts w:hint="eastAsia" w:ascii="仿宋_GB2312" w:hAnsi="ˎ̥" w:eastAsia="仿宋_GB2312"/>
          <w:sz w:val="32"/>
          <w:szCs w:val="32"/>
          <w:lang w:eastAsia="zh-CN"/>
        </w:rPr>
        <w:t>单位</w:t>
      </w:r>
      <w:r>
        <w:rPr>
          <w:rFonts w:hint="eastAsia" w:ascii="仿宋_GB2312" w:hAnsi="ˎ̥" w:eastAsia="仿宋_GB2312"/>
          <w:sz w:val="32"/>
          <w:szCs w:val="32"/>
        </w:rPr>
        <w:t>汇总公开决算时，因事业单位没有机关运行经费支出，故</w:t>
      </w:r>
      <w:r>
        <w:rPr>
          <w:rFonts w:hint="eastAsia" w:ascii="仿宋_GB2312" w:hAnsi="ˎ̥" w:eastAsia="仿宋_GB2312"/>
          <w:sz w:val="32"/>
          <w:szCs w:val="32"/>
          <w:lang w:eastAsia="zh-CN"/>
        </w:rPr>
        <w:t>单位</w:t>
      </w:r>
      <w:r>
        <w:rPr>
          <w:rFonts w:hint="eastAsia" w:ascii="仿宋_GB2312" w:hAnsi="ˎ̥" w:eastAsia="仿宋_GB2312"/>
          <w:sz w:val="32"/>
          <w:szCs w:val="32"/>
        </w:rPr>
        <w:t>汇总的机关运行经费预算数应为</w:t>
      </w:r>
      <w:r>
        <w:rPr>
          <w:rFonts w:hint="eastAsia" w:ascii="仿宋_GB2312" w:hAnsi="ˎ̥" w:eastAsia="仿宋_GB2312"/>
          <w:sz w:val="32"/>
          <w:szCs w:val="32"/>
          <w:lang w:eastAsia="zh-CN"/>
        </w:rPr>
        <w:t>单位</w:t>
      </w:r>
      <w:r>
        <w:rPr>
          <w:rFonts w:hint="eastAsia" w:ascii="仿宋_GB2312" w:hAnsi="ˎ̥" w:eastAsia="仿宋_GB2312"/>
          <w:sz w:val="32"/>
          <w:szCs w:val="32"/>
        </w:rPr>
        <w:t>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13084_WPSOffice_Level2"/>
      <w:bookmarkStart w:id="102" w:name="_Toc25333_WPSOffice_Level2"/>
      <w:bookmarkStart w:id="103" w:name="_Toc23966_WPSOffice_Level2"/>
      <w:bookmarkStart w:id="104" w:name="_Toc32689_WPSOffice_Level2"/>
      <w:bookmarkStart w:id="105" w:name="_Toc3131_WPSOffice_Level2"/>
      <w:bookmarkStart w:id="106" w:name="_Toc30383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屯昌县光明学校</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决算报表F03表《机构运行信息表》，授予中小企业和小微企业合同金额由各</w:t>
      </w:r>
      <w:r>
        <w:rPr>
          <w:rFonts w:hint="eastAsia" w:ascii="仿宋_GB2312" w:hAnsi="ˎ̥" w:eastAsia="仿宋_GB2312"/>
          <w:sz w:val="32"/>
          <w:szCs w:val="32"/>
          <w:lang w:eastAsia="zh-CN"/>
        </w:rPr>
        <w:t>单位</w:t>
      </w:r>
      <w:r>
        <w:rPr>
          <w:rFonts w:hint="eastAsia" w:ascii="仿宋_GB2312" w:hAnsi="ˎ̥" w:eastAsia="仿宋_GB2312"/>
          <w:sz w:val="32"/>
          <w:szCs w:val="32"/>
        </w:rPr>
        <w:t>查阅本</w:t>
      </w:r>
      <w:r>
        <w:rPr>
          <w:rFonts w:hint="eastAsia" w:ascii="仿宋_GB2312" w:hAnsi="ˎ̥" w:eastAsia="仿宋_GB2312"/>
          <w:sz w:val="32"/>
          <w:szCs w:val="32"/>
          <w:lang w:eastAsia="zh-CN"/>
        </w:rPr>
        <w:t>单位</w:t>
      </w:r>
      <w:r>
        <w:rPr>
          <w:rFonts w:hint="eastAsia" w:ascii="仿宋_GB2312" w:hAnsi="ˎ̥" w:eastAsia="仿宋_GB2312"/>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9989_WPSOffice_Level2"/>
      <w:bookmarkStart w:id="108" w:name="_Toc15129_WPSOffice_Level2"/>
      <w:bookmarkStart w:id="109" w:name="_Toc6016_WPSOffice_Level2"/>
      <w:bookmarkStart w:id="110" w:name="_Toc527_WPSOffice_Level2"/>
      <w:bookmarkStart w:id="111" w:name="_Toc29584_WPSOffice_Level2"/>
      <w:bookmarkStart w:id="112" w:name="_Toc10902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w:t>
      </w:r>
      <w:r>
        <w:rPr>
          <w:rFonts w:hint="eastAsia" w:ascii="仿宋_GB2312" w:hAnsi="ˎ̥" w:eastAsia="仿宋_GB2312"/>
          <w:bCs/>
          <w:sz w:val="32"/>
          <w:szCs w:val="32"/>
          <w:lang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11985</w:t>
      </w:r>
      <w:r>
        <w:rPr>
          <w:rFonts w:hint="eastAsia" w:ascii="仿宋_GB2312" w:hAnsi="ˎ̥" w:eastAsia="仿宋_GB2312"/>
          <w:sz w:val="32"/>
          <w:szCs w:val="32"/>
        </w:rPr>
        <w:t>平方米</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11039_WPSOffice_Level1"/>
      <w:bookmarkStart w:id="114" w:name="_Toc8874_WPSOffice_Level1"/>
      <w:bookmarkStart w:id="115" w:name="_Toc17580_WPSOffice_Level1"/>
      <w:bookmarkStart w:id="116" w:name="_Toc15425_WPSOffice_Level1"/>
      <w:bookmarkStart w:id="117" w:name="_Toc4398_WPSOffice_Level1"/>
      <w:bookmarkStart w:id="118" w:name="_Toc880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98E1D2"/>
    <w:multiLevelType w:val="singleLevel"/>
    <w:tmpl w:val="AE98E1D2"/>
    <w:lvl w:ilvl="0" w:tentative="0">
      <w:start w:val="1"/>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78B4994"/>
    <w:rsid w:val="09201287"/>
    <w:rsid w:val="0FC80124"/>
    <w:rsid w:val="136F98C7"/>
    <w:rsid w:val="17427E68"/>
    <w:rsid w:val="1755065F"/>
    <w:rsid w:val="1AFC29C9"/>
    <w:rsid w:val="1CA52F2E"/>
    <w:rsid w:val="1E3630B9"/>
    <w:rsid w:val="20E406FC"/>
    <w:rsid w:val="26EEC2B5"/>
    <w:rsid w:val="29472309"/>
    <w:rsid w:val="2B406E77"/>
    <w:rsid w:val="2C2A0C43"/>
    <w:rsid w:val="2D1E73A5"/>
    <w:rsid w:val="32717154"/>
    <w:rsid w:val="34B63260"/>
    <w:rsid w:val="37FDA7E2"/>
    <w:rsid w:val="3A314D88"/>
    <w:rsid w:val="3A746883"/>
    <w:rsid w:val="3CA15DE9"/>
    <w:rsid w:val="3FE61EE5"/>
    <w:rsid w:val="406508EE"/>
    <w:rsid w:val="40765E90"/>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7193</Words>
  <Characters>8078</Characters>
  <Lines>67</Lines>
  <Paragraphs>18</Paragraphs>
  <TotalTime>10</TotalTime>
  <ScaleCrop>false</ScaleCrop>
  <LinksUpToDate>false</LinksUpToDate>
  <CharactersWithSpaces>8164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2025-10-27T08:59:42Z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CD25CAC3DD68401EA2E6542F06CD9452_13</vt:lpwstr>
  </property>
  <property fmtid="{D5CDD505-2E9C-101B-9397-08002B2CF9AE}" pid="4" name="KSOTemplateDocerSaveRecord">
    <vt:lpwstr>eyJoZGlkIjoiNTJjZDEwNTgzN2E2NmExN2JkOGQ4NzMyMmY1NjMyNzMiLCJ1c2VySWQiOiI0OTE1NDgzMTYifQ==</vt:lpwstr>
  </property>
</Properties>
</file>