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屯昌县乌坡镇第二幼儿园2024年度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center"/>
        <w:rPr>
          <w:rFonts w:hint="eastAsia" w:ascii="黑体" w:hAnsi="ˎ̥" w:eastAsia="黑体"/>
          <w:color w:val="auto"/>
          <w:sz w:val="32"/>
          <w:szCs w:val="32"/>
        </w:rPr>
      </w:pPr>
      <w:bookmarkStart w:id="2" w:name="_Toc10049_WPSOffice_Level1"/>
      <w:bookmarkStart w:id="3" w:name="_Toc10720_WPSOffice_Level1"/>
      <w:bookmarkStart w:id="4" w:name="_Toc22941_WPSOffice_Level1"/>
      <w:bookmarkStart w:id="5" w:name="_Toc32433_WPSOffice_Level1"/>
      <w:bookmarkStart w:id="6" w:name="_Toc1704_WPSOffice_Level1"/>
      <w:bookmarkStart w:id="7" w:name="_Toc23465_WPSOffice_Level1"/>
      <w:bookmarkStart w:id="8" w:name="_Toc24238_WPSOffice_Level2"/>
      <w:bookmarkStart w:id="9" w:name="_Toc14159_WPSOffice_Level2"/>
      <w:bookmarkStart w:id="10" w:name="_Toc32622_WPSOffice_Level2"/>
      <w:bookmarkStart w:id="11" w:name="_Toc26580_WPSOffice_Level2"/>
      <w:bookmarkStart w:id="12" w:name="_Toc20274_WPSOffice_Level2"/>
      <w:bookmarkStart w:id="13" w:name="_Toc20205_WPSOffice_Level2"/>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bookmarkStart w:id="96" w:name="_GoBack"/>
      <w:bookmarkEnd w:id="96"/>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p>
    <w:p>
      <w:pPr>
        <w:keepNext w:val="0"/>
        <w:keepLines w:val="0"/>
        <w:widowControl/>
        <w:suppressLineNumbers w:val="0"/>
        <w:ind w:left="0" w:leftChars="0" w:firstLine="640" w:firstLineChars="200"/>
        <w:jc w:val="left"/>
        <w:rPr>
          <w:rFonts w:hint="default"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 xml:space="preserve"> 本单位为2022年9月新建园所。</w:t>
      </w:r>
    </w:p>
    <w:p>
      <w:pPr>
        <w:keepNext w:val="0"/>
        <w:keepLines w:val="0"/>
        <w:widowControl/>
        <w:suppressLineNumbers w:val="0"/>
        <w:ind w:left="0" w:leftChars="0" w:firstLine="640" w:firstLineChars="200"/>
        <w:jc w:val="left"/>
        <w:rPr>
          <w:rFonts w:hint="eastAsia" w:ascii="仿宋_GB2312" w:hAnsi="宋体" w:eastAsia="仿宋_GB2312" w:cs="仿宋_GB2312"/>
          <w:color w:val="auto"/>
          <w:kern w:val="0"/>
          <w:sz w:val="32"/>
          <w:szCs w:val="32"/>
        </w:rPr>
      </w:pPr>
      <w:r>
        <w:rPr>
          <w:rFonts w:hint="eastAsia" w:ascii="仿宋_GB2312" w:hAnsi="宋体" w:eastAsia="仿宋_GB2312" w:cs="仿宋_GB2312"/>
          <w:color w:val="auto"/>
          <w:kern w:val="0"/>
          <w:sz w:val="32"/>
          <w:szCs w:val="32"/>
        </w:rPr>
        <w:t>（一）实行保育和教育相结合的原则，为家长解除后顾之忧，热忱为家长服务。</w:t>
      </w:r>
    </w:p>
    <w:p>
      <w:pPr>
        <w:keepNext w:val="0"/>
        <w:keepLines w:val="0"/>
        <w:widowControl/>
        <w:suppressLineNumbers w:val="0"/>
        <w:ind w:left="0" w:leftChars="0" w:firstLine="640" w:firstLineChars="200"/>
        <w:jc w:val="left"/>
        <w:rPr>
          <w:rFonts w:hint="eastAsia" w:ascii="仿宋_GB2312" w:hAnsi="宋体" w:eastAsia="仿宋_GB2312" w:cs="仿宋_GB2312"/>
          <w:color w:val="auto"/>
          <w:kern w:val="0"/>
          <w:sz w:val="32"/>
          <w:szCs w:val="32"/>
        </w:rPr>
      </w:pPr>
      <w:r>
        <w:rPr>
          <w:rFonts w:hint="eastAsia" w:ascii="仿宋_GB2312" w:hAnsi="宋体" w:eastAsia="仿宋_GB2312" w:cs="仿宋_GB2312"/>
          <w:color w:val="auto"/>
          <w:kern w:val="0"/>
          <w:sz w:val="32"/>
          <w:szCs w:val="32"/>
        </w:rPr>
        <w:t>（二）为儿童提供健康、丰富的生活和活动环境，促进幼儿体智德美等和谐发展，全面实施素质教育。</w:t>
      </w:r>
    </w:p>
    <w:p>
      <w:pPr>
        <w:keepNext w:val="0"/>
        <w:keepLines w:val="0"/>
        <w:widowControl/>
        <w:suppressLineNumbers w:val="0"/>
        <w:ind w:left="0" w:leftChars="0" w:firstLine="640" w:firstLineChars="200"/>
        <w:jc w:val="left"/>
        <w:rPr>
          <w:rFonts w:hint="eastAsia" w:ascii="仿宋_GB2312" w:hAnsi="宋体" w:eastAsia="仿宋_GB2312" w:cs="仿宋_GB2312"/>
          <w:color w:val="auto"/>
          <w:kern w:val="0"/>
          <w:sz w:val="32"/>
          <w:szCs w:val="32"/>
        </w:rPr>
      </w:pPr>
      <w:r>
        <w:rPr>
          <w:rFonts w:hint="eastAsia" w:ascii="仿宋_GB2312" w:hAnsi="宋体" w:eastAsia="仿宋_GB2312" w:cs="仿宋_GB2312"/>
          <w:color w:val="auto"/>
          <w:kern w:val="0"/>
          <w:sz w:val="32"/>
          <w:szCs w:val="32"/>
        </w:rPr>
        <w:t>（三）严格执行幼儿园安全、卫生保健制度，保证幼儿身心健康和生命安全。</w:t>
      </w:r>
    </w:p>
    <w:p>
      <w:pPr>
        <w:keepNext w:val="0"/>
        <w:keepLines w:val="0"/>
        <w:widowControl/>
        <w:suppressLineNumbers w:val="0"/>
        <w:ind w:left="0" w:leftChars="0" w:firstLine="640" w:firstLineChars="200"/>
        <w:jc w:val="left"/>
        <w:rPr>
          <w:rFonts w:hint="eastAsia" w:ascii="仿宋_GB2312" w:hAnsi="宋体" w:eastAsia="仿宋_GB2312" w:cs="仿宋_GB2312"/>
          <w:color w:val="auto"/>
          <w:kern w:val="0"/>
          <w:sz w:val="32"/>
          <w:szCs w:val="32"/>
        </w:rPr>
      </w:pPr>
      <w:r>
        <w:rPr>
          <w:rFonts w:hint="eastAsia" w:ascii="仿宋_GB2312" w:hAnsi="宋体" w:eastAsia="仿宋_GB2312" w:cs="仿宋_GB2312"/>
          <w:color w:val="auto"/>
          <w:kern w:val="0"/>
          <w:sz w:val="32"/>
          <w:szCs w:val="32"/>
        </w:rPr>
        <w:t>（四）充分利用幼儿和社区的资源优势，面向家长开展多种形式的早期教育宣传、指导等服务，促进家庭教育质量的不断提高。</w:t>
      </w:r>
    </w:p>
    <w:p>
      <w:pPr>
        <w:keepNext w:val="0"/>
        <w:keepLines w:val="0"/>
        <w:widowControl/>
        <w:suppressLineNumbers w:val="0"/>
        <w:ind w:left="0" w:leftChars="0" w:firstLine="640" w:firstLineChars="200"/>
        <w:jc w:val="left"/>
        <w:rPr>
          <w:rFonts w:hint="eastAsia" w:ascii="仿宋_GB2312" w:hAnsi="宋体" w:eastAsia="仿宋_GB2312" w:cs="仿宋_GB2312"/>
          <w:color w:val="auto"/>
          <w:kern w:val="0"/>
          <w:sz w:val="32"/>
          <w:szCs w:val="32"/>
        </w:rPr>
      </w:pPr>
      <w:r>
        <w:rPr>
          <w:rFonts w:hint="eastAsia" w:ascii="仿宋_GB2312" w:hAnsi="宋体" w:eastAsia="仿宋_GB2312" w:cs="仿宋_GB2312"/>
          <w:color w:val="auto"/>
          <w:kern w:val="0"/>
          <w:sz w:val="32"/>
          <w:szCs w:val="32"/>
        </w:rPr>
        <w:t>（五）贯彻幼儿教育法规、传播科学教育理念、开展教育科学研究、培训师资，发挥示范性幼儿园的示范、辐射作用。</w:t>
      </w:r>
    </w:p>
    <w:p>
      <w:pPr>
        <w:keepNext w:val="0"/>
        <w:keepLines w:val="0"/>
        <w:widowControl/>
        <w:suppressLineNumbers w:val="0"/>
        <w:spacing w:before="0" w:beforeAutospacing="0" w:after="100" w:afterAutospacing="1"/>
        <w:ind w:leftChars="200" w:right="0" w:rightChars="0"/>
        <w:jc w:val="left"/>
        <w:rPr>
          <w:rFonts w:hint="default" w:ascii="黑体" w:hAnsi="黑体" w:eastAsia="黑体" w:cs="黑体"/>
          <w:color w:val="auto"/>
          <w:sz w:val="32"/>
          <w:szCs w:val="32"/>
          <w:lang w:val="en-US" w:eastAsia="zh-CN"/>
        </w:rPr>
      </w:pPr>
      <w:r>
        <w:rPr>
          <w:rFonts w:hint="eastAsia" w:ascii="仿宋_GB2312" w:hAnsi="宋体" w:eastAsia="仿宋_GB2312" w:cs="仿宋_GB2312"/>
          <w:color w:val="auto"/>
          <w:kern w:val="0"/>
          <w:sz w:val="32"/>
          <w:szCs w:val="32"/>
        </w:rPr>
        <w:t>（六）承办上级主管</w:t>
      </w:r>
      <w:r>
        <w:rPr>
          <w:rFonts w:hint="eastAsia" w:ascii="仿宋_GB2312" w:hAnsi="宋体" w:eastAsia="仿宋_GB2312" w:cs="仿宋_GB2312"/>
          <w:color w:val="auto"/>
          <w:kern w:val="0"/>
          <w:sz w:val="32"/>
          <w:szCs w:val="32"/>
          <w:lang w:eastAsia="zh-CN"/>
        </w:rPr>
        <w:t>单位</w:t>
      </w:r>
      <w:r>
        <w:rPr>
          <w:rFonts w:hint="eastAsia" w:ascii="仿宋_GB2312" w:hAnsi="宋体" w:eastAsia="仿宋_GB2312" w:cs="仿宋_GB2312"/>
          <w:color w:val="auto"/>
          <w:kern w:val="0"/>
          <w:sz w:val="32"/>
          <w:szCs w:val="32"/>
        </w:rPr>
        <w:t>交办的其他工作。</w:t>
      </w: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p>
    <w:p>
      <w:pPr>
        <w:keepNext w:val="0"/>
        <w:keepLines w:val="0"/>
        <w:widowControl/>
        <w:suppressLineNumbers w:val="0"/>
        <w:spacing w:before="100" w:beforeAutospacing="1" w:after="100" w:afterAutospacing="1"/>
        <w:ind w:left="0" w:right="0" w:firstLine="640" w:firstLineChars="200"/>
        <w:rPr>
          <w:rFonts w:hint="eastAsia" w:ascii="黑体" w:hAnsi="ˎ̥" w:eastAsia="黑体"/>
          <w:color w:val="auto"/>
          <w:sz w:val="32"/>
          <w:szCs w:val="32"/>
        </w:rPr>
      </w:pPr>
      <w:r>
        <w:rPr>
          <w:rFonts w:hint="eastAsia" w:ascii="仿宋_GB2312" w:hAnsi="ˎ̥" w:eastAsia="仿宋_GB2312" w:cs="仿宋_GB2312"/>
          <w:color w:val="auto"/>
          <w:kern w:val="0"/>
          <w:sz w:val="32"/>
          <w:szCs w:val="32"/>
        </w:rPr>
        <w:t>本单位纳入2022年度</w:t>
      </w:r>
      <w:r>
        <w:rPr>
          <w:rFonts w:hint="eastAsia" w:ascii="仿宋_GB2312" w:hAnsi="ˎ̥" w:eastAsia="仿宋_GB2312" w:cs="仿宋_GB2312"/>
          <w:color w:val="auto"/>
          <w:kern w:val="0"/>
          <w:sz w:val="32"/>
          <w:szCs w:val="32"/>
          <w:lang w:eastAsia="zh-CN"/>
        </w:rPr>
        <w:t>单位</w:t>
      </w:r>
      <w:r>
        <w:rPr>
          <w:rFonts w:hint="eastAsia" w:ascii="仿宋_GB2312" w:hAnsi="ˎ̥" w:eastAsia="仿宋_GB2312" w:cs="仿宋_GB2312"/>
          <w:color w:val="auto"/>
          <w:kern w:val="0"/>
          <w:sz w:val="32"/>
          <w:szCs w:val="32"/>
        </w:rPr>
        <w:t>决算编制，</w:t>
      </w:r>
      <w:r>
        <w:rPr>
          <w:rFonts w:hint="eastAsia" w:ascii="仿宋_GB2312" w:hAnsi="宋体" w:eastAsia="仿宋_GB2312" w:cs="仿宋_GB2312"/>
          <w:color w:val="auto"/>
          <w:kern w:val="0"/>
          <w:sz w:val="32"/>
          <w:szCs w:val="32"/>
        </w:rPr>
        <w:t>屯昌县乌坡镇中心幼儿园是县编委会决定成立的幼儿园，隶属屯昌县教育局，为财政预算管理公益二类事业单位，不定级别，无下属单位。</w:t>
      </w:r>
    </w:p>
    <w:p>
      <w:pPr>
        <w:spacing w:line="578" w:lineRule="exact"/>
        <w:ind w:firstLine="640" w:firstLineChars="200"/>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14" w:name="_Toc8164_WPSOffice_Level1"/>
      <w:bookmarkStart w:id="15" w:name="_Toc15521_WPSOffice_Level1"/>
      <w:bookmarkStart w:id="16" w:name="_Toc28253_WPSOffice_Level1"/>
      <w:bookmarkStart w:id="17" w:name="_Toc30690_WPSOffice_Level1"/>
      <w:bookmarkStart w:id="18" w:name="_Toc30451_WPSOffice_Level1"/>
      <w:bookmarkStart w:id="19" w:name="_Toc6234_WPSOffice_Level1"/>
      <w:bookmarkStart w:id="20" w:name="_Toc32695_WPSOffice_Level2"/>
      <w:bookmarkStart w:id="21" w:name="_Toc32472_WPSOffice_Level2"/>
      <w:bookmarkStart w:id="22" w:name="_Toc4029_WPSOffice_Level2"/>
      <w:bookmarkStart w:id="23" w:name="_Toc8867_WPSOffice_Level2"/>
      <w:bookmarkStart w:id="24" w:name="_Toc11518_WPSOffice_Level2"/>
      <w:bookmarkStart w:id="25" w:name="_Toc6211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4"/>
      <w:bookmarkEnd w:id="15"/>
      <w:bookmarkEnd w:id="16"/>
      <w:bookmarkEnd w:id="17"/>
      <w:bookmarkEnd w:id="18"/>
      <w:bookmarkEnd w:id="19"/>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0"/>
      <w:bookmarkEnd w:id="21"/>
      <w:bookmarkEnd w:id="22"/>
      <w:bookmarkEnd w:id="23"/>
      <w:bookmarkEnd w:id="24"/>
      <w:bookmarkEnd w:id="25"/>
    </w:p>
    <w:p>
      <w:pPr>
        <w:spacing w:line="578" w:lineRule="exact"/>
        <w:ind w:firstLine="645"/>
        <w:rPr>
          <w:rFonts w:hint="eastAsia" w:ascii="黑体" w:hAnsi="黑体" w:eastAsia="黑体" w:cs="黑体"/>
          <w:color w:val="auto"/>
          <w:sz w:val="32"/>
          <w:szCs w:val="32"/>
        </w:rPr>
      </w:pPr>
      <w:bookmarkStart w:id="26" w:name="_Toc25608_WPSOffice_Level2"/>
      <w:bookmarkStart w:id="27" w:name="_Toc26621_WPSOffice_Level2"/>
      <w:bookmarkStart w:id="28" w:name="_Toc14349_WPSOffice_Level2"/>
      <w:bookmarkStart w:id="29" w:name="_Toc30334_WPSOffice_Level2"/>
      <w:bookmarkStart w:id="30" w:name="_Toc28622_WPSOffice_Level2"/>
      <w:bookmarkStart w:id="31" w:name="_Toc23139_WPSOffice_Level2"/>
      <w:r>
        <w:rPr>
          <w:rFonts w:hint="eastAsia" w:ascii="黑体" w:hAnsi="黑体" w:eastAsia="黑体" w:cs="黑体"/>
          <w:color w:val="auto"/>
          <w:sz w:val="32"/>
          <w:szCs w:val="32"/>
        </w:rPr>
        <w:t>二、收入决算公开表</w:t>
      </w:r>
      <w:bookmarkEnd w:id="26"/>
      <w:bookmarkEnd w:id="27"/>
      <w:bookmarkEnd w:id="28"/>
      <w:bookmarkEnd w:id="29"/>
      <w:bookmarkEnd w:id="30"/>
      <w:bookmarkEnd w:id="31"/>
      <w:bookmarkStart w:id="32" w:name="_Toc13854_WPSOffice_Level2"/>
      <w:bookmarkStart w:id="33" w:name="_Toc14658_WPSOffice_Level2"/>
      <w:bookmarkStart w:id="34" w:name="_Toc17626_WPSOffice_Level2"/>
      <w:bookmarkStart w:id="35" w:name="_Toc17858_WPSOffice_Level2"/>
      <w:bookmarkStart w:id="36" w:name="_Toc3262_WPSOffice_Level2"/>
      <w:bookmarkStart w:id="37" w:name="_Toc5489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2"/>
      <w:bookmarkEnd w:id="33"/>
      <w:bookmarkEnd w:id="34"/>
      <w:bookmarkEnd w:id="35"/>
      <w:bookmarkEnd w:id="36"/>
      <w:bookmarkEnd w:id="37"/>
      <w:bookmarkStart w:id="38" w:name="_Toc13701_WPSOffice_Level2"/>
      <w:bookmarkStart w:id="39" w:name="_Toc7988_WPSOffice_Level2"/>
      <w:bookmarkStart w:id="40" w:name="_Toc4265_WPSOffice_Level2"/>
      <w:bookmarkStart w:id="41" w:name="_Toc23591_WPSOffice_Level2"/>
      <w:bookmarkStart w:id="42" w:name="_Toc23493_WPSOffice_Level2"/>
      <w:bookmarkStart w:id="43" w:name="_Toc2141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38"/>
      <w:bookmarkEnd w:id="39"/>
      <w:bookmarkEnd w:id="40"/>
      <w:bookmarkEnd w:id="41"/>
      <w:bookmarkEnd w:id="42"/>
      <w:bookmarkEnd w:id="43"/>
    </w:p>
    <w:p>
      <w:pPr>
        <w:spacing w:line="578" w:lineRule="exact"/>
        <w:ind w:firstLine="645"/>
        <w:rPr>
          <w:rFonts w:hint="eastAsia" w:ascii="黑体" w:hAnsi="黑体" w:eastAsia="黑体" w:cs="黑体"/>
          <w:color w:val="auto"/>
          <w:sz w:val="32"/>
          <w:szCs w:val="32"/>
        </w:rPr>
      </w:pPr>
      <w:bookmarkStart w:id="44" w:name="_Toc23829_WPSOffice_Level2"/>
      <w:bookmarkStart w:id="45" w:name="_Toc25166_WPSOffice_Level2"/>
      <w:bookmarkStart w:id="46" w:name="_Toc22783_WPSOffice_Level2"/>
      <w:bookmarkStart w:id="47" w:name="_Toc7879_WPSOffice_Level2"/>
      <w:bookmarkStart w:id="48" w:name="_Toc13516_WPSOffice_Level2"/>
      <w:bookmarkStart w:id="49" w:name="_Toc2158_WPSOffice_Level2"/>
      <w:r>
        <w:rPr>
          <w:rFonts w:hint="eastAsia" w:ascii="黑体" w:hAnsi="黑体" w:eastAsia="黑体" w:cs="黑体"/>
          <w:color w:val="auto"/>
          <w:sz w:val="32"/>
          <w:szCs w:val="32"/>
        </w:rPr>
        <w:t>五、一般公共预算财政拨款收入支出决算</w:t>
      </w:r>
      <w:bookmarkEnd w:id="44"/>
      <w:bookmarkEnd w:id="45"/>
      <w:bookmarkEnd w:id="46"/>
      <w:bookmarkEnd w:id="47"/>
      <w:r>
        <w:rPr>
          <w:rFonts w:hint="eastAsia" w:ascii="黑体" w:hAnsi="黑体" w:eastAsia="黑体" w:cs="黑体"/>
          <w:color w:val="auto"/>
          <w:sz w:val="32"/>
          <w:szCs w:val="32"/>
        </w:rPr>
        <w:t>公开表</w:t>
      </w:r>
      <w:bookmarkEnd w:id="48"/>
      <w:bookmarkEnd w:id="49"/>
      <w:bookmarkStart w:id="50" w:name="_Toc8373_WPSOffice_Level2"/>
      <w:bookmarkStart w:id="51" w:name="_Toc17283_WPSOffice_Level2"/>
      <w:bookmarkStart w:id="52" w:name="_Toc25362_WPSOffice_Level2"/>
      <w:bookmarkStart w:id="53" w:name="_Toc2632_WPSOffice_Level2"/>
      <w:bookmarkStart w:id="54" w:name="_Toc17833_WPSOffice_Level2"/>
      <w:bookmarkStart w:id="55" w:name="_Toc534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0"/>
      <w:bookmarkEnd w:id="51"/>
      <w:bookmarkEnd w:id="52"/>
      <w:bookmarkEnd w:id="53"/>
      <w:bookmarkEnd w:id="54"/>
      <w:bookmarkEnd w:id="55"/>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56" w:name="_Toc1533_WPSOffice_Level2"/>
      <w:bookmarkStart w:id="57" w:name="_Toc13345_WPSOffice_Level2"/>
      <w:bookmarkStart w:id="58" w:name="_Toc21310_WPSOffice_Level2"/>
      <w:bookmarkStart w:id="59" w:name="_Toc6020_WPSOffice_Level2"/>
      <w:bookmarkStart w:id="60" w:name="_Toc5594_WPSOffice_Level2"/>
      <w:bookmarkStart w:id="61" w:name="_Toc11799_WPSOffice_Level2"/>
      <w:r>
        <w:rPr>
          <w:rFonts w:hint="eastAsia" w:ascii="黑体" w:hAnsi="黑体" w:eastAsia="黑体" w:cs="黑体"/>
          <w:color w:val="auto"/>
          <w:sz w:val="32"/>
          <w:szCs w:val="32"/>
        </w:rPr>
        <w:t>七、政府性基金预算财政拨款收入支出决算</w:t>
      </w:r>
      <w:bookmarkEnd w:id="56"/>
      <w:bookmarkEnd w:id="57"/>
      <w:bookmarkEnd w:id="58"/>
      <w:bookmarkEnd w:id="59"/>
      <w:bookmarkEnd w:id="60"/>
      <w:bookmarkEnd w:id="61"/>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2" w:name="_Toc9377_WPSOffice_Level2"/>
      <w:bookmarkStart w:id="63" w:name="_Toc19961_WPSOffice_Level2"/>
      <w:bookmarkStart w:id="64" w:name="_Toc29886_WPSOffice_Level2"/>
      <w:bookmarkStart w:id="65" w:name="_Toc1820_WPSOffice_Level2"/>
      <w:r>
        <w:rPr>
          <w:rFonts w:hint="eastAsia" w:ascii="黑体" w:hAnsi="黑体" w:eastAsia="黑体" w:cs="黑体"/>
          <w:color w:val="auto"/>
          <w:sz w:val="32"/>
          <w:szCs w:val="32"/>
        </w:rPr>
        <w:t>九、财政拨款“三公”经费支出决算</w:t>
      </w:r>
      <w:bookmarkEnd w:id="62"/>
      <w:bookmarkEnd w:id="63"/>
      <w:bookmarkEnd w:id="64"/>
      <w:bookmarkEnd w:id="65"/>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66" w:name="_Toc29683_WPSOffice_Level1"/>
      <w:bookmarkStart w:id="67" w:name="_Toc16686_WPSOffice_Level1"/>
      <w:bookmarkStart w:id="68" w:name="_Toc27590_WPSOffice_Level1"/>
      <w:bookmarkStart w:id="69" w:name="_Toc31264_WPSOffice_Level1"/>
      <w:bookmarkStart w:id="70" w:name="_Toc28629_WPSOffice_Level1"/>
      <w:bookmarkStart w:id="71" w:name="_Toc4402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66"/>
      <w:bookmarkEnd w:id="67"/>
      <w:bookmarkEnd w:id="68"/>
      <w:bookmarkEnd w:id="69"/>
      <w:bookmarkEnd w:id="70"/>
      <w:bookmarkEnd w:id="71"/>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66.57</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万元，主要原因是一是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66.57</w:t>
      </w:r>
      <w:r>
        <w:rPr>
          <w:rFonts w:hint="eastAsia" w:ascii="仿宋_GB2312" w:hAnsi="ˎ̥" w:eastAsia="仿宋_GB2312"/>
          <w:color w:val="auto"/>
          <w:sz w:val="32"/>
          <w:szCs w:val="32"/>
        </w:rPr>
        <w:t>%，主要原因是一是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66.57</w:t>
      </w:r>
      <w:r>
        <w:rPr>
          <w:rFonts w:hint="eastAsia" w:ascii="仿宋_GB2312" w:hAnsi="ˎ̥" w:eastAsia="仿宋_GB2312"/>
          <w:color w:val="auto"/>
          <w:sz w:val="32"/>
          <w:szCs w:val="32"/>
        </w:rPr>
        <w:t>%，主要原因是一是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w:t>
      </w:r>
      <w:r>
        <w:rPr>
          <w:rFonts w:hint="eastAsia" w:ascii="仿宋_GB2312" w:hAnsi="ˎ̥" w:eastAsia="仿宋_GB2312"/>
          <w:color w:val="auto"/>
          <w:sz w:val="32"/>
          <w:szCs w:val="32"/>
        </w:rPr>
        <w:t>本年收入</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%；上级补助收入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45.24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11.22</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357.93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88.77</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lang w:val="en-US" w:eastAsia="zh-CN"/>
        </w:rPr>
        <w:t>6.57</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2" w:name="_Toc9989_WPSOffice_Level2"/>
      <w:bookmarkStart w:id="73" w:name="_Toc21737_WPSOffice_Level2"/>
      <w:bookmarkStart w:id="74" w:name="_Toc19665_WPSOffice_Level2"/>
      <w:bookmarkStart w:id="75" w:name="_Toc23005_WPSOffice_Level2"/>
      <w:bookmarkStart w:id="76" w:name="_Toc17398_WPSOffice_Level2"/>
      <w:bookmarkStart w:id="77" w:name="_Toc13694_WPSOffice_Level2"/>
      <w:r>
        <w:rPr>
          <w:rFonts w:hint="eastAsia" w:ascii="楷体" w:hAnsi="楷体" w:eastAsia="楷体" w:cs="楷体"/>
          <w:color w:val="auto"/>
          <w:sz w:val="32"/>
          <w:szCs w:val="32"/>
        </w:rPr>
        <w:t>（一）一般公共预算财政拨款支出决算总体情况</w:t>
      </w:r>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134.77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66.57</w:t>
      </w:r>
      <w:r>
        <w:rPr>
          <w:rFonts w:hint="eastAsia" w:ascii="仿宋_GB2312" w:hAnsi="ˎ̥" w:eastAsia="仿宋_GB2312"/>
          <w:color w:val="auto"/>
          <w:sz w:val="32"/>
          <w:szCs w:val="32"/>
        </w:rPr>
        <w:t>%，主要原因是一是</w:t>
      </w:r>
      <w:r>
        <w:rPr>
          <w:rFonts w:hint="eastAsia" w:ascii="仿宋_GB2312" w:hAnsi="ˎ̥" w:eastAsia="仿宋_GB2312"/>
          <w:color w:val="auto"/>
          <w:sz w:val="32"/>
          <w:szCs w:val="32"/>
          <w:lang w:val="en-US" w:eastAsia="zh-CN"/>
        </w:rPr>
        <w:t>人员增加，</w:t>
      </w:r>
      <w:r>
        <w:rPr>
          <w:rFonts w:hint="default" w:ascii="仿宋_GB2312" w:hAnsi="ˎ̥" w:eastAsia="仿宋_GB2312" w:cs="仿宋_GB2312"/>
          <w:color w:val="auto"/>
          <w:kern w:val="0"/>
          <w:sz w:val="32"/>
          <w:szCs w:val="32"/>
        </w:rPr>
        <w:t>经费支出</w:t>
      </w:r>
      <w:r>
        <w:rPr>
          <w:rFonts w:hint="eastAsia" w:ascii="仿宋_GB2312" w:hAnsi="ˎ̥" w:eastAsia="仿宋_GB2312" w:cs="仿宋_GB2312"/>
          <w:color w:val="auto"/>
          <w:kern w:val="0"/>
          <w:sz w:val="32"/>
          <w:szCs w:val="32"/>
          <w:lang w:val="en-US"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8" w:name="_Toc27767_WPSOffice_Level2"/>
      <w:bookmarkStart w:id="79" w:name="_Toc19075_WPSOffice_Level2"/>
      <w:bookmarkStart w:id="80" w:name="_Toc2711_WPSOffice_Level2"/>
      <w:bookmarkStart w:id="81" w:name="_Toc19535_WPSOffice_Level2"/>
      <w:bookmarkStart w:id="82" w:name="_Toc18793_WPSOffice_Level2"/>
      <w:bookmarkStart w:id="83" w:name="_Toc23864_WPSOffice_Level2"/>
      <w:r>
        <w:rPr>
          <w:rFonts w:hint="eastAsia" w:ascii="楷体" w:hAnsi="楷体" w:eastAsia="楷体" w:cs="楷体"/>
          <w:color w:val="auto"/>
          <w:sz w:val="32"/>
          <w:szCs w:val="32"/>
        </w:rPr>
        <w:t>（二）一般公共预算财政拨款支出决算结构情况</w:t>
      </w:r>
      <w:bookmarkEnd w:id="78"/>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万元，主要用于以下方面：</w:t>
      </w:r>
      <w:r>
        <w:rPr>
          <w:rFonts w:hint="default" w:ascii="仿宋_GB2312" w:hAnsi="ˎ̥" w:eastAsia="仿宋_GB2312" w:cs="仿宋_GB2312"/>
          <w:b/>
          <w:bCs/>
          <w:color w:val="auto"/>
          <w:kern w:val="0"/>
          <w:sz w:val="32"/>
          <w:szCs w:val="32"/>
          <w:shd w:val="clear" w:fill="FFFFFF"/>
        </w:rPr>
        <w:t>教育</w:t>
      </w:r>
      <w:r>
        <w:rPr>
          <w:rFonts w:hint="default" w:ascii="仿宋_GB2312" w:hAnsi="ˎ̥" w:eastAsia="仿宋_GB2312" w:cs="仿宋_GB2312"/>
          <w:b/>
          <w:bCs/>
          <w:color w:val="auto"/>
          <w:kern w:val="0"/>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389.45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96.59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5.74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1.42</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3.32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0.8</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4" w:name="_Toc25136_WPSOffice_Level2"/>
      <w:bookmarkStart w:id="85" w:name="_Toc9502_WPSOffice_Level2"/>
      <w:bookmarkStart w:id="86" w:name="_Toc15415_WPSOffice_Level2"/>
      <w:bookmarkStart w:id="87" w:name="_Toc22318_WPSOffice_Level2"/>
      <w:bookmarkStart w:id="88" w:name="_Toc29364_WPSOffice_Level2"/>
      <w:bookmarkStart w:id="89" w:name="_Toc21701_WPSOffice_Level2"/>
      <w:r>
        <w:rPr>
          <w:rFonts w:hint="eastAsia" w:ascii="楷体" w:hAnsi="楷体" w:eastAsia="楷体" w:cs="楷体"/>
          <w:color w:val="auto"/>
          <w:sz w:val="32"/>
          <w:szCs w:val="32"/>
        </w:rPr>
        <w:t>（三）一般公共预算财政拨款支出决算具体情况</w:t>
      </w:r>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403.18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98.81</w:t>
      </w:r>
      <w:r>
        <w:rPr>
          <w:rFonts w:hint="eastAsia" w:ascii="仿宋_GB2312" w:hAnsi="ˎ̥" w:eastAsia="仿宋_GB2312"/>
          <w:color w:val="auto"/>
          <w:sz w:val="32"/>
          <w:szCs w:val="32"/>
        </w:rPr>
        <w:t>%。其中：</w:t>
      </w:r>
    </w:p>
    <w:p>
      <w:pPr>
        <w:keepNext w:val="0"/>
        <w:keepLines w:val="0"/>
        <w:widowControl/>
        <w:suppressLineNumbers w:val="0"/>
        <w:spacing w:before="0" w:beforeAutospacing="1" w:after="0" w:afterAutospacing="1"/>
        <w:ind w:left="0" w:right="0"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default" w:ascii="仿宋_GB2312" w:hAnsi="ˎ̥" w:eastAsia="仿宋_GB2312" w:cs="仿宋_GB2312"/>
          <w:b/>
          <w:bCs/>
          <w:color w:val="auto"/>
          <w:kern w:val="0"/>
          <w:sz w:val="32"/>
          <w:szCs w:val="32"/>
        </w:rPr>
        <w:t>教育支出（类）普通教育（款）学前教育（项）。</w:t>
      </w:r>
    </w:p>
    <w:p>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color w:val="auto"/>
          <w:kern w:val="0"/>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403.18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403.17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98.81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default" w:ascii="仿宋_GB2312" w:hAnsi="宋体" w:eastAsia="仿宋_GB2312" w:cs="仿宋_GB2312"/>
          <w:b/>
          <w:bCs/>
          <w:color w:val="auto"/>
          <w:kern w:val="0"/>
          <w:sz w:val="32"/>
          <w:szCs w:val="32"/>
        </w:rPr>
        <w:t>社会保障和就业支出（类）行政事业单位养老支出（款）机关事业单位基本养老保险缴费支出（项）</w:t>
      </w:r>
    </w:p>
    <w:p>
      <w:pPr>
        <w:keepNext w:val="0"/>
        <w:keepLines w:val="0"/>
        <w:widowControl/>
        <w:suppressLineNumbers w:val="0"/>
        <w:autoSpaceDE w:val="0"/>
        <w:autoSpaceDN/>
        <w:spacing w:before="0" w:beforeAutospacing="1" w:after="0" w:afterAutospacing="1"/>
        <w:ind w:left="0" w:leftChars="0" w:right="0" w:rightChars="0" w:firstLine="640" w:firstLineChars="200"/>
        <w:rPr>
          <w:rFonts w:hint="default" w:ascii="仿宋_GB2312" w:hAnsi="宋体" w:eastAsia="仿宋_GB2312" w:cs="仿宋_GB2312"/>
          <w:b/>
          <w:bCs/>
          <w:color w:val="auto"/>
          <w:kern w:val="0"/>
          <w:sz w:val="32"/>
          <w:szCs w:val="32"/>
        </w:rPr>
      </w:pPr>
      <w:r>
        <w:rPr>
          <w:rFonts w:hint="default" w:ascii="仿宋_GB2312" w:hAnsi="宋体" w:eastAsia="仿宋_GB2312" w:cs="仿宋_GB2312"/>
          <w:b w:val="0"/>
          <w:bCs w:val="0"/>
          <w:color w:val="auto"/>
          <w:kern w:val="0"/>
          <w:sz w:val="32"/>
          <w:szCs w:val="32"/>
        </w:rPr>
        <w:t>3.</w:t>
      </w:r>
      <w:r>
        <w:rPr>
          <w:rFonts w:hint="default" w:ascii="仿宋_GB2312" w:hAnsi="宋体" w:eastAsia="仿宋_GB2312" w:cs="仿宋_GB2312"/>
          <w:b/>
          <w:bCs/>
          <w:color w:val="auto"/>
          <w:kern w:val="0"/>
          <w:sz w:val="32"/>
          <w:szCs w:val="32"/>
        </w:rPr>
        <w:t>卫生健康支出（类）行政事业单位医疗（款）事业单位医疗（项）。</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0.00</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44.61</w:t>
      </w:r>
      <w:r>
        <w:rPr>
          <w:rFonts w:hint="eastAsia" w:ascii="仿宋_GB2312" w:hAnsi="ˎ̥" w:eastAsia="仿宋_GB2312"/>
          <w:color w:val="auto"/>
          <w:sz w:val="32"/>
          <w:szCs w:val="32"/>
        </w:rPr>
        <w:t>万元，主要包括：工资福利支出中的基本工资8.75万元、津贴补贴6.10万元、奖金、伙食补助</w:t>
      </w:r>
      <w:r>
        <w:rPr>
          <w:rFonts w:hint="eastAsia" w:ascii="仿宋_GB2312" w:hAnsi="ˎ̥" w:eastAsia="仿宋_GB2312"/>
          <w:color w:val="auto"/>
          <w:sz w:val="32"/>
          <w:szCs w:val="32"/>
        </w:rPr>
        <w:t>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绩效工资15.92万元、机关事业单位基本养老保险缴费3.83、职业年金缴费1.91万元、职工基本医疗保险缴费1.55万元、公务员医疗补助缴2.95万元、其他社会保障缴费0.12万元、住房公积金3.32万元、医疗费0.17万元、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0.63</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0.38万元、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color w:val="auto"/>
          <w:kern w:val="0"/>
          <w:sz w:val="32"/>
          <w:szCs w:val="32"/>
          <w:shd w:val="clear" w:fill="FFFFFF"/>
        </w:rPr>
      </w:pPr>
      <w:r>
        <w:rPr>
          <w:rFonts w:hint="default" w:ascii="仿宋_GB2312" w:hAnsi="ˎ̥" w:eastAsia="仿宋_GB2312" w:cs="仿宋_GB2312"/>
          <w:color w:val="auto"/>
          <w:kern w:val="0"/>
          <w:sz w:val="32"/>
          <w:szCs w:val="32"/>
          <w:shd w:val="clear" w:fill="FFFFFF"/>
        </w:rPr>
        <w:t>我单位无政府性基金预算财政拨款收入。</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widowControl/>
        <w:suppressLineNumbers w:val="0"/>
        <w:spacing w:before="0" w:beforeAutospacing="0" w:after="0" w:afterAutospacing="1"/>
        <w:ind w:left="0" w:right="0" w:firstLine="640" w:firstLineChars="200"/>
        <w:jc w:val="left"/>
        <w:rPr>
          <w:rFonts w:hint="default" w:ascii="仿宋_GB2312" w:hAnsi="ˎ̥" w:eastAsia="仿宋_GB2312" w:cs="仿宋_GB2312"/>
          <w:color w:val="auto"/>
          <w:kern w:val="0"/>
          <w:sz w:val="32"/>
          <w:szCs w:val="32"/>
          <w:shd w:val="clear" w:fill="FFFFFF"/>
        </w:rPr>
      </w:pPr>
      <w:r>
        <w:rPr>
          <w:rFonts w:hint="default" w:ascii="仿宋_GB2312" w:hAnsi="ˎ̥" w:eastAsia="仿宋_GB2312" w:cs="仿宋_GB2312"/>
          <w:color w:val="auto"/>
          <w:kern w:val="0"/>
          <w:sz w:val="32"/>
          <w:szCs w:val="32"/>
          <w:shd w:val="clear" w:fill="FFFFFF"/>
        </w:rPr>
        <w:t>我单位无国有资本经营预算财政拨款收入。</w:t>
      </w:r>
    </w:p>
    <w:p>
      <w:pPr>
        <w:keepNext w:val="0"/>
        <w:keepLines w:val="0"/>
        <w:widowControl/>
        <w:suppressLineNumbers w:val="0"/>
        <w:spacing w:before="0" w:beforeAutospacing="0" w:after="0" w:afterAutospacing="1"/>
        <w:ind w:left="0" w:right="0" w:firstLine="640" w:firstLineChars="200"/>
        <w:jc w:val="left"/>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bCs/>
          <w:color w:val="auto"/>
          <w:sz w:val="32"/>
          <w:szCs w:val="32"/>
        </w:rPr>
        <w:t>我单位无一般公共预算财政拨款“三公”经费收入。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widowControl/>
        <w:suppressLineNumbers w:val="0"/>
        <w:spacing w:before="0" w:beforeAutospacing="0" w:after="0" w:afterAutospacing="1"/>
        <w:ind w:left="0" w:right="0" w:firstLine="640" w:firstLineChars="200"/>
        <w:jc w:val="left"/>
        <w:rPr>
          <w:rFonts w:hint="eastAsia" w:ascii="楷体" w:hAnsi="楷体" w:eastAsia="楷体" w:cs="楷体"/>
          <w:b/>
          <w:bCs/>
          <w:color w:val="auto"/>
          <w:kern w:val="0"/>
          <w:sz w:val="32"/>
          <w:szCs w:val="32"/>
          <w:shd w:val="clear" w:fill="FFFFFF"/>
        </w:rPr>
      </w:pPr>
      <w:bookmarkStart w:id="90" w:name="_Toc17580_WPSOffice_Level1"/>
      <w:bookmarkStart w:id="91" w:name="_Toc4398_WPSOffice_Level1"/>
      <w:bookmarkStart w:id="92" w:name="_Toc11039_WPSOffice_Level1"/>
      <w:bookmarkStart w:id="93" w:name="_Toc8874_WPSOffice_Level1"/>
      <w:bookmarkStart w:id="94" w:name="_Toc15425_WPSOffice_Level1"/>
      <w:bookmarkStart w:id="95" w:name="_Toc8808_WPSOffice_Level1"/>
      <w:r>
        <w:rPr>
          <w:rFonts w:hint="default" w:ascii="仿宋_GB2312" w:hAnsi="宋体" w:eastAsia="仿宋_GB2312" w:cs="仿宋_GB2312"/>
          <w:color w:val="auto"/>
          <w:kern w:val="0"/>
          <w:sz w:val="32"/>
          <w:szCs w:val="32"/>
          <w:shd w:val="clear" w:fill="FFFFFF"/>
        </w:rPr>
        <w:t>我单位无重点项目没有开展绩效管理工作。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宋体" w:eastAsia="仿宋_GB2312" w:cs="仿宋_GB2312"/>
          <w:color w:val="auto"/>
          <w:kern w:val="0"/>
          <w:sz w:val="32"/>
          <w:szCs w:val="32"/>
        </w:rPr>
      </w:pPr>
      <w:r>
        <w:rPr>
          <w:rFonts w:hint="default" w:ascii="仿宋_GB2312" w:hAnsi="宋体" w:eastAsia="仿宋_GB2312" w:cs="仿宋_GB2312"/>
          <w:color w:val="auto"/>
          <w:kern w:val="0"/>
          <w:sz w:val="32"/>
          <w:szCs w:val="32"/>
        </w:rPr>
        <w:t>教育支出（类）普通教育（款）学前教育（项）：</w:t>
      </w:r>
      <w:r>
        <w:rPr>
          <w:rFonts w:hint="default" w:ascii="仿宋_GB2312" w:hAnsi="宋体" w:eastAsia="仿宋_GB2312" w:cs="仿宋_GB2312"/>
          <w:color w:val="auto"/>
          <w:kern w:val="0"/>
          <w:sz w:val="32"/>
          <w:szCs w:val="32"/>
        </w:rPr>
        <w:t>反映各</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举办的学前教育支出。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十七、</w:t>
      </w:r>
      <w:r>
        <w:rPr>
          <w:rFonts w:hint="default" w:ascii="仿宋_GB2312" w:hAnsi="宋体" w:eastAsia="仿宋_GB2312" w:cs="仿宋_GB2312"/>
          <w:color w:val="auto"/>
          <w:kern w:val="0"/>
          <w:sz w:val="32"/>
          <w:szCs w:val="32"/>
        </w:rPr>
        <w:t>社会保障和就业支出（类）行政事业单位养老支出（款）机关事业单位基本养老保险缴费支出（项）：</w:t>
      </w:r>
      <w:r>
        <w:rPr>
          <w:rFonts w:hint="default" w:ascii="仿宋_GB2312" w:hAnsi="宋体" w:eastAsia="仿宋_GB2312" w:cs="仿宋_GB2312"/>
          <w:color w:val="auto"/>
          <w:kern w:val="0"/>
          <w:sz w:val="32"/>
          <w:szCs w:val="32"/>
        </w:rPr>
        <w:t>指用于单位缴纳的基本养老保险费支出。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十八、</w:t>
      </w:r>
      <w:r>
        <w:rPr>
          <w:rFonts w:hint="default" w:ascii="仿宋_GB2312" w:hAnsi="宋体" w:eastAsia="仿宋_GB2312" w:cs="仿宋_GB2312"/>
          <w:color w:val="auto"/>
          <w:kern w:val="0"/>
          <w:sz w:val="32"/>
          <w:szCs w:val="32"/>
        </w:rPr>
        <w:t>卫生健康支出（类）行政事业单位医疗（款）事业单位医疗（项）：</w:t>
      </w:r>
      <w:r>
        <w:rPr>
          <w:rFonts w:hint="default" w:ascii="仿宋_GB2312" w:hAnsi="宋体" w:eastAsia="仿宋_GB2312" w:cs="仿宋_GB2312"/>
          <w:color w:val="auto"/>
          <w:kern w:val="0"/>
          <w:sz w:val="32"/>
          <w:szCs w:val="32"/>
        </w:rPr>
        <w:t>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集中安排的事业单位基本医疗保险缴费经费，未参加医疗保险的事业单位的公费医疗经费，按国家规定享受离休人员待遇的医疗经费</w:t>
      </w:r>
      <w:r>
        <w:rPr>
          <w:rFonts w:hint="default" w:ascii="仿宋_GB2312" w:hAnsi="宋体" w:eastAsia="仿宋_GB2312" w:cs="仿宋_GB2312"/>
          <w:color w:val="auto"/>
          <w:kern w:val="0"/>
          <w:sz w:val="32"/>
          <w:szCs w:val="32"/>
        </w:rPr>
        <w:t>。</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十九、卫生健康支出（类）行政事业单位医疗（款）公务员医疗补助（项）：</w:t>
      </w:r>
      <w:r>
        <w:rPr>
          <w:rFonts w:hint="default" w:ascii="仿宋_GB2312" w:hAnsi="宋体" w:eastAsia="仿宋_GB2312" w:cs="仿宋_GB2312"/>
          <w:color w:val="auto"/>
          <w:kern w:val="0"/>
          <w:sz w:val="32"/>
          <w:szCs w:val="32"/>
        </w:rPr>
        <w:t>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集中安排的公务员医疗补助经费。</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二十、</w:t>
      </w:r>
      <w:r>
        <w:rPr>
          <w:rFonts w:hint="default" w:ascii="仿宋_GB2312" w:hAnsi="宋体" w:eastAsia="仿宋_GB2312" w:cs="仿宋_GB2312"/>
          <w:color w:val="auto"/>
          <w:kern w:val="0"/>
          <w:sz w:val="32"/>
          <w:szCs w:val="32"/>
        </w:rPr>
        <w:t>卫生健康支出（类）行政事业单位医疗（款）其他行政事业单位医疗支出（项）：</w:t>
      </w:r>
      <w:r>
        <w:rPr>
          <w:rFonts w:hint="default" w:ascii="仿宋_GB2312" w:hAnsi="宋体" w:eastAsia="仿宋_GB2312" w:cs="仿宋_GB2312"/>
          <w:color w:val="auto"/>
          <w:kern w:val="0"/>
          <w:sz w:val="32"/>
          <w:szCs w:val="32"/>
        </w:rPr>
        <w:t>反映除行政单位医疗、</w:t>
      </w:r>
      <w:r>
        <w:rPr>
          <w:rFonts w:hint="default" w:ascii="仿宋_GB2312" w:hAnsi="宋体" w:eastAsia="仿宋_GB2312" w:cs="仿宋_GB2312"/>
          <w:color w:val="auto"/>
          <w:kern w:val="0"/>
          <w:sz w:val="32"/>
          <w:szCs w:val="32"/>
        </w:rPr>
        <w:t>事业单位医疗、公务员医疗补助</w:t>
      </w:r>
      <w:r>
        <w:rPr>
          <w:rFonts w:hint="default" w:ascii="仿宋_GB2312" w:hAnsi="宋体" w:eastAsia="仿宋_GB2312" w:cs="仿宋_GB2312"/>
          <w:color w:val="auto"/>
          <w:kern w:val="0"/>
          <w:sz w:val="32"/>
          <w:szCs w:val="32"/>
        </w:rPr>
        <w:t>其他用于行政事业单位医疗方面的支出。</w:t>
      </w:r>
    </w:p>
    <w:p>
      <w:pPr>
        <w:keepNext w:val="0"/>
        <w:keepLines w:val="0"/>
        <w:widowControl/>
        <w:suppressLineNumbers w:val="0"/>
        <w:spacing w:line="560" w:lineRule="exact"/>
        <w:ind w:left="0" w:firstLine="640" w:firstLineChars="200"/>
        <w:rPr>
          <w:rFonts w:hint="eastAsia" w:ascii="宋体" w:hAnsi="宋体" w:eastAsia="宋体" w:cs="宋体"/>
          <w:color w:val="auto"/>
          <w:kern w:val="0"/>
          <w:sz w:val="24"/>
          <w:szCs w:val="24"/>
        </w:rPr>
      </w:pPr>
      <w:r>
        <w:rPr>
          <w:rFonts w:hint="default" w:ascii="仿宋_GB2312" w:hAnsi="宋体" w:eastAsia="仿宋_GB2312" w:cs="仿宋_GB2312"/>
          <w:color w:val="auto"/>
          <w:kern w:val="0"/>
          <w:sz w:val="32"/>
          <w:szCs w:val="32"/>
        </w:rPr>
        <w:t>二十一、住房保障支出（类）住房改革支出（款）住房公积金（项）：</w:t>
      </w:r>
      <w:r>
        <w:rPr>
          <w:rFonts w:hint="default" w:ascii="仿宋_GB2312" w:hAnsi="宋体" w:eastAsia="仿宋_GB2312" w:cs="仿宋_GB2312"/>
          <w:color w:val="auto"/>
          <w:kern w:val="0"/>
          <w:sz w:val="32"/>
          <w:szCs w:val="32"/>
        </w:rPr>
        <w:t>指用于按规定比例为职工缴纳的住房公积金支出。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宋体" w:eastAsia="仿宋_GB2312" w:cs="仿宋_GB2312"/>
          <w:color w:val="auto"/>
          <w:kern w:val="0"/>
          <w:sz w:val="32"/>
          <w:szCs w:val="32"/>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66D0809"/>
    <w:multiLevelType w:val="singleLevel"/>
    <w:tmpl w:val="B66D0809"/>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D83EB9"/>
    <w:rsid w:val="26EEC2B5"/>
    <w:rsid w:val="29472309"/>
    <w:rsid w:val="2B406E77"/>
    <w:rsid w:val="2C2A0C43"/>
    <w:rsid w:val="2D1E73A5"/>
    <w:rsid w:val="32717154"/>
    <w:rsid w:val="34B63260"/>
    <w:rsid w:val="37FDA7E2"/>
    <w:rsid w:val="3A314D88"/>
    <w:rsid w:val="3A746883"/>
    <w:rsid w:val="3CA15DE9"/>
    <w:rsid w:val="3E747C1F"/>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3696</Words>
  <Characters>4298</Characters>
  <Lines>67</Lines>
  <Paragraphs>18</Paragraphs>
  <TotalTime>2</TotalTime>
  <ScaleCrop>false</ScaleCrop>
  <LinksUpToDate>false</LinksUpToDate>
  <CharactersWithSpaces>4362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2025-10-28T00:50:56Z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eyJoZGlkIjoiODU1NTkxYmYxMTEyYjk2YTA1NGE4M2NlNDRjMDU0OGMiLCJ1c2VySWQiOiIzNjMzMzkzMTUifQ==</vt:lpwstr>
  </property>
</Properties>
</file>