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屯昌县西昌镇南田幼儿园2024年度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bookmarkStart w:id="121" w:name="_GoBack"/>
      <w:bookmarkEnd w:id="121"/>
      <w:r>
        <w:rPr>
          <w:rFonts w:hint="eastAsia" w:ascii="方正小标宋_GBK" w:hAnsi="方正小标宋_GBK" w:eastAsia="方正小标宋_GBK" w:cs="方正小标宋_GBK"/>
          <w:b w:val="0"/>
          <w:bCs w:val="0"/>
          <w:sz w:val="44"/>
          <w:szCs w:val="44"/>
          <w:lang w:val="en-US"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lang w:val="en-US"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3</w:t>
      </w:r>
    </w:p>
    <w:p>
      <w:pPr>
        <w:pStyle w:val="15"/>
        <w:tabs>
          <w:tab w:val="right" w:leader="dot" w:pos="8306"/>
        </w:tabs>
        <w:spacing w:line="578" w:lineRule="exact"/>
        <w:rPr>
          <w:rFonts w:hint="eastAsia" w:eastAsia="宋体"/>
          <w:sz w:val="32"/>
          <w:szCs w:val="32"/>
          <w:lang w:eastAsia="zh-CN"/>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lang w:val="en-US" w:eastAsia="zh-CN"/>
        </w:rPr>
        <w:t>3</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lang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lang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5</w:t>
      </w:r>
    </w:p>
    <w:p>
      <w:pPr>
        <w:pStyle w:val="16"/>
        <w:tabs>
          <w:tab w:val="right" w:leader="dot" w:pos="8306"/>
        </w:tabs>
        <w:spacing w:line="578" w:lineRule="exact"/>
        <w:ind w:leftChars="0"/>
        <w:rPr>
          <w:rFonts w:hint="eastAsia" w:ascii="仿宋" w:hAnsi="仿宋" w:eastAsia="仿宋" w:cs="仿宋"/>
          <w:sz w:val="32"/>
          <w:szCs w:val="32"/>
          <w:lang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lang w:val="en-US" w:eastAsia="zh-CN"/>
        </w:rPr>
        <w:t>7</w:t>
      </w:r>
    </w:p>
    <w:p>
      <w:pPr>
        <w:pStyle w:val="16"/>
        <w:tabs>
          <w:tab w:val="right" w:leader="dot" w:pos="8306"/>
        </w:tabs>
        <w:spacing w:line="578" w:lineRule="exact"/>
        <w:ind w:leftChars="0"/>
        <w:rPr>
          <w:rFonts w:hint="eastAsia" w:ascii="仿宋" w:hAnsi="仿宋" w:eastAsia="仿宋" w:cs="仿宋"/>
          <w:sz w:val="32"/>
          <w:szCs w:val="32"/>
          <w:lang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8</w:t>
      </w:r>
    </w:p>
    <w:p>
      <w:pPr>
        <w:pStyle w:val="16"/>
        <w:tabs>
          <w:tab w:val="right" w:leader="dot" w:pos="8306"/>
        </w:tabs>
        <w:spacing w:line="578" w:lineRule="exact"/>
        <w:ind w:leftChars="0"/>
        <w:rPr>
          <w:rFonts w:hint="eastAsia" w:ascii="仿宋" w:hAnsi="仿宋" w:eastAsia="仿宋" w:cs="仿宋"/>
          <w:sz w:val="32"/>
          <w:szCs w:val="32"/>
          <w:lang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9</w:t>
      </w:r>
    </w:p>
    <w:p>
      <w:pPr>
        <w:pStyle w:val="16"/>
        <w:tabs>
          <w:tab w:val="right" w:leader="dot" w:pos="8306"/>
        </w:tabs>
        <w:spacing w:line="578" w:lineRule="exact"/>
        <w:ind w:leftChars="0"/>
        <w:rPr>
          <w:rFonts w:hint="eastAsia" w:ascii="仿宋" w:hAnsi="仿宋" w:eastAsia="仿宋" w:cs="仿宋"/>
          <w:sz w:val="32"/>
          <w:szCs w:val="32"/>
          <w:lang w:eastAsia="zh-CN"/>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w:t>
      </w:r>
      <w:r>
        <w:rPr>
          <w:rFonts w:hint="eastAsia" w:ascii="仿宋" w:hAnsi="仿宋" w:eastAsia="仿宋" w:cs="仿宋"/>
          <w:sz w:val="32"/>
          <w:szCs w:val="32"/>
          <w:lang w:val="en-US" w:eastAsia="zh-CN"/>
        </w:rPr>
        <w:t>0</w:t>
      </w:r>
    </w:p>
    <w:p>
      <w:pPr>
        <w:pStyle w:val="15"/>
        <w:tabs>
          <w:tab w:val="right" w:leader="dot" w:pos="8306"/>
        </w:tabs>
        <w:spacing w:line="578" w:lineRule="exact"/>
        <w:rPr>
          <w:rFonts w:hint="eastAsia" w:ascii="黑体" w:hAnsi="ˎ̥" w:eastAsia="宋体"/>
          <w:b/>
          <w:sz w:val="32"/>
          <w:szCs w:val="32"/>
          <w:lang w:eastAsia="zh-CN"/>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lang w:val="en-US" w:eastAsia="zh-CN"/>
        </w:rPr>
        <w:t>1</w:t>
      </w:r>
    </w:p>
    <w:p>
      <w:pPr>
        <w:spacing w:line="578" w:lineRule="exact"/>
        <w:jc w:val="both"/>
        <w:rPr>
          <w:rFonts w:hint="eastAsia" w:ascii="黑体" w:hAnsi="ˎ̥" w:eastAsia="黑体"/>
          <w:sz w:val="32"/>
          <w:szCs w:val="32"/>
        </w:rPr>
      </w:pPr>
      <w:bookmarkStart w:id="2" w:name="_Toc10720_WPSOffice_Level1"/>
      <w:bookmarkStart w:id="3" w:name="_Toc23465_WPSOffice_Level1"/>
      <w:bookmarkStart w:id="4" w:name="_Toc1704_WPSOffice_Level1"/>
      <w:bookmarkStart w:id="5" w:name="_Toc32433_WPSOffice_Level1"/>
      <w:bookmarkStart w:id="6" w:name="_Toc10049_WPSOffice_Level1"/>
      <w:bookmarkStart w:id="7" w:name="_Toc22941_WPSOffice_Level1"/>
      <w:bookmarkStart w:id="8" w:name="_Toc24238_WPSOffice_Level2"/>
      <w:bookmarkStart w:id="9" w:name="_Toc26580_WPSOffice_Level2"/>
      <w:bookmarkStart w:id="10" w:name="_Toc20274_WPSOffice_Level2"/>
      <w:bookmarkStart w:id="11" w:name="_Toc14159_WPSOffice_Level2"/>
      <w:bookmarkStart w:id="12" w:name="_Toc20205_WPSOffice_Level2"/>
      <w:bookmarkStart w:id="13" w:name="_Toc3262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w:t>
      </w:r>
      <w:bookmarkEnd w:id="8"/>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9"/>
      <w:bookmarkEnd w:id="10"/>
      <w:bookmarkEnd w:id="11"/>
      <w:bookmarkEnd w:id="12"/>
      <w:bookmarkEnd w:id="13"/>
    </w:p>
    <w:p>
      <w:pPr>
        <w:spacing w:line="578"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（一）基本职能</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1、认真贯彻执行党和国家的有关法律法规、方针、政策，坚持民主管理，依法办园，执行上级主管</w:t>
      </w:r>
      <w:r>
        <w:rPr>
          <w:rFonts w:hint="eastAsia" w:ascii="仿宋_GB2312" w:hAnsi="ˎ̥" w:eastAsia="仿宋_GB2312"/>
          <w:sz w:val="32"/>
          <w:szCs w:val="32"/>
          <w:lang w:eastAsia="zh-CN"/>
        </w:rPr>
        <w:t>单位</w:t>
      </w:r>
      <w:r>
        <w:rPr>
          <w:rFonts w:hint="eastAsia" w:ascii="仿宋_GB2312" w:hAnsi="ˎ̥" w:eastAsia="仿宋_GB2312"/>
          <w:sz w:val="32"/>
          <w:szCs w:val="32"/>
        </w:rPr>
        <w:t>的指示和决定。</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2、实行保育和教育相结合的原则，对幼儿实施体、智、德、美诸方面全面发展的教育，促进其身心和谐发展。为家长解除后顾之忧，热忱为家长服务。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3、尊重儿童的人格尊严和基本权利，尊重儿童身心发展的特点和规律，为儿童提供健康、丰富的生活和活动环境。合理组织幼儿一日生活活动和其它活动，促进幼儿体智德美等和谐发展，全面实施素质教育。</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4、严格执行幼儿园安全、卫生保健制度，保证幼儿身心健康和生命安全。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5、充分利用幼儿和社区的资源优势，面向家长开展多种形式的早期教育宣传、指导等服务，促进家庭教育质量的不断提高。</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方正楷体_GBK" w:hAnsi="方正楷体_GBK" w:eastAsia="方正楷体_GBK" w:cs="方正楷体_GBK"/>
          <w:sz w:val="32"/>
          <w:szCs w:val="32"/>
        </w:rPr>
      </w:pPr>
      <w:r>
        <w:rPr>
          <w:rFonts w:hint="eastAsia" w:ascii="仿宋_GB2312" w:hAnsi="ˎ̥" w:eastAsia="仿宋_GB2312"/>
          <w:sz w:val="32"/>
          <w:szCs w:val="32"/>
        </w:rPr>
        <w:t>6、贯彻幼儿教育法规、传播科学教育理念、开展教育科学研究、培训师资，发挥县示范性幼儿园的示范、辐射作用。</w:t>
      </w:r>
    </w:p>
    <w:p>
      <w:pPr>
        <w:spacing w:line="578" w:lineRule="exact"/>
        <w:ind w:firstLine="640" w:firstLineChars="200"/>
        <w:rPr>
          <w:rFonts w:hint="default"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eastAsia="zh-CN"/>
        </w:rPr>
        <w:t>（</w:t>
      </w:r>
      <w:r>
        <w:rPr>
          <w:rFonts w:hint="eastAsia" w:ascii="方正楷体_GBK" w:hAnsi="方正楷体_GBK" w:eastAsia="方正楷体_GBK" w:cs="方正楷体_GBK"/>
          <w:sz w:val="32"/>
          <w:szCs w:val="32"/>
          <w:lang w:val="en-US" w:eastAsia="zh-CN"/>
        </w:rPr>
        <w:t>二</w:t>
      </w:r>
      <w:r>
        <w:rPr>
          <w:rFonts w:hint="eastAsia" w:ascii="方正楷体_GBK" w:hAnsi="方正楷体_GBK" w:eastAsia="方正楷体_GBK" w:cs="方正楷体_GBK"/>
          <w:sz w:val="32"/>
          <w:szCs w:val="32"/>
          <w:lang w:eastAsia="zh-CN"/>
        </w:rPr>
        <w:t>）</w:t>
      </w:r>
      <w:r>
        <w:rPr>
          <w:rFonts w:hint="eastAsia" w:ascii="方正楷体_GBK" w:hAnsi="方正楷体_GBK" w:eastAsia="方正楷体_GBK" w:cs="方正楷体_GBK"/>
          <w:sz w:val="32"/>
          <w:szCs w:val="32"/>
          <w:lang w:val="en-US" w:eastAsia="zh-CN"/>
        </w:rPr>
        <w:t>内设机构</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sz w:val="32"/>
          <w:szCs w:val="32"/>
        </w:rPr>
      </w:pPr>
      <w:r>
        <w:rPr>
          <w:rFonts w:hint="eastAsia" w:ascii="仿宋_GB2312" w:hAnsi="ˎ̥" w:eastAsia="仿宋_GB2312"/>
          <w:sz w:val="32"/>
          <w:szCs w:val="32"/>
        </w:rPr>
        <w:t>屯昌县</w:t>
      </w:r>
      <w:r>
        <w:rPr>
          <w:rFonts w:hint="eastAsia" w:ascii="仿宋_GB2312" w:hAnsi="ˎ̥" w:eastAsia="仿宋_GB2312"/>
          <w:sz w:val="32"/>
          <w:szCs w:val="32"/>
          <w:lang w:val="en-US" w:eastAsia="zh-CN"/>
        </w:rPr>
        <w:t>西昌</w:t>
      </w:r>
      <w:r>
        <w:rPr>
          <w:rFonts w:hint="eastAsia" w:ascii="仿宋_GB2312" w:hAnsi="ˎ̥" w:eastAsia="仿宋_GB2312"/>
          <w:sz w:val="32"/>
          <w:szCs w:val="32"/>
        </w:rPr>
        <w:t>镇</w:t>
      </w:r>
      <w:r>
        <w:rPr>
          <w:rFonts w:hint="eastAsia" w:ascii="仿宋_GB2312" w:hAnsi="ˎ̥" w:eastAsia="仿宋_GB2312"/>
          <w:sz w:val="32"/>
          <w:szCs w:val="32"/>
          <w:lang w:val="en-US" w:eastAsia="zh-CN"/>
        </w:rPr>
        <w:t>南田</w:t>
      </w:r>
      <w:r>
        <w:rPr>
          <w:rFonts w:hint="eastAsia" w:ascii="仿宋_GB2312" w:hAnsi="ˎ̥" w:eastAsia="仿宋_GB2312"/>
          <w:sz w:val="32"/>
          <w:szCs w:val="32"/>
        </w:rPr>
        <w:t>幼儿园，共有</w:t>
      </w:r>
      <w:r>
        <w:rPr>
          <w:rFonts w:hint="eastAsia" w:ascii="仿宋_GB2312" w:hAnsi="ˎ̥" w:eastAsia="仿宋_GB2312"/>
          <w:sz w:val="32"/>
          <w:szCs w:val="32"/>
          <w:lang w:val="en-US" w:eastAsia="zh-CN"/>
        </w:rPr>
        <w:t>15</w:t>
      </w:r>
      <w:r>
        <w:rPr>
          <w:rFonts w:hint="eastAsia" w:ascii="仿宋_GB2312" w:hAnsi="ˎ̥" w:eastAsia="仿宋_GB2312"/>
          <w:sz w:val="32"/>
          <w:szCs w:val="32"/>
        </w:rPr>
        <w:t>人，事业编制人员</w:t>
      </w:r>
      <w:r>
        <w:rPr>
          <w:rFonts w:hint="eastAsia" w:ascii="仿宋_GB2312" w:hAnsi="ˎ̥" w:eastAsia="仿宋_GB2312"/>
          <w:sz w:val="32"/>
          <w:szCs w:val="32"/>
          <w:lang w:val="en-US" w:eastAsia="zh-CN"/>
        </w:rPr>
        <w:t>3</w:t>
      </w:r>
      <w:r>
        <w:rPr>
          <w:rFonts w:hint="eastAsia" w:ascii="仿宋_GB2312" w:hAnsi="ˎ̥" w:eastAsia="仿宋_GB2312"/>
          <w:sz w:val="32"/>
          <w:szCs w:val="32"/>
        </w:rPr>
        <w:t>人，特岗教师</w:t>
      </w:r>
      <w:r>
        <w:rPr>
          <w:rFonts w:hint="eastAsia" w:ascii="仿宋_GB2312" w:hAnsi="ˎ̥" w:eastAsia="仿宋_GB2312"/>
          <w:sz w:val="32"/>
          <w:szCs w:val="32"/>
          <w:lang w:val="en-US" w:eastAsia="zh-CN"/>
        </w:rPr>
        <w:t>0</w:t>
      </w:r>
      <w:r>
        <w:rPr>
          <w:rFonts w:hint="eastAsia" w:ascii="仿宋_GB2312" w:hAnsi="ˎ̥" w:eastAsia="仿宋_GB2312"/>
          <w:sz w:val="32"/>
          <w:szCs w:val="32"/>
        </w:rPr>
        <w:t>人，临聘教师</w:t>
      </w:r>
      <w:r>
        <w:rPr>
          <w:rFonts w:hint="eastAsia" w:ascii="仿宋_GB2312" w:hAnsi="ˎ̥" w:eastAsia="仿宋_GB2312"/>
          <w:sz w:val="32"/>
          <w:szCs w:val="32"/>
          <w:lang w:val="en-US" w:eastAsia="zh-CN"/>
        </w:rPr>
        <w:t>5</w:t>
      </w:r>
      <w:r>
        <w:rPr>
          <w:rFonts w:hint="eastAsia" w:ascii="仿宋_GB2312" w:hAnsi="ˎ̥" w:eastAsia="仿宋_GB2312"/>
          <w:sz w:val="32"/>
          <w:szCs w:val="32"/>
        </w:rPr>
        <w:t>人，临聘保育</w:t>
      </w:r>
      <w:r>
        <w:rPr>
          <w:rFonts w:hint="eastAsia" w:ascii="仿宋_GB2312" w:hAnsi="ˎ̥" w:eastAsia="仿宋_GB2312"/>
          <w:sz w:val="32"/>
          <w:szCs w:val="32"/>
          <w:lang w:val="en-US" w:eastAsia="zh-CN"/>
        </w:rPr>
        <w:t>3</w:t>
      </w:r>
      <w:r>
        <w:rPr>
          <w:rFonts w:hint="eastAsia" w:ascii="仿宋_GB2312" w:hAnsi="ˎ̥" w:eastAsia="仿宋_GB2312"/>
          <w:sz w:val="32"/>
          <w:szCs w:val="32"/>
        </w:rPr>
        <w:t>人，临聘后勤人员</w:t>
      </w:r>
      <w:r>
        <w:rPr>
          <w:rFonts w:hint="eastAsia" w:ascii="仿宋_GB2312" w:hAnsi="ˎ̥" w:eastAsia="仿宋_GB2312"/>
          <w:sz w:val="32"/>
          <w:szCs w:val="32"/>
          <w:lang w:val="en-US" w:eastAsia="zh-CN"/>
        </w:rPr>
        <w:t>4</w:t>
      </w:r>
      <w:r>
        <w:rPr>
          <w:rFonts w:hint="eastAsia" w:ascii="仿宋_GB2312" w:hAnsi="ˎ̥" w:eastAsia="仿宋_GB2312"/>
          <w:sz w:val="32"/>
          <w:szCs w:val="32"/>
        </w:rPr>
        <w:t>人。共有</w:t>
      </w:r>
      <w:r>
        <w:rPr>
          <w:rFonts w:hint="eastAsia" w:ascii="仿宋_GB2312" w:hAnsi="ˎ̥" w:eastAsia="仿宋_GB2312"/>
          <w:sz w:val="32"/>
          <w:szCs w:val="32"/>
          <w:lang w:val="en-US" w:eastAsia="zh-CN"/>
        </w:rPr>
        <w:t>2</w:t>
      </w:r>
      <w:r>
        <w:rPr>
          <w:rFonts w:hint="eastAsia" w:ascii="仿宋_GB2312" w:hAnsi="ˎ̥" w:eastAsia="仿宋_GB2312"/>
          <w:sz w:val="32"/>
          <w:szCs w:val="32"/>
        </w:rPr>
        <w:t>名园长，一正</w:t>
      </w:r>
      <w:r>
        <w:rPr>
          <w:rFonts w:hint="eastAsia" w:ascii="仿宋_GB2312" w:hAnsi="ˎ̥" w:eastAsia="仿宋_GB2312"/>
          <w:sz w:val="32"/>
          <w:szCs w:val="32"/>
          <w:lang w:val="en-US" w:eastAsia="zh-CN"/>
        </w:rPr>
        <w:t>一</w:t>
      </w:r>
      <w:r>
        <w:rPr>
          <w:rFonts w:hint="eastAsia" w:ascii="仿宋_GB2312" w:hAnsi="ˎ̥" w:eastAsia="仿宋_GB2312"/>
          <w:sz w:val="32"/>
          <w:szCs w:val="32"/>
        </w:rPr>
        <w:t>副。内设行政组织机构、食品安全组织机构、保健组、保教组、工会、教代会。</w:t>
      </w:r>
    </w:p>
    <w:p>
      <w:pPr>
        <w:spacing w:line="578" w:lineRule="exact"/>
        <w:ind w:firstLine="640" w:firstLineChars="200"/>
        <w:rPr>
          <w:rFonts w:hint="eastAsia" w:ascii="黑体" w:hAnsi="黑体" w:eastAsia="黑体" w:cs="黑体"/>
          <w:sz w:val="32"/>
          <w:szCs w:val="32"/>
        </w:rPr>
      </w:pPr>
      <w:bookmarkStart w:id="14" w:name="_Toc24059_WPSOffice_Level2"/>
      <w:bookmarkStart w:id="15" w:name="_Toc4833_WPSOffice_Level2"/>
      <w:bookmarkStart w:id="16" w:name="_Toc17796_WPSOffice_Level2"/>
      <w:bookmarkStart w:id="17" w:name="_Toc24474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val="en-US" w:eastAsia="zh-CN"/>
        </w:rPr>
        <w:t>屯昌县西昌镇南田幼儿园</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决算编制范围的</w:t>
      </w:r>
      <w:r>
        <w:rPr>
          <w:rFonts w:hint="eastAsia" w:ascii="仿宋_GB2312" w:hAnsi="ˎ̥" w:eastAsia="仿宋_GB2312"/>
          <w:sz w:val="32"/>
          <w:szCs w:val="32"/>
          <w:lang w:val="en-US" w:eastAsia="zh-CN"/>
        </w:rPr>
        <w:t>二级预算</w:t>
      </w:r>
      <w:r>
        <w:rPr>
          <w:rFonts w:hint="eastAsia" w:ascii="仿宋_GB2312" w:hAnsi="ˎ̥" w:eastAsia="仿宋_GB2312"/>
          <w:sz w:val="32"/>
          <w:szCs w:val="32"/>
        </w:rPr>
        <w:t>单位共</w:t>
      </w:r>
      <w:r>
        <w:rPr>
          <w:rFonts w:hint="eastAsia" w:ascii="仿宋_GB2312" w:hAnsi="ˎ̥" w:eastAsia="仿宋_GB2312"/>
          <w:sz w:val="32"/>
          <w:szCs w:val="32"/>
          <w:lang w:val="en-US" w:eastAsia="zh-CN"/>
        </w:rPr>
        <w:t>1</w:t>
      </w:r>
      <w:r>
        <w:rPr>
          <w:rFonts w:hint="eastAsia" w:ascii="仿宋_GB2312" w:hAnsi="ˎ̥" w:eastAsia="仿宋_GB2312"/>
          <w:sz w:val="32"/>
          <w:szCs w:val="32"/>
        </w:rPr>
        <w:t>个，包括：</w:t>
      </w:r>
    </w:p>
    <w:p>
      <w:pPr>
        <w:spacing w:line="578" w:lineRule="exact"/>
        <w:ind w:firstLine="640" w:firstLineChars="200"/>
        <w:rPr>
          <w:rFonts w:hint="eastAsia" w:ascii="方正楷体_GBK" w:hAnsi="方正楷体_GBK" w:eastAsia="方正楷体_GBK" w:cs="方正楷体_GBK"/>
          <w:sz w:val="32"/>
          <w:szCs w:val="32"/>
        </w:rPr>
      </w:pPr>
      <w:bookmarkStart w:id="19" w:name="_Toc24421_WPSOffice_Level2"/>
      <w:bookmarkStart w:id="20" w:name="_Toc25738_WPSOffice_Level2"/>
      <w:r>
        <w:rPr>
          <w:rFonts w:hint="eastAsia" w:ascii="方正楷体_GBK" w:hAnsi="方正楷体_GBK" w:eastAsia="方正楷体_GBK" w:cs="方正楷体_GBK"/>
          <w:sz w:val="32"/>
          <w:szCs w:val="32"/>
        </w:rPr>
        <w:t>（一）</w:t>
      </w:r>
      <w:bookmarkEnd w:id="19"/>
      <w:bookmarkEnd w:id="20"/>
      <w:r>
        <w:rPr>
          <w:rFonts w:hint="eastAsia" w:ascii="方正楷体_GBK" w:hAnsi="方正楷体_GBK" w:eastAsia="方正楷体_GBK" w:cs="方正楷体_GBK"/>
          <w:sz w:val="32"/>
          <w:szCs w:val="32"/>
        </w:rPr>
        <w:t>屯昌县</w:t>
      </w:r>
      <w:r>
        <w:rPr>
          <w:rFonts w:hint="eastAsia" w:ascii="方正楷体_GBK" w:hAnsi="方正楷体_GBK" w:eastAsia="方正楷体_GBK" w:cs="方正楷体_GBK"/>
          <w:sz w:val="32"/>
          <w:szCs w:val="32"/>
          <w:lang w:val="en-US" w:eastAsia="zh-CN"/>
        </w:rPr>
        <w:t>西昌</w:t>
      </w:r>
      <w:r>
        <w:rPr>
          <w:rFonts w:hint="eastAsia" w:ascii="方正楷体_GBK" w:hAnsi="方正楷体_GBK" w:eastAsia="方正楷体_GBK" w:cs="方正楷体_GBK"/>
          <w:sz w:val="32"/>
          <w:szCs w:val="32"/>
        </w:rPr>
        <w:t>镇</w:t>
      </w:r>
      <w:r>
        <w:rPr>
          <w:rFonts w:hint="eastAsia" w:ascii="方正楷体_GBK" w:hAnsi="方正楷体_GBK" w:eastAsia="方正楷体_GBK" w:cs="方正楷体_GBK"/>
          <w:sz w:val="32"/>
          <w:szCs w:val="32"/>
          <w:lang w:val="en-US" w:eastAsia="zh-CN"/>
        </w:rPr>
        <w:t>南田</w:t>
      </w:r>
      <w:r>
        <w:rPr>
          <w:rFonts w:hint="eastAsia" w:ascii="方正楷体_GBK" w:hAnsi="方正楷体_GBK" w:eastAsia="方正楷体_GBK" w:cs="方正楷体_GBK"/>
          <w:sz w:val="32"/>
          <w:szCs w:val="32"/>
        </w:rPr>
        <w:t>幼儿园</w:t>
      </w:r>
      <w:r>
        <w:rPr>
          <w:rFonts w:hint="eastAsia" w:ascii="方正楷体_GBK" w:hAnsi="方正楷体_GBK" w:eastAsia="方正楷体_GBK" w:cs="方正楷体_GBK"/>
          <w:sz w:val="32"/>
          <w:szCs w:val="32"/>
          <w:lang w:eastAsia="zh-CN"/>
        </w:rPr>
        <w:t>单位</w:t>
      </w:r>
      <w:r>
        <w:rPr>
          <w:rFonts w:hint="eastAsia" w:ascii="方正楷体_GBK" w:hAnsi="方正楷体_GBK" w:eastAsia="方正楷体_GBK" w:cs="方正楷体_GBK"/>
          <w:sz w:val="32"/>
          <w:szCs w:val="32"/>
        </w:rPr>
        <w:t>本级</w:t>
      </w:r>
    </w:p>
    <w:p>
      <w:pPr>
        <w:spacing w:line="578" w:lineRule="exact"/>
        <w:jc w:val="center"/>
        <w:rPr>
          <w:rFonts w:hint="eastAsia" w:ascii="黑体" w:hAnsi="ˎ̥" w:eastAsia="黑体"/>
          <w:sz w:val="32"/>
          <w:szCs w:val="32"/>
        </w:rPr>
      </w:pPr>
      <w:bookmarkStart w:id="21" w:name="_Toc15521_WPSOffice_Level1"/>
      <w:bookmarkStart w:id="22" w:name="_Toc6234_WPSOffice_Level1"/>
      <w:bookmarkStart w:id="23" w:name="_Toc8164_WPSOffice_Level1"/>
      <w:bookmarkStart w:id="24" w:name="_Toc30451_WPSOffice_Level1"/>
      <w:bookmarkStart w:id="25" w:name="_Toc30690_WPSOffice_Level1"/>
      <w:bookmarkStart w:id="26" w:name="_Toc28253_WPSOffice_Level1"/>
      <w:bookmarkStart w:id="27" w:name="_Toc8867_WPSOffice_Level2"/>
      <w:bookmarkStart w:id="28" w:name="_Toc32695_WPSOffice_Level2"/>
      <w:bookmarkStart w:id="29" w:name="_Toc32472_WPSOffice_Level2"/>
      <w:bookmarkStart w:id="30" w:name="_Toc4029_WPSOffice_Level2"/>
      <w:bookmarkStart w:id="31" w:name="_Toc11518_WPSOffice_Level2"/>
      <w:bookmarkStart w:id="32" w:name="_Toc6211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28622_WPSOffice_Level2"/>
      <w:bookmarkStart w:id="34" w:name="_Toc30334_WPSOffice_Level2"/>
      <w:bookmarkStart w:id="35" w:name="_Toc23139_WPSOffice_Level2"/>
      <w:bookmarkStart w:id="36" w:name="_Toc25608_WPSOffice_Level2"/>
      <w:bookmarkStart w:id="37" w:name="_Toc26621_WPSOffice_Level2"/>
      <w:bookmarkStart w:id="38" w:name="_Toc14349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5489_WPSOffice_Level2"/>
      <w:bookmarkStart w:id="40" w:name="_Toc17858_WPSOffice_Level2"/>
      <w:bookmarkStart w:id="41" w:name="_Toc13854_WPSOffice_Level2"/>
      <w:bookmarkStart w:id="42" w:name="_Toc14658_WPSOffice_Level2"/>
      <w:bookmarkStart w:id="43" w:name="_Toc17626_WPSOffice_Level2"/>
      <w:bookmarkStart w:id="44" w:name="_Toc32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4265_WPSOffice_Level2"/>
      <w:bookmarkStart w:id="46" w:name="_Toc13701_WPSOffice_Level2"/>
      <w:bookmarkStart w:id="47" w:name="_Toc21415_WPSOffice_Level2"/>
      <w:bookmarkStart w:id="48" w:name="_Toc23591_WPSOffice_Level2"/>
      <w:bookmarkStart w:id="49" w:name="_Toc7988_WPSOffice_Level2"/>
      <w:bookmarkStart w:id="50" w:name="_Toc2349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7879_WPSOffice_Level2"/>
      <w:bookmarkStart w:id="52" w:name="_Toc22783_WPSOffice_Level2"/>
      <w:bookmarkStart w:id="53" w:name="_Toc25166_WPSOffice_Level2"/>
      <w:bookmarkStart w:id="54" w:name="_Toc23829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25362_WPSOffice_Level2"/>
      <w:bookmarkStart w:id="58" w:name="_Toc17833_WPSOffice_Level2"/>
      <w:bookmarkStart w:id="59" w:name="_Toc5343_WPSOffice_Level2"/>
      <w:bookmarkStart w:id="60" w:name="_Toc2632_WPSOffice_Level2"/>
      <w:bookmarkStart w:id="61" w:name="_Toc17283_WPSOffice_Level2"/>
      <w:bookmarkStart w:id="62" w:name="_Toc837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533_WPSOffice_Level2"/>
      <w:bookmarkStart w:id="64" w:name="_Toc21310_WPSOffice_Level2"/>
      <w:bookmarkStart w:id="65" w:name="_Toc11799_WPSOffice_Level2"/>
      <w:bookmarkStart w:id="66" w:name="_Toc6020_WPSOffice_Level2"/>
      <w:bookmarkStart w:id="67" w:name="_Toc13345_WPSOffice_Level2"/>
      <w:bookmarkStart w:id="68" w:name="_Toc5594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9961_WPSOffice_Level2"/>
      <w:bookmarkStart w:id="70" w:name="_Toc29886_WPSOffice_Level2"/>
      <w:bookmarkStart w:id="71" w:name="_Toc9377_WPSOffice_Level2"/>
      <w:bookmarkStart w:id="72" w:name="_Toc1820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ind w:firstLine="640"/>
        <w:rPr>
          <w:rFonts w:hint="eastAsia" w:ascii="仿宋" w:hAnsi="仿宋" w:eastAsia="仿宋" w:cs="仿宋"/>
          <w:w w:val="100"/>
          <w:sz w:val="32"/>
          <w:szCs w:val="32"/>
        </w:rPr>
      </w:pPr>
    </w:p>
    <w:p>
      <w:pPr>
        <w:spacing w:line="578" w:lineRule="exact"/>
        <w:ind w:firstLine="640"/>
        <w:rPr>
          <w:rFonts w:hint="eastAsia" w:ascii="仿宋" w:hAnsi="仿宋" w:eastAsia="仿宋" w:cs="仿宋"/>
          <w:w w:val="100"/>
          <w:sz w:val="32"/>
          <w:szCs w:val="32"/>
        </w:rPr>
      </w:pP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28629_WPSOffice_Level1"/>
      <w:bookmarkStart w:id="74" w:name="_Toc31264_WPSOffice_Level1"/>
      <w:bookmarkStart w:id="75" w:name="_Toc16686_WPSOffice_Level1"/>
      <w:bookmarkStart w:id="76" w:name="_Toc4402_WPSOffice_Level1"/>
      <w:bookmarkStart w:id="77" w:name="_Toc27590_WPSOffice_Level1"/>
      <w:bookmarkStart w:id="78" w:name="_Toc29683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auto"/>
          <w:sz w:val="32"/>
          <w:szCs w:val="32"/>
          <w:lang w:val="en-US"/>
        </w:rPr>
        <w:t>328.85</w:t>
      </w:r>
      <w:r>
        <w:rPr>
          <w:rFonts w:hint="eastAsia" w:ascii="仿宋_GB2312" w:hAnsi="ˎ̥" w:eastAsia="仿宋_GB2312"/>
          <w:sz w:val="32"/>
          <w:szCs w:val="32"/>
        </w:rPr>
        <w:t>万元，支出总计</w:t>
      </w:r>
      <w:r>
        <w:rPr>
          <w:rFonts w:hint="default" w:ascii="仿宋_GB2312" w:hAnsi="ˎ̥" w:eastAsia="仿宋_GB2312"/>
          <w:color w:val="auto"/>
          <w:sz w:val="32"/>
          <w:szCs w:val="32"/>
          <w:lang w:val="en-US"/>
        </w:rPr>
        <w:t>328.85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color w:val="auto"/>
          <w:sz w:val="32"/>
          <w:szCs w:val="32"/>
          <w:lang w:val="en-US" w:eastAsia="zh-CN"/>
        </w:rPr>
        <w:t>137.16</w:t>
      </w:r>
      <w:r>
        <w:rPr>
          <w:rFonts w:hint="eastAsia" w:ascii="仿宋_GB2312" w:hAnsi="ˎ̥" w:eastAsia="仿宋_GB2312"/>
          <w:sz w:val="32"/>
          <w:szCs w:val="32"/>
        </w:rPr>
        <w:t>万元，增长</w:t>
      </w:r>
      <w:r>
        <w:rPr>
          <w:rFonts w:hint="eastAsia" w:ascii="仿宋_GB2312" w:hAnsi="ˎ̥" w:eastAsia="仿宋_GB2312"/>
          <w:color w:val="auto"/>
          <w:sz w:val="32"/>
          <w:szCs w:val="32"/>
          <w:lang w:val="en-US" w:eastAsia="zh-CN"/>
        </w:rPr>
        <w:t>41.7</w:t>
      </w:r>
      <w:r>
        <w:rPr>
          <w:rFonts w:hint="eastAsia" w:ascii="仿宋_GB2312" w:hAnsi="ˎ̥" w:eastAsia="仿宋_GB2312"/>
          <w:sz w:val="32"/>
          <w:szCs w:val="32"/>
        </w:rPr>
        <w:t>%。主要原因：</w:t>
      </w:r>
      <w:r>
        <w:rPr>
          <w:rFonts w:hint="eastAsia" w:ascii="仿宋_GB2312" w:hAnsi="ˎ̥" w:eastAsia="仿宋_GB2312"/>
          <w:color w:val="auto"/>
          <w:sz w:val="32"/>
          <w:szCs w:val="32"/>
          <w:lang w:val="en-US" w:eastAsia="zh-CN"/>
        </w:rPr>
        <w:t>学生人数增多、教职工人数增多，各项费用增加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auto"/>
          <w:sz w:val="32"/>
          <w:szCs w:val="32"/>
          <w:lang w:val="en-US"/>
        </w:rPr>
        <w:t>328.85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万元，主要原因是</w:t>
      </w:r>
      <w:r>
        <w:rPr>
          <w:rFonts w:hint="eastAsia" w:ascii="仿宋_GB2312" w:hAnsi="ˎ̥" w:eastAsia="仿宋_GB2312"/>
          <w:sz w:val="32"/>
          <w:szCs w:val="32"/>
          <w:lang w:val="en-US" w:eastAsia="zh-CN"/>
        </w:rPr>
        <w:t>屯昌县西昌镇南田幼儿园为公办单位，使用资金都是财政拨款</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屯昌县西昌镇南田幼儿园为公办单位，使用资金都是财政拨款</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auto"/>
          <w:sz w:val="32"/>
          <w:szCs w:val="32"/>
          <w:lang w:val="en-US"/>
        </w:rPr>
        <w:t>328.85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eastAsia" w:ascii="仿宋_GB2312" w:hAnsi="ˎ̥" w:eastAsia="仿宋_GB2312"/>
          <w:color w:val="auto"/>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eastAsia" w:ascii="仿宋_GB2312" w:hAnsi="ˎ̥" w:eastAsia="仿宋_GB2312"/>
          <w:color w:val="auto"/>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auto"/>
          <w:sz w:val="32"/>
          <w:szCs w:val="32"/>
          <w:lang w:val="en-US"/>
        </w:rPr>
        <w:t>328.85</w:t>
      </w:r>
      <w:r>
        <w:rPr>
          <w:rFonts w:hint="eastAsia" w:ascii="仿宋_GB2312" w:hAnsi="ˎ̥" w:eastAsia="仿宋_GB2312"/>
          <w:sz w:val="32"/>
          <w:szCs w:val="32"/>
        </w:rPr>
        <w:t>万元，其中：财政拨款收入</w:t>
      </w:r>
      <w:r>
        <w:rPr>
          <w:rFonts w:hint="default" w:ascii="仿宋_GB2312" w:hAnsi="ˎ̥" w:eastAsia="仿宋_GB2312"/>
          <w:color w:val="auto"/>
          <w:sz w:val="32"/>
          <w:szCs w:val="32"/>
          <w:lang w:val="en-US"/>
        </w:rPr>
        <w:t>328.85</w:t>
      </w:r>
      <w:r>
        <w:rPr>
          <w:rFonts w:hint="eastAsia" w:ascii="仿宋_GB2312" w:hAnsi="ˎ̥" w:eastAsia="仿宋_GB2312"/>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%；上级补助收</w:t>
      </w:r>
      <w:r>
        <w:rPr>
          <w:rFonts w:hint="eastAsia" w:ascii="仿宋_GB2312" w:hAnsi="ˎ̥" w:eastAsia="仿宋_GB2312"/>
          <w:sz w:val="32"/>
          <w:szCs w:val="32"/>
          <w:lang w:val="en-US" w:eastAsia="zh-CN"/>
        </w:rPr>
        <w:t>0.00</w:t>
      </w:r>
      <w:r>
        <w:rPr>
          <w:rFonts w:hint="eastAsia" w:ascii="仿宋_GB2312" w:hAnsi="ˎ̥" w:eastAsia="仿宋_GB2312"/>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sz w:val="32"/>
          <w:szCs w:val="32"/>
        </w:rPr>
        <w:t>%；事业收</w:t>
      </w:r>
      <w:r>
        <w:rPr>
          <w:rFonts w:hint="eastAsia" w:ascii="仿宋_GB2312" w:hAnsi="ˎ̥" w:eastAsia="仿宋_GB2312"/>
          <w:color w:val="auto"/>
          <w:sz w:val="32"/>
          <w:szCs w:val="32"/>
        </w:rPr>
        <w:t>入</w:t>
      </w:r>
      <w:r>
        <w:rPr>
          <w:rFonts w:hint="eastAsia" w:ascii="仿宋_GB2312" w:hAnsi="ˎ̥" w:eastAsia="仿宋_GB2312"/>
          <w:color w:val="auto"/>
          <w:sz w:val="32"/>
          <w:szCs w:val="32"/>
          <w:lang w:val="en-US" w:eastAsia="zh-CN"/>
        </w:rPr>
        <w:t>0.00</w:t>
      </w:r>
      <w:r>
        <w:rPr>
          <w:rFonts w:hint="eastAsia" w:ascii="仿宋_GB2312" w:hAnsi="ˎ̥" w:eastAsia="仿宋_GB2312"/>
          <w:sz w:val="32"/>
          <w:szCs w:val="32"/>
        </w:rPr>
        <w:t>万元，</w:t>
      </w:r>
      <w:r>
        <w:rPr>
          <w:rFonts w:hint="eastAsia" w:ascii="仿宋_GB2312" w:hAnsi="ˎ̥" w:eastAsia="仿宋_GB2312"/>
          <w:color w:val="auto"/>
          <w:sz w:val="32"/>
          <w:szCs w:val="32"/>
        </w:rPr>
        <w:t>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328.85</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49.88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15.2</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278.97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84.8</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auto"/>
          <w:sz w:val="32"/>
          <w:szCs w:val="32"/>
          <w:lang w:val="en-US"/>
        </w:rPr>
        <w:t>328.85</w:t>
      </w:r>
      <w:r>
        <w:rPr>
          <w:rFonts w:hint="eastAsia" w:ascii="仿宋_GB2312" w:hAnsi="ˎ̥" w:eastAsia="仿宋_GB2312"/>
          <w:sz w:val="32"/>
          <w:szCs w:val="32"/>
        </w:rPr>
        <w:t>万元，支出</w:t>
      </w:r>
      <w:r>
        <w:rPr>
          <w:rFonts w:hint="default" w:ascii="仿宋_GB2312" w:hAnsi="ˎ̥" w:eastAsia="仿宋_GB2312"/>
          <w:color w:val="auto"/>
          <w:sz w:val="32"/>
          <w:szCs w:val="32"/>
          <w:lang w:val="en-US"/>
        </w:rPr>
        <w:t>328.85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color w:val="auto"/>
          <w:sz w:val="32"/>
          <w:szCs w:val="32"/>
          <w:lang w:val="en-US" w:eastAsia="zh-CN"/>
        </w:rPr>
        <w:t>137.16</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41.7</w:t>
      </w:r>
      <w:r>
        <w:rPr>
          <w:rFonts w:hint="eastAsia" w:ascii="仿宋_GB2312" w:hAnsi="ˎ̥" w:eastAsia="仿宋_GB2312"/>
          <w:sz w:val="32"/>
          <w:szCs w:val="32"/>
        </w:rPr>
        <w:t>%，主要原因：</w:t>
      </w:r>
      <w:r>
        <w:rPr>
          <w:rFonts w:hint="eastAsia" w:ascii="仿宋_GB2312" w:hAnsi="ˎ̥" w:eastAsia="仿宋_GB2312"/>
          <w:color w:val="auto"/>
          <w:sz w:val="32"/>
          <w:szCs w:val="32"/>
          <w:lang w:val="en-US" w:eastAsia="zh-CN"/>
        </w:rPr>
        <w:t>学生人数增多、教职工人数增多，各项费用增加</w:t>
      </w:r>
      <w:r>
        <w:rPr>
          <w:rFonts w:hint="eastAsia" w:ascii="仿宋_GB2312" w:hAnsi="ˎ̥" w:eastAsia="仿宋_GB2312"/>
          <w:sz w:val="32"/>
          <w:szCs w:val="32"/>
        </w:rPr>
        <w:t>。支出增加</w:t>
      </w:r>
      <w:r>
        <w:rPr>
          <w:rFonts w:hint="eastAsia" w:ascii="仿宋_GB2312" w:hAnsi="ˎ̥" w:eastAsia="仿宋_GB2312"/>
          <w:sz w:val="32"/>
          <w:szCs w:val="32"/>
          <w:lang w:val="en-US" w:eastAsia="zh-CN"/>
        </w:rPr>
        <w:t>137.16</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41.7</w:t>
      </w:r>
      <w:r>
        <w:rPr>
          <w:rFonts w:hint="eastAsia" w:ascii="仿宋_GB2312" w:hAnsi="ˎ̥" w:eastAsia="仿宋_GB2312"/>
          <w:sz w:val="32"/>
          <w:szCs w:val="32"/>
        </w:rPr>
        <w:t>%，主要原因：</w:t>
      </w:r>
      <w:r>
        <w:rPr>
          <w:rFonts w:hint="eastAsia" w:ascii="仿宋_GB2312" w:hAnsi="ˎ̥" w:eastAsia="仿宋_GB2312"/>
          <w:color w:val="auto"/>
          <w:sz w:val="32"/>
          <w:szCs w:val="32"/>
          <w:lang w:val="en-US" w:eastAsia="zh-CN"/>
        </w:rPr>
        <w:t>学生人数增多、教职工人数增多，各项费用增加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屯昌县西昌镇南田幼儿园资金来源为</w:t>
      </w:r>
      <w:r>
        <w:rPr>
          <w:rFonts w:hint="eastAsia" w:ascii="仿宋_GB2312" w:hAnsi="ˎ̥" w:eastAsia="仿宋_GB2312"/>
          <w:sz w:val="32"/>
          <w:szCs w:val="32"/>
        </w:rPr>
        <w:t>一般公共预算财政拨款</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专款专用，没有结余</w:t>
      </w:r>
      <w:r>
        <w:rPr>
          <w:rFonts w:hint="eastAsia" w:ascii="仿宋_GB2312" w:hAnsi="ˎ̥" w:eastAsia="仿宋_GB2312"/>
          <w:sz w:val="32"/>
          <w:szCs w:val="32"/>
          <w:lang w:eastAsia="zh-CN"/>
        </w:rPr>
        <w:t>，</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0.00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专款专用，没有结余</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屯昌县西昌镇南田幼儿园资金来源为</w:t>
      </w:r>
      <w:r>
        <w:rPr>
          <w:rFonts w:hint="eastAsia" w:ascii="仿宋_GB2312" w:hAnsi="ˎ̥" w:eastAsia="仿宋_GB2312"/>
          <w:sz w:val="32"/>
          <w:szCs w:val="32"/>
        </w:rPr>
        <w:t>一般公共预算财政拨款</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专款专用，没有结余</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0.00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专款专用，没有结余</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23005_WPSOffice_Level2"/>
      <w:bookmarkStart w:id="80" w:name="_Toc9989_WPSOffice_Level2"/>
      <w:bookmarkStart w:id="81" w:name="_Toc13694_WPSOffice_Level2"/>
      <w:bookmarkStart w:id="82" w:name="_Toc21737_WPSOffice_Level2"/>
      <w:bookmarkStart w:id="83" w:name="_Toc17398_WPSOffice_Level2"/>
      <w:bookmarkStart w:id="84" w:name="_Toc19665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sz w:val="32"/>
          <w:szCs w:val="32"/>
          <w:lang w:val="en-US"/>
        </w:rPr>
        <w:t>2</w:t>
      </w:r>
      <w:r>
        <w:rPr>
          <w:rFonts w:hint="default" w:ascii="仿宋_GB2312" w:hAnsi="ˎ̥" w:eastAsia="仿宋_GB2312"/>
          <w:color w:val="auto"/>
          <w:sz w:val="32"/>
          <w:szCs w:val="32"/>
          <w:lang w:val="en-US"/>
        </w:rPr>
        <w:t>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328.85</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137.16</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41.7</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学生人数增多、教职工人数增多，各项费用增加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5" w:name="_Toc23864_WPSOffice_Level2"/>
      <w:bookmarkStart w:id="86" w:name="_Toc19535_WPSOffice_Level2"/>
      <w:bookmarkStart w:id="87" w:name="_Toc27767_WPSOffice_Level2"/>
      <w:bookmarkStart w:id="88" w:name="_Toc2711_WPSOffice_Level2"/>
      <w:bookmarkStart w:id="89" w:name="_Toc19075_WPSOffice_Level2"/>
      <w:bookmarkStart w:id="90" w:name="_Toc18793_WPSOffice_Level2"/>
      <w:r>
        <w:rPr>
          <w:rFonts w:hint="eastAsia" w:ascii="楷体" w:hAnsi="楷体" w:eastAsia="楷体" w:cs="楷体"/>
          <w:color w:val="auto"/>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328.85</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lang w:val="en-US" w:eastAsia="zh-CN"/>
        </w:rPr>
        <w:t>教育</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313.88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95.45</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6.35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1.93</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3.58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1.09</w:t>
      </w:r>
      <w:r>
        <w:rPr>
          <w:rFonts w:hint="eastAsia" w:ascii="仿宋_GB2312" w:hAnsi="ˎ̥" w:eastAsia="仿宋_GB2312"/>
          <w:color w:val="auto"/>
          <w:sz w:val="32"/>
          <w:szCs w:val="32"/>
        </w:rPr>
        <w:t>%；</w:t>
      </w:r>
      <w:r>
        <w:rPr>
          <w:rFonts w:hint="eastAsia" w:ascii="仿宋_GB2312" w:hAnsi="ˎ̥" w:eastAsia="仿宋_GB2312"/>
          <w:b/>
          <w:bCs/>
          <w:color w:val="auto"/>
          <w:sz w:val="32"/>
          <w:szCs w:val="32"/>
        </w:rPr>
        <w:t>机关事业单位基本养老保险缴费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4.23万元，占1.28%；</w:t>
      </w:r>
      <w:r>
        <w:rPr>
          <w:rFonts w:hint="eastAsia" w:ascii="仿宋_GB2312" w:hAnsi="ˎ̥" w:eastAsia="仿宋_GB2312"/>
          <w:b/>
          <w:bCs/>
          <w:color w:val="auto"/>
          <w:sz w:val="32"/>
          <w:szCs w:val="32"/>
          <w:lang w:val="en-US" w:eastAsia="zh-CN"/>
        </w:rPr>
        <w:t>机关事业单位职业年金缴费</w:t>
      </w:r>
      <w:r>
        <w:rPr>
          <w:rFonts w:hint="eastAsia" w:ascii="仿宋_GB2312" w:hAnsi="ˎ̥" w:eastAsia="仿宋_GB2312"/>
          <w:color w:val="auto"/>
          <w:sz w:val="32"/>
          <w:szCs w:val="32"/>
          <w:lang w:val="en-US" w:eastAsia="zh-CN"/>
        </w:rPr>
        <w:t>支出2.12万元，占0.64%；</w:t>
      </w:r>
      <w:r>
        <w:rPr>
          <w:rFonts w:hint="eastAsia" w:ascii="仿宋_GB2312" w:hAnsi="ˎ̥" w:eastAsia="仿宋_GB2312"/>
          <w:b/>
          <w:bCs/>
          <w:color w:val="auto"/>
          <w:sz w:val="32"/>
          <w:szCs w:val="32"/>
          <w:lang w:val="en-US" w:eastAsia="zh-CN"/>
        </w:rPr>
        <w:t>卫生健康</w:t>
      </w:r>
      <w:r>
        <w:rPr>
          <w:rFonts w:hint="eastAsia" w:ascii="仿宋_GB2312" w:hAnsi="ˎ̥" w:eastAsia="仿宋_GB2312"/>
          <w:color w:val="auto"/>
          <w:sz w:val="32"/>
          <w:szCs w:val="32"/>
          <w:lang w:val="en-US" w:eastAsia="zh-CN"/>
        </w:rPr>
        <w:t>支出5.05万元，占1.54%；</w:t>
      </w:r>
      <w:r>
        <w:rPr>
          <w:rFonts w:hint="eastAsia" w:ascii="仿宋_GB2312" w:hAnsi="ˎ̥" w:eastAsia="仿宋_GB2312"/>
          <w:b/>
          <w:bCs/>
          <w:color w:val="auto"/>
          <w:sz w:val="32"/>
          <w:szCs w:val="32"/>
          <w:lang w:val="en-US" w:eastAsia="zh-CN"/>
        </w:rPr>
        <w:t>公务员医疗补助</w:t>
      </w:r>
      <w:r>
        <w:rPr>
          <w:rFonts w:hint="eastAsia" w:ascii="仿宋_GB2312" w:hAnsi="ˎ̥" w:eastAsia="仿宋_GB2312"/>
          <w:color w:val="auto"/>
          <w:sz w:val="32"/>
          <w:szCs w:val="32"/>
          <w:lang w:val="en-US" w:eastAsia="zh-CN"/>
        </w:rPr>
        <w:t>支出3.27万元，占1%</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22318_WPSOffice_Level2"/>
      <w:bookmarkStart w:id="92" w:name="_Toc21701_WPSOffice_Level2"/>
      <w:bookmarkStart w:id="93" w:name="_Toc29364_WPSOffice_Level2"/>
      <w:bookmarkStart w:id="94" w:name="_Toc9502_WPSOffice_Level2"/>
      <w:bookmarkStart w:id="95" w:name="_Toc25136_WPSOffice_Level2"/>
      <w:bookmarkStart w:id="96" w:name="_Toc15415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w:t>
      </w:r>
      <w:r>
        <w:rPr>
          <w:rFonts w:hint="default" w:ascii="仿宋_GB2312" w:hAnsi="ˎ̥" w:eastAsia="仿宋_GB2312"/>
          <w:color w:val="auto"/>
          <w:sz w:val="32"/>
          <w:szCs w:val="32"/>
          <w:lang w:val="en-US"/>
        </w:rPr>
        <w:t>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328.85</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328.85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auto"/>
          <w:sz w:val="32"/>
          <w:szCs w:val="32"/>
          <w:lang w:val="en-US" w:eastAsia="zh-CN"/>
        </w:rPr>
        <w:t>49.88</w:t>
      </w:r>
      <w:r>
        <w:rPr>
          <w:rFonts w:hint="eastAsia" w:ascii="仿宋_GB2312" w:hAnsi="ˎ̥" w:eastAsia="仿宋_GB2312"/>
          <w:sz w:val="32"/>
          <w:szCs w:val="32"/>
        </w:rPr>
        <w:t>万元，其中：人员经费</w:t>
      </w:r>
      <w:r>
        <w:rPr>
          <w:rFonts w:ascii="仿宋_GB2312" w:hAnsi="ˎ̥" w:eastAsia="仿宋_GB2312"/>
          <w:color w:val="auto"/>
          <w:sz w:val="32"/>
          <w:szCs w:val="32"/>
          <w:lang w:val="en-US"/>
        </w:rPr>
        <w:t>49.34</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0.54</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w:t>
      </w:r>
      <w:r>
        <w:rPr>
          <w:rFonts w:hint="eastAsia" w:ascii="仿宋_GB2312" w:hAnsi="ˎ̥" w:eastAsia="仿宋_GB2312"/>
          <w:sz w:val="32"/>
          <w:szCs w:val="32"/>
          <w:lang w:val="en-US" w:eastAsia="zh-CN"/>
        </w:rPr>
        <w:t>0.00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屯昌县西昌镇南田幼儿园资金来源为</w:t>
      </w:r>
      <w:r>
        <w:rPr>
          <w:rFonts w:hint="eastAsia" w:ascii="仿宋_GB2312" w:hAnsi="ˎ̥" w:eastAsia="仿宋_GB2312"/>
          <w:sz w:val="32"/>
          <w:szCs w:val="32"/>
        </w:rPr>
        <w:t>一般公共预算财政拨款。</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万元，占本年支出合计</w:t>
      </w:r>
      <w:r>
        <w:rPr>
          <w:rFonts w:hint="eastAsia" w:ascii="仿宋_GB2312" w:hAnsi="ˎ̥" w:eastAsia="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屯昌县西昌镇南田幼儿园资金来源为</w:t>
      </w:r>
      <w:r>
        <w:rPr>
          <w:rFonts w:hint="eastAsia" w:ascii="仿宋_GB2312" w:hAnsi="ˎ̥" w:eastAsia="仿宋_GB2312"/>
          <w:sz w:val="32"/>
          <w:szCs w:val="32"/>
        </w:rPr>
        <w:t>一般公共预算财政拨款。</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sz w:val="32"/>
          <w:szCs w:val="32"/>
        </w:rPr>
        <w:t xml:space="preserve">  </w:t>
      </w: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sz w:val="32"/>
          <w:szCs w:val="32"/>
          <w:lang w:val="en-US" w:eastAsia="zh-CN"/>
        </w:rPr>
        <w:t>屯昌县西昌镇南田幼儿园2024年无人员因公出国（境）、无公务用车购置及运行维护费、无公务接待费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无人员因公出国（境）</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无公用车</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无公务接待</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根据财政预算绩效管理要求，</w:t>
      </w:r>
      <w:r>
        <w:rPr>
          <w:rFonts w:hint="eastAsia" w:ascii="仿宋_GB2312" w:hAnsi="ˎ̥" w:eastAsia="仿宋_GB2312"/>
          <w:color w:val="auto"/>
          <w:sz w:val="32"/>
          <w:szCs w:val="32"/>
          <w:lang w:val="en-US" w:eastAsia="zh-CN"/>
        </w:rPr>
        <w:t>屯昌县西昌镇南田幼儿园对2024年度一般公共预算项目支出开展全面绩效自评。</w:t>
      </w:r>
      <w:r>
        <w:rPr>
          <w:rFonts w:hint="default" w:ascii="仿宋_GB2312" w:hAnsi="ˎ̥" w:eastAsia="仿宋_GB2312"/>
          <w:color w:val="auto"/>
          <w:sz w:val="32"/>
          <w:szCs w:val="32"/>
        </w:rPr>
        <w:t>自评项目0个，共涉及资金0</w:t>
      </w:r>
      <w:r>
        <w:rPr>
          <w:rFonts w:hint="eastAsia" w:ascii="仿宋_GB2312" w:hAnsi="ˎ̥" w:eastAsia="仿宋_GB2312"/>
          <w:color w:val="auto"/>
          <w:sz w:val="32"/>
          <w:szCs w:val="32"/>
          <w:lang w:val="en-US" w:eastAsia="zh-CN"/>
        </w:rPr>
        <w:t>.00</w:t>
      </w:r>
      <w:r>
        <w:rPr>
          <w:rFonts w:hint="default" w:ascii="仿宋_GB2312" w:hAnsi="ˎ̥" w:eastAsia="仿宋_GB2312"/>
          <w:color w:val="auto"/>
          <w:sz w:val="32"/>
          <w:szCs w:val="32"/>
        </w:rPr>
        <w:t>万元，自评覆盖率达到0%。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w:t>
      </w:r>
      <w:r>
        <w:rPr>
          <w:rFonts w:hint="eastAsia" w:ascii="楷体" w:hAnsi="楷体" w:eastAsia="楷体" w:cs="楷体"/>
          <w:bCs/>
          <w:sz w:val="32"/>
          <w:szCs w:val="32"/>
          <w:lang w:eastAsia="zh-CN"/>
        </w:rPr>
        <w:t>单位</w:t>
      </w:r>
      <w:r>
        <w:rPr>
          <w:rFonts w:hint="eastAsia" w:ascii="楷体" w:hAnsi="楷体" w:eastAsia="楷体" w:cs="楷体"/>
          <w:bCs/>
          <w:sz w:val="32"/>
          <w:szCs w:val="32"/>
        </w:rPr>
        <w:t>评价结果（预算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填写，</w:t>
      </w:r>
      <w:r>
        <w:rPr>
          <w:rFonts w:hint="eastAsia" w:ascii="楷体" w:hAnsi="楷体" w:eastAsia="楷体" w:cs="楷体"/>
          <w:bCs/>
          <w:sz w:val="32"/>
          <w:szCs w:val="32"/>
          <w:lang w:eastAsia="zh-CN"/>
        </w:rPr>
        <w:t>单位</w:t>
      </w:r>
      <w:r>
        <w:rPr>
          <w:rFonts w:hint="eastAsia" w:ascii="楷体" w:hAnsi="楷体" w:eastAsia="楷体" w:cs="楷体"/>
          <w:bCs/>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15262_WPSOffice_Level2"/>
      <w:bookmarkStart w:id="98" w:name="_Toc18325_WPSOffice_Level2"/>
      <w:bookmarkStart w:id="99" w:name="_Toc32639_WPSOffice_Level2"/>
      <w:bookmarkStart w:id="100" w:name="_Toc15565_WPSOffice_Level2"/>
      <w:bookmarkStart w:id="101" w:name="_Toc23598_WPSOffice_Level2"/>
      <w:bookmarkStart w:id="102" w:name="_Toc5978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Times New Roman" w:eastAsia="仿宋_GB2312" w:cs="Times New Roman"/>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default" w:ascii="仿宋_GB2312" w:hAnsi="Times New Roman" w:eastAsia="仿宋_GB2312" w:cs="Times New Roman"/>
          <w:sz w:val="32"/>
          <w:szCs w:val="32"/>
          <w:lang w:val="en-US" w:eastAsia="zh-CN"/>
        </w:rPr>
        <w:t>屯昌县</w:t>
      </w:r>
      <w:r>
        <w:rPr>
          <w:rFonts w:hint="eastAsia" w:ascii="仿宋_GB2312" w:hAnsi="Times New Roman" w:eastAsia="仿宋_GB2312" w:cs="Times New Roman"/>
          <w:sz w:val="32"/>
          <w:szCs w:val="32"/>
          <w:lang w:val="en-US" w:eastAsia="zh-CN"/>
        </w:rPr>
        <w:t>西昌镇南田</w:t>
      </w:r>
      <w:r>
        <w:rPr>
          <w:rFonts w:hint="default" w:ascii="仿宋_GB2312" w:hAnsi="Times New Roman" w:eastAsia="仿宋_GB2312" w:cs="Times New Roman"/>
          <w:sz w:val="32"/>
          <w:szCs w:val="32"/>
          <w:lang w:val="en-US" w:eastAsia="zh-CN"/>
        </w:rPr>
        <w:t>幼儿园机关运行经费0.00万元，比年初预算增加（减少）0.00万元，增长（降低）0.00%</w:t>
      </w:r>
      <w:bookmarkStart w:id="103" w:name="_Toc32689_WPSOffice_Level2"/>
      <w:bookmarkStart w:id="104" w:name="_Toc13084_WPSOffice_Level2"/>
      <w:bookmarkStart w:id="105" w:name="_Toc3131_WPSOffice_Level2"/>
      <w:bookmarkStart w:id="106" w:name="_Toc23966_WPSOffice_Level2"/>
      <w:bookmarkStart w:id="107" w:name="_Toc30383_WPSOffice_Level2"/>
      <w:bookmarkStart w:id="108" w:name="_Toc25333_WPSOffice_Level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spacing w:line="578" w:lineRule="exact"/>
        <w:ind w:firstLine="640" w:firstLineChars="200"/>
        <w:jc w:val="left"/>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auto"/>
          <w:sz w:val="32"/>
          <w:szCs w:val="32"/>
          <w:lang w:val="en-US" w:eastAsia="zh-CN"/>
        </w:rPr>
        <w:t>屯昌县西昌镇南田幼儿园政府</w:t>
      </w:r>
      <w:r>
        <w:rPr>
          <w:rFonts w:hint="eastAsia" w:ascii="仿宋_GB2312" w:hAnsi="ˎ̥" w:eastAsia="仿宋_GB2312"/>
          <w:sz w:val="32"/>
          <w:szCs w:val="32"/>
        </w:rPr>
        <w:t>采购支出总额</w:t>
      </w:r>
      <w:r>
        <w:rPr>
          <w:rFonts w:hint="eastAsia" w:ascii="仿宋_GB2312" w:hAnsi="ˎ̥" w:eastAsia="仿宋_GB2312"/>
          <w:color w:val="auto"/>
          <w:sz w:val="32"/>
          <w:szCs w:val="32"/>
          <w:lang w:val="en-US" w:eastAsia="zh-CN"/>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color w:val="000000"/>
          <w:sz w:val="32"/>
          <w:szCs w:val="32"/>
        </w:rPr>
        <w:t>其中：政府采购货物支出</w:t>
      </w:r>
      <w:r>
        <w:rPr>
          <w:rFonts w:hint="eastAsia" w:ascii="仿宋_GB2312" w:hAnsi="ˎ̥" w:eastAsia="仿宋_GB2312"/>
          <w:color w:val="000000"/>
          <w:sz w:val="32"/>
          <w:szCs w:val="32"/>
          <w:lang w:val="en-US" w:eastAsia="zh-CN"/>
        </w:rPr>
        <w:t>0.00</w:t>
      </w:r>
      <w:r>
        <w:rPr>
          <w:rFonts w:hint="eastAsia" w:ascii="仿宋_GB2312" w:hAnsi="ˎ̥" w:eastAsia="仿宋_GB2312"/>
          <w:color w:val="000000"/>
          <w:sz w:val="32"/>
          <w:szCs w:val="32"/>
        </w:rPr>
        <w:t>万元、政府采购工程支出</w:t>
      </w:r>
      <w:r>
        <w:rPr>
          <w:rFonts w:hint="eastAsia" w:ascii="仿宋_GB2312" w:hAnsi="ˎ̥" w:eastAsia="仿宋_GB2312"/>
          <w:color w:val="000000"/>
          <w:sz w:val="32"/>
          <w:szCs w:val="32"/>
          <w:lang w:val="en-US" w:eastAsia="zh-CN"/>
        </w:rPr>
        <w:t>0.00</w:t>
      </w:r>
      <w:r>
        <w:rPr>
          <w:rFonts w:hint="eastAsia" w:ascii="仿宋_GB2312" w:hAnsi="ˎ̥" w:eastAsia="仿宋_GB2312"/>
          <w:color w:val="000000"/>
          <w:sz w:val="32"/>
          <w:szCs w:val="32"/>
        </w:rPr>
        <w:t>万元、政府采购服务支出</w:t>
      </w:r>
      <w:r>
        <w:rPr>
          <w:rFonts w:hint="eastAsia" w:ascii="仿宋_GB2312" w:hAnsi="ˎ̥" w:eastAsia="仿宋_GB2312"/>
          <w:color w:val="000000"/>
          <w:sz w:val="32"/>
          <w:szCs w:val="32"/>
          <w:lang w:val="en-US" w:eastAsia="zh-CN"/>
        </w:rPr>
        <w:t>0.00</w:t>
      </w:r>
      <w:r>
        <w:rPr>
          <w:rFonts w:hint="eastAsia" w:ascii="仿宋_GB2312" w:hAnsi="ˎ̥" w:eastAsia="仿宋_GB2312"/>
          <w:color w:val="000000"/>
          <w:sz w:val="32"/>
          <w:szCs w:val="32"/>
        </w:rPr>
        <w:t>万元。授予中小企业合同金额</w:t>
      </w:r>
      <w:r>
        <w:rPr>
          <w:rFonts w:hint="eastAsia" w:ascii="仿宋_GB2312" w:hAnsi="ˎ̥" w:eastAsia="仿宋_GB2312"/>
          <w:color w:val="000000"/>
          <w:sz w:val="32"/>
          <w:szCs w:val="32"/>
          <w:lang w:val="en-US" w:eastAsia="zh-CN"/>
        </w:rPr>
        <w:t>0.00</w:t>
      </w:r>
      <w:r>
        <w:rPr>
          <w:rFonts w:hint="eastAsia" w:ascii="仿宋_GB2312" w:hAnsi="ˎ̥" w:eastAsia="仿宋_GB2312"/>
          <w:color w:val="000000"/>
          <w:sz w:val="32"/>
          <w:szCs w:val="32"/>
        </w:rPr>
        <w:t>万元，占政府采购支出总额的</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%，其中：授予小微企业合同金额</w:t>
      </w:r>
      <w:r>
        <w:rPr>
          <w:rFonts w:hint="eastAsia" w:ascii="仿宋_GB2312" w:hAnsi="ˎ̥" w:eastAsia="仿宋_GB2312"/>
          <w:color w:val="000000"/>
          <w:sz w:val="32"/>
          <w:szCs w:val="32"/>
          <w:lang w:val="en-US" w:eastAsia="zh-CN"/>
        </w:rPr>
        <w:t>0.00</w:t>
      </w:r>
      <w:r>
        <w:rPr>
          <w:rFonts w:hint="eastAsia" w:ascii="仿宋_GB2312" w:hAnsi="ˎ̥" w:eastAsia="仿宋_GB2312"/>
          <w:color w:val="000000"/>
          <w:sz w:val="32"/>
          <w:szCs w:val="32"/>
        </w:rPr>
        <w:t>万元，占</w:t>
      </w:r>
      <w:r>
        <w:rPr>
          <w:rFonts w:hint="eastAsia" w:ascii="仿宋_GB2312" w:hAnsi="仿宋_GB2312" w:eastAsia="仿宋_GB2312" w:cs="仿宋_GB2312"/>
          <w:color w:val="000000"/>
          <w:kern w:val="0"/>
          <w:sz w:val="32"/>
          <w:szCs w:val="32"/>
          <w:lang w:bidi="ar"/>
        </w:rPr>
        <w:t>授予中小企业合同金额</w:t>
      </w:r>
      <w:r>
        <w:rPr>
          <w:rFonts w:hint="eastAsia" w:ascii="仿宋_GB2312" w:hAnsi="仿宋_GB2312" w:eastAsia="仿宋_GB2312" w:cs="仿宋_GB2312"/>
          <w:color w:val="000000"/>
          <w:sz w:val="32"/>
          <w:szCs w:val="32"/>
        </w:rPr>
        <w:t>的</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19989_WPSOffice_Level2"/>
      <w:bookmarkStart w:id="110" w:name="_Toc527_WPSOffice_Level2"/>
      <w:bookmarkStart w:id="111" w:name="_Toc10902_WPSOffice_Level2"/>
      <w:bookmarkStart w:id="112" w:name="_Toc15129_WPSOffice_Level2"/>
      <w:bookmarkStart w:id="113" w:name="_Toc29584_WPSOffice_Level2"/>
      <w:bookmarkStart w:id="114" w:name="_Toc6016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2042.12</w:t>
      </w:r>
      <w:r>
        <w:rPr>
          <w:rFonts w:hint="eastAsia" w:ascii="仿宋_GB2312" w:hAnsi="ˎ̥" w:eastAsia="仿宋_GB2312"/>
          <w:color w:val="auto"/>
          <w:sz w:val="32"/>
          <w:szCs w:val="32"/>
        </w:rPr>
        <w:t>平方米，其中：办公用房</w:t>
      </w:r>
      <w:r>
        <w:rPr>
          <w:rFonts w:hint="eastAsia" w:ascii="仿宋_GB2312" w:hAnsi="ˎ̥" w:eastAsia="仿宋_GB2312"/>
          <w:color w:val="auto"/>
          <w:sz w:val="32"/>
          <w:szCs w:val="32"/>
          <w:lang w:val="en-US" w:eastAsia="zh-CN"/>
        </w:rPr>
        <w:t>194.9</w:t>
      </w:r>
      <w:r>
        <w:rPr>
          <w:rFonts w:hint="eastAsia" w:ascii="仿宋_GB2312" w:hAnsi="ˎ̥" w:eastAsia="仿宋_GB2312"/>
          <w:color w:val="auto"/>
          <w:sz w:val="32"/>
          <w:szCs w:val="32"/>
        </w:rPr>
        <w:t>平方米，业务用房</w:t>
      </w:r>
      <w:r>
        <w:rPr>
          <w:rFonts w:hint="eastAsia" w:ascii="仿宋_GB2312" w:hAnsi="ˎ̥" w:eastAsia="仿宋_GB2312"/>
          <w:color w:val="auto"/>
          <w:sz w:val="32"/>
          <w:szCs w:val="32"/>
          <w:lang w:val="en-US" w:eastAsia="zh-CN"/>
        </w:rPr>
        <w:t>288.29</w:t>
      </w:r>
      <w:r>
        <w:rPr>
          <w:rFonts w:hint="eastAsia" w:ascii="仿宋_GB2312" w:hAnsi="ˎ̥" w:eastAsia="仿宋_GB2312"/>
          <w:color w:val="auto"/>
          <w:sz w:val="32"/>
          <w:szCs w:val="32"/>
        </w:rPr>
        <w:t>平方米，其他（不含构筑物）</w:t>
      </w:r>
      <w:r>
        <w:rPr>
          <w:rFonts w:hint="eastAsia" w:ascii="仿宋_GB2312" w:hAnsi="ˎ̥" w:eastAsia="仿宋_GB2312"/>
          <w:color w:val="auto"/>
          <w:sz w:val="32"/>
          <w:szCs w:val="32"/>
          <w:lang w:val="en-US" w:eastAsia="zh-CN"/>
        </w:rPr>
        <w:t>136.08</w:t>
      </w:r>
      <w:r>
        <w:rPr>
          <w:rFonts w:hint="eastAsia" w:ascii="仿宋_GB2312" w:hAnsi="ˎ̥" w:eastAsia="仿宋_GB2312"/>
          <w:color w:val="auto"/>
          <w:sz w:val="32"/>
          <w:szCs w:val="32"/>
        </w:rPr>
        <w:t>平方米。</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辆，其他用车主要是……。单价100万元（含）以上设备（不含车辆）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spacing w:line="578" w:lineRule="exact"/>
        <w:ind w:firstLine="640" w:firstLineChars="200"/>
        <w:rPr>
          <w:rFonts w:hint="eastAsia" w:ascii="黑体" w:hAnsi="ˎ̥" w:eastAsia="黑体"/>
          <w:sz w:val="32"/>
          <w:szCs w:val="32"/>
        </w:rPr>
      </w:pPr>
      <w:r>
        <w:rPr>
          <w:rFonts w:hint="eastAsia" w:ascii="仿宋_GB2312" w:hAnsi="ˎ̥" w:eastAsia="仿宋_GB2312"/>
          <w:color w:val="auto"/>
          <w:sz w:val="32"/>
          <w:szCs w:val="32"/>
        </w:rPr>
        <w:t>年末在建工程</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bookmarkStart w:id="115" w:name="_Toc4398_WPSOffice_Level1"/>
      <w:bookmarkStart w:id="116" w:name="_Toc17580_WPSOffice_Level1"/>
      <w:bookmarkStart w:id="117" w:name="_Toc11039_WPSOffice_Level1"/>
      <w:bookmarkStart w:id="118" w:name="_Toc8874_WPSOffice_Level1"/>
      <w:bookmarkStart w:id="119" w:name="_Toc8808_WPSOffice_Level1"/>
      <w:bookmarkStart w:id="120"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69171C"/>
    <w:rsid w:val="05E811A8"/>
    <w:rsid w:val="066545D7"/>
    <w:rsid w:val="09201287"/>
    <w:rsid w:val="0B66098E"/>
    <w:rsid w:val="0D2B306C"/>
    <w:rsid w:val="0FC80124"/>
    <w:rsid w:val="13183D0F"/>
    <w:rsid w:val="132A08F2"/>
    <w:rsid w:val="136F98C7"/>
    <w:rsid w:val="17427E68"/>
    <w:rsid w:val="1755065F"/>
    <w:rsid w:val="17A65D62"/>
    <w:rsid w:val="1AFC29C9"/>
    <w:rsid w:val="1CA52F2E"/>
    <w:rsid w:val="1E3630B9"/>
    <w:rsid w:val="20B67914"/>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5380DFA"/>
    <w:rsid w:val="48317291"/>
    <w:rsid w:val="485F7024"/>
    <w:rsid w:val="48DF1833"/>
    <w:rsid w:val="48E70666"/>
    <w:rsid w:val="4C6877E5"/>
    <w:rsid w:val="4D6A468D"/>
    <w:rsid w:val="4EA86137"/>
    <w:rsid w:val="502B5E59"/>
    <w:rsid w:val="56CA7FD0"/>
    <w:rsid w:val="57FA38D1"/>
    <w:rsid w:val="5F7D3333"/>
    <w:rsid w:val="61385890"/>
    <w:rsid w:val="687436E1"/>
    <w:rsid w:val="6BBF054E"/>
    <w:rsid w:val="6DA45C50"/>
    <w:rsid w:val="6E9A7825"/>
    <w:rsid w:val="6F670F9B"/>
    <w:rsid w:val="71D00234"/>
    <w:rsid w:val="72A97DB2"/>
    <w:rsid w:val="737450E0"/>
    <w:rsid w:val="74054476"/>
    <w:rsid w:val="742F38C4"/>
    <w:rsid w:val="74AB66DC"/>
    <w:rsid w:val="74C4154C"/>
    <w:rsid w:val="75956FFF"/>
    <w:rsid w:val="77AA2D01"/>
    <w:rsid w:val="7BBD442A"/>
    <w:rsid w:val="7CDE1DBD"/>
    <w:rsid w:val="7D943A85"/>
    <w:rsid w:val="7DB0448C"/>
    <w:rsid w:val="7E5F9AA4"/>
    <w:rsid w:val="7FA07005"/>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3</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2025-10-27T07:38:26Z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