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屯昌县南吕镇第二幼儿园2024年度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bookmarkStart w:id="119" w:name="_GoBack"/>
      <w:bookmarkEnd w:id="119"/>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南吕镇第二幼儿园</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1704_WPSOffice_Level1"/>
      <w:bookmarkStart w:id="4" w:name="_Toc10049_WPSOffice_Level1"/>
      <w:bookmarkStart w:id="5" w:name="_Toc22941_WPSOffice_Level1"/>
      <w:bookmarkStart w:id="6" w:name="_Toc10720_WPSOffice_Level1"/>
      <w:bookmarkStart w:id="7" w:name="_Toc32433_WPSOffice_Level1"/>
      <w:bookmarkStart w:id="8" w:name="_Toc24238_WPSOffice_Level2"/>
      <w:bookmarkStart w:id="9" w:name="_Toc26580_WPSOffice_Level2"/>
      <w:bookmarkStart w:id="10" w:name="_Toc20274_WPSOffice_Level2"/>
      <w:bookmarkStart w:id="11" w:name="_Toc20205_WPSOffice_Level2"/>
      <w:bookmarkStart w:id="12" w:name="_Toc32622_WPSOffice_Level2"/>
      <w:bookmarkStart w:id="13" w:name="_Toc14159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lang w:val="en-US" w:eastAsia="zh-CN"/>
        </w:rPr>
        <w:t>南吕镇第二幼儿园</w:t>
      </w:r>
      <w:r>
        <w:rPr>
          <w:rFonts w:hint="eastAsia" w:ascii="黑体" w:hAnsi="黑体" w:eastAsia="黑体" w:cs="黑体"/>
          <w:sz w:val="32"/>
          <w:szCs w:val="32"/>
        </w:rPr>
        <w:t>职责</w:t>
      </w:r>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bookmarkStart w:id="14" w:name="_Toc6572_WPSOffice_Level2"/>
      <w:bookmarkStart w:id="15" w:name="_Toc24474_WPSOffice_Level2"/>
      <w:bookmarkStart w:id="16" w:name="_Toc17796_WPSOffice_Level2"/>
      <w:bookmarkStart w:id="17" w:name="_Toc24059_WPSOffice_Level2"/>
      <w:bookmarkStart w:id="18" w:name="_Toc4833_WPSOffice_Level2"/>
      <w:r>
        <w:rPr>
          <w:rFonts w:hint="eastAsia" w:ascii="仿宋_GB2312" w:hAnsi="ˎ̥" w:eastAsia="仿宋_GB2312"/>
          <w:color w:val="000000" w:themeColor="text1"/>
          <w:sz w:val="32"/>
          <w:szCs w:val="32"/>
          <w14:textFill>
            <w14:solidFill>
              <w14:schemeClr w14:val="tx1"/>
            </w14:solidFill>
          </w14:textFill>
        </w:rPr>
        <w:t>（一）基本职能</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 贯彻落实《中华人民共和国教育法》《幼儿园工作规程》《3-6岁儿童学习与发展指南》等法律法规及政策文件，坚持社会主义办园方向，依法依规开展保育教育工作。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2. 执行上级教育行政</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的决策部署，结合园所实际制定发展规划与年度计划，推进民主管理与科学治园。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3</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遵循“保育与教育相结合”原则，以游戏为基本活动，促进幼儿在体、智、德、美、劳各领域全面发展，注重身心健康与习惯养成。尊重幼儿身心发展规律与个体差异，创设健康、丰富的生活和活动环境，合理组织一日生活、游戏、教学等活动，落实素质教育要求。</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4.</w:t>
      </w:r>
      <w:r>
        <w:rPr>
          <w:rFonts w:hint="eastAsia" w:ascii="仿宋_GB2312" w:hAnsi="ˎ̥" w:eastAsia="仿宋_GB2312"/>
          <w:color w:val="000000" w:themeColor="text1"/>
          <w:sz w:val="32"/>
          <w:szCs w:val="32"/>
          <w14:textFill>
            <w14:solidFill>
              <w14:schemeClr w14:val="tx1"/>
            </w14:solidFill>
          </w14:textFill>
        </w:rPr>
        <w:t>建立常态化家园沟通机制，通过家长会、家长开放日、线上平台等形式，向家长宣传科学育儿知识，形成教育合力。</w:t>
      </w:r>
    </w:p>
    <w:p>
      <w:pPr>
        <w:keepNext w:val="0"/>
        <w:keepLines w:val="0"/>
        <w:widowControl/>
        <w:suppressLineNumbers w:val="0"/>
        <w:shd w:val="clear" w:color="auto" w:fill="FFFFFF"/>
        <w:wordWrap w:val="0"/>
        <w:snapToGrid w:val="0"/>
        <w:spacing w:before="0" w:beforeAutospacing="0" w:after="0" w:afterAutospacing="0" w:line="480" w:lineRule="auto"/>
        <w:ind w:left="0" w:right="0" w:firstLine="600" w:firstLineChars="200"/>
        <w:jc w:val="left"/>
        <w:rPr>
          <w:rFonts w:hint="eastAsia" w:ascii="仿宋" w:hAnsi="仿宋" w:eastAsia="仿宋" w:cs="仿宋"/>
          <w:kern w:val="0"/>
          <w:sz w:val="30"/>
          <w:szCs w:val="30"/>
          <w:shd w:val="clear" w:color="auto" w:fill="FFFFFF"/>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00" w:firstLineChars="200"/>
        <w:rPr>
          <w:rFonts w:hint="eastAsia" w:ascii="黑体" w:hAnsi="黑体" w:eastAsia="黑体" w:cs="黑体"/>
          <w:sz w:val="32"/>
          <w:szCs w:val="32"/>
        </w:rPr>
      </w:pPr>
      <w:r>
        <w:rPr>
          <w:rFonts w:hint="eastAsia" w:ascii="仿宋" w:hAnsi="仿宋" w:eastAsia="仿宋" w:cs="仿宋"/>
          <w:kern w:val="0"/>
          <w:sz w:val="30"/>
          <w:szCs w:val="30"/>
          <w:shd w:val="clear" w:color="auto" w:fill="FFFFFF"/>
        </w:rPr>
        <w:t>屯昌县南吕镇第二幼儿园，共有</w:t>
      </w:r>
      <w:r>
        <w:rPr>
          <w:rFonts w:hint="eastAsia" w:ascii="仿宋" w:hAnsi="仿宋" w:eastAsia="仿宋" w:cs="仿宋"/>
          <w:kern w:val="0"/>
          <w:sz w:val="30"/>
          <w:szCs w:val="30"/>
          <w:shd w:val="clear" w:color="auto" w:fill="FFFFFF"/>
          <w:lang w:val="en-US" w:eastAsia="zh-CN"/>
        </w:rPr>
        <w:t>23</w:t>
      </w:r>
      <w:r>
        <w:rPr>
          <w:rFonts w:hint="eastAsia" w:ascii="仿宋" w:hAnsi="仿宋" w:eastAsia="仿宋" w:cs="仿宋"/>
          <w:kern w:val="0"/>
          <w:sz w:val="30"/>
          <w:szCs w:val="30"/>
          <w:shd w:val="clear" w:color="auto" w:fill="FFFFFF"/>
        </w:rPr>
        <w:t>人，事业编制人员</w:t>
      </w:r>
      <w:r>
        <w:rPr>
          <w:rFonts w:hint="eastAsia" w:ascii="仿宋" w:hAnsi="仿宋" w:eastAsia="仿宋" w:cs="仿宋"/>
          <w:kern w:val="0"/>
          <w:sz w:val="30"/>
          <w:szCs w:val="30"/>
          <w:shd w:val="clear" w:color="auto" w:fill="FFFFFF"/>
          <w:lang w:val="en-US" w:eastAsia="zh-CN"/>
        </w:rPr>
        <w:t>3</w:t>
      </w:r>
      <w:r>
        <w:rPr>
          <w:rFonts w:hint="eastAsia" w:ascii="仿宋" w:hAnsi="仿宋" w:eastAsia="仿宋" w:cs="仿宋"/>
          <w:kern w:val="0"/>
          <w:sz w:val="30"/>
          <w:szCs w:val="30"/>
          <w:shd w:val="clear" w:color="auto" w:fill="FFFFFF"/>
        </w:rPr>
        <w:t>人，特岗教师2人，临聘教师</w:t>
      </w:r>
      <w:r>
        <w:rPr>
          <w:rFonts w:hint="eastAsia" w:ascii="仿宋" w:hAnsi="仿宋" w:eastAsia="仿宋" w:cs="仿宋"/>
          <w:kern w:val="0"/>
          <w:sz w:val="30"/>
          <w:szCs w:val="30"/>
          <w:shd w:val="clear" w:color="auto" w:fill="FFFFFF"/>
          <w:lang w:val="en-US" w:eastAsia="zh-CN"/>
        </w:rPr>
        <w:t>6</w:t>
      </w:r>
      <w:r>
        <w:rPr>
          <w:rFonts w:hint="eastAsia" w:ascii="仿宋" w:hAnsi="仿宋" w:eastAsia="仿宋" w:cs="仿宋"/>
          <w:kern w:val="0"/>
          <w:sz w:val="30"/>
          <w:szCs w:val="30"/>
          <w:shd w:val="clear" w:color="auto" w:fill="FFFFFF"/>
        </w:rPr>
        <w:t>人，临聘保育</w:t>
      </w:r>
      <w:r>
        <w:rPr>
          <w:rFonts w:hint="eastAsia" w:ascii="仿宋" w:hAnsi="仿宋" w:eastAsia="仿宋" w:cs="仿宋"/>
          <w:kern w:val="0"/>
          <w:sz w:val="30"/>
          <w:szCs w:val="30"/>
          <w:shd w:val="clear" w:color="auto" w:fill="FFFFFF"/>
          <w:lang w:val="en-US" w:eastAsia="zh-CN"/>
        </w:rPr>
        <w:t>6</w:t>
      </w:r>
      <w:r>
        <w:rPr>
          <w:rFonts w:hint="eastAsia" w:ascii="仿宋" w:hAnsi="仿宋" w:eastAsia="仿宋" w:cs="仿宋"/>
          <w:kern w:val="0"/>
          <w:sz w:val="30"/>
          <w:szCs w:val="30"/>
          <w:shd w:val="clear" w:color="auto" w:fill="FFFFFF"/>
        </w:rPr>
        <w:t>人，临聘后勤人员</w:t>
      </w:r>
      <w:r>
        <w:rPr>
          <w:rFonts w:hint="eastAsia" w:ascii="仿宋" w:hAnsi="仿宋" w:eastAsia="仿宋" w:cs="仿宋"/>
          <w:kern w:val="0"/>
          <w:sz w:val="30"/>
          <w:szCs w:val="30"/>
          <w:shd w:val="clear" w:color="auto" w:fill="FFFFFF"/>
          <w:lang w:val="en-US" w:eastAsia="zh-CN"/>
        </w:rPr>
        <w:t>6</w:t>
      </w:r>
      <w:r>
        <w:rPr>
          <w:rFonts w:hint="eastAsia" w:ascii="仿宋" w:hAnsi="仿宋" w:eastAsia="仿宋" w:cs="仿宋"/>
          <w:kern w:val="0"/>
          <w:sz w:val="30"/>
          <w:szCs w:val="30"/>
          <w:shd w:val="clear" w:color="auto" w:fill="FFFFFF"/>
        </w:rPr>
        <w:t>人。共有</w:t>
      </w:r>
      <w:r>
        <w:rPr>
          <w:rFonts w:hint="eastAsia" w:ascii="仿宋" w:hAnsi="仿宋" w:eastAsia="仿宋" w:cs="仿宋"/>
          <w:kern w:val="0"/>
          <w:sz w:val="30"/>
          <w:szCs w:val="30"/>
          <w:shd w:val="clear" w:color="auto" w:fill="FFFFFF"/>
          <w:lang w:val="en-US" w:eastAsia="zh-CN"/>
        </w:rPr>
        <w:t>2</w:t>
      </w:r>
      <w:r>
        <w:rPr>
          <w:rFonts w:hint="eastAsia" w:ascii="仿宋" w:hAnsi="仿宋" w:eastAsia="仿宋" w:cs="仿宋"/>
          <w:kern w:val="0"/>
          <w:sz w:val="30"/>
          <w:szCs w:val="30"/>
          <w:shd w:val="clear" w:color="auto" w:fill="FFFFFF"/>
        </w:rPr>
        <w:t>名园长，一正</w:t>
      </w:r>
      <w:r>
        <w:rPr>
          <w:rFonts w:hint="eastAsia" w:ascii="仿宋" w:hAnsi="仿宋" w:eastAsia="仿宋" w:cs="仿宋"/>
          <w:kern w:val="0"/>
          <w:sz w:val="30"/>
          <w:szCs w:val="30"/>
          <w:shd w:val="clear" w:color="auto" w:fill="FFFFFF"/>
          <w:lang w:val="en-US" w:eastAsia="zh-CN"/>
        </w:rPr>
        <w:t>一</w:t>
      </w:r>
      <w:r>
        <w:rPr>
          <w:rFonts w:hint="eastAsia" w:ascii="仿宋" w:hAnsi="仿宋" w:eastAsia="仿宋" w:cs="仿宋"/>
          <w:kern w:val="0"/>
          <w:sz w:val="30"/>
          <w:szCs w:val="30"/>
          <w:shd w:val="clear" w:color="auto" w:fill="FFFFFF"/>
        </w:rPr>
        <w:t>副。内设行政组织机构、食品安全组织机构、保健组、保教组、工会、教代会。</w:t>
      </w:r>
    </w:p>
    <w:p>
      <w:pPr>
        <w:spacing w:line="578" w:lineRule="exact"/>
        <w:jc w:val="center"/>
        <w:rPr>
          <w:rFonts w:hint="eastAsia" w:ascii="黑体" w:hAnsi="ˎ̥" w:eastAsia="黑体"/>
          <w:sz w:val="32"/>
          <w:szCs w:val="32"/>
        </w:rPr>
      </w:pPr>
      <w:bookmarkStart w:id="19" w:name="_Toc6234_WPSOffice_Level1"/>
      <w:bookmarkStart w:id="20" w:name="_Toc30690_WPSOffice_Level1"/>
      <w:bookmarkStart w:id="21" w:name="_Toc30451_WPSOffice_Level1"/>
      <w:bookmarkStart w:id="22" w:name="_Toc8164_WPSOffice_Level1"/>
      <w:bookmarkStart w:id="23" w:name="_Toc15521_WPSOffice_Level1"/>
      <w:bookmarkStart w:id="24" w:name="_Toc28253_WPSOffice_Level1"/>
      <w:bookmarkStart w:id="25" w:name="_Toc11518_WPSOffice_Level2"/>
      <w:bookmarkStart w:id="26" w:name="_Toc8867_WPSOffice_Level2"/>
      <w:bookmarkStart w:id="27" w:name="_Toc32695_WPSOffice_Level2"/>
      <w:bookmarkStart w:id="28" w:name="_Toc4029_WPSOffice_Level2"/>
      <w:bookmarkStart w:id="29" w:name="_Toc6211_WPSOffice_Level2"/>
      <w:bookmarkStart w:id="30" w:name="_Toc3247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30334_WPSOffice_Level2"/>
      <w:bookmarkStart w:id="32" w:name="_Toc28622_WPSOffice_Level2"/>
      <w:bookmarkStart w:id="33" w:name="_Toc23139_WPSOffice_Level2"/>
      <w:bookmarkStart w:id="34" w:name="_Toc26621_WPSOffice_Level2"/>
      <w:bookmarkStart w:id="35" w:name="_Toc25608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5489_WPSOffice_Level2"/>
      <w:bookmarkStart w:id="39" w:name="_Toc17626_WPSOffice_Level2"/>
      <w:bookmarkStart w:id="40" w:name="_Toc13854_WPSOffice_Level2"/>
      <w:bookmarkStart w:id="41" w:name="_Toc17858_WPSOffice_Level2"/>
      <w:bookmarkStart w:id="42"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1415_WPSOffice_Level2"/>
      <w:bookmarkStart w:id="44" w:name="_Toc23493_WPSOffice_Level2"/>
      <w:bookmarkStart w:id="45" w:name="_Toc13701_WPSOffice_Level2"/>
      <w:bookmarkStart w:id="46" w:name="_Toc4265_WPSOffice_Level2"/>
      <w:bookmarkStart w:id="47" w:name="_Toc23591_WPSOffice_Level2"/>
      <w:bookmarkStart w:id="48" w:name="_Toc798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2783_WPSOffice_Level2"/>
      <w:bookmarkStart w:id="51" w:name="_Toc25166_WPSOffice_Level2"/>
      <w:bookmarkStart w:id="52" w:name="_Toc787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5343_WPSOffice_Level2"/>
      <w:bookmarkStart w:id="56" w:name="_Toc17283_WPSOffice_Level2"/>
      <w:bookmarkStart w:id="57" w:name="_Toc25362_WPSOffice_Level2"/>
      <w:bookmarkStart w:id="58" w:name="_Toc2632_WPSOffice_Level2"/>
      <w:bookmarkStart w:id="59" w:name="_Toc8373_WPSOffice_Level2"/>
      <w:bookmarkStart w:id="60" w:name="_Toc1783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6020_WPSOffice_Level2"/>
      <w:bookmarkStart w:id="63" w:name="_Toc13345_WPSOffice_Level2"/>
      <w:bookmarkStart w:id="64" w:name="_Toc5594_WPSOffice_Level2"/>
      <w:bookmarkStart w:id="65" w:name="_Toc1533_WPSOffice_Level2"/>
      <w:bookmarkStart w:id="66" w:name="_Toc21310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19961_WPSOffice_Level2"/>
      <w:bookmarkStart w:id="68" w:name="_Toc29886_WPSOffice_Level2"/>
      <w:bookmarkStart w:id="69" w:name="_Toc9377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31264_WPSOffice_Level1"/>
      <w:bookmarkStart w:id="72" w:name="_Toc28629_WPSOffice_Level1"/>
      <w:bookmarkStart w:id="73" w:name="_Toc4402_WPSOffice_Level1"/>
      <w:bookmarkStart w:id="74" w:name="_Toc29683_WPSOffice_Level1"/>
      <w:bookmarkStart w:id="75" w:name="_Toc27590_WPSOffice_Level1"/>
      <w:bookmarkStart w:id="76"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14:textFill>
            <w14:solidFill>
              <w14:schemeClr w14:val="tx1"/>
            </w14:solidFill>
          </w14:textFill>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年度相比，收入、支出总计各增加</w:t>
      </w:r>
      <w:r>
        <w:rPr>
          <w:rFonts w:hint="eastAsia" w:ascii="仿宋_GB2312" w:hAnsi="ˎ̥" w:eastAsia="仿宋_GB2312"/>
          <w:color w:val="000000" w:themeColor="text1"/>
          <w:sz w:val="32"/>
          <w:szCs w:val="32"/>
          <w:lang w:val="en-US" w:eastAsia="zh-CN"/>
          <w14:textFill>
            <w14:solidFill>
              <w14:schemeClr w14:val="tx1"/>
            </w14:solidFill>
          </w14:textFill>
        </w:rPr>
        <w:t>160.33</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80.71</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教育支出增加；二是住房保障支出增加。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w:t>
      </w:r>
      <w:r>
        <w:rPr>
          <w:rFonts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收入</w:t>
      </w:r>
      <w:r>
        <w:rPr>
          <w:rFonts w:ascii="楷体" w:hAnsi="楷体" w:eastAsia="楷体" w:cs="楷体"/>
          <w:color w:val="000000" w:themeColor="text1"/>
          <w:sz w:val="32"/>
          <w:szCs w:val="32"/>
          <w14:textFill>
            <w14:solidFill>
              <w14:schemeClr w14:val="tx1"/>
            </w14:solidFill>
          </w14:textFill>
        </w:rPr>
        <w:t>总计</w:t>
      </w:r>
      <w:r>
        <w:rPr>
          <w:rFonts w:hint="eastAsia" w:ascii="楷体" w:hAnsi="楷体" w:eastAsia="楷体" w:cs="楷体"/>
          <w:color w:val="000000" w:themeColor="text1"/>
          <w:sz w:val="32"/>
          <w:szCs w:val="32"/>
          <w14:textFill>
            <w14:solidFill>
              <w14:schemeClr w14:val="tx1"/>
            </w14:solidFill>
          </w14:textFill>
        </w:rPr>
        <w:t>主要</w:t>
      </w:r>
      <w:r>
        <w:rPr>
          <w:rFonts w:ascii="楷体" w:hAnsi="楷体" w:eastAsia="楷体" w:cs="楷体"/>
          <w:color w:val="000000" w:themeColor="text1"/>
          <w:sz w:val="32"/>
          <w:szCs w:val="32"/>
          <w14:textFill>
            <w14:solidFill>
              <w14:schemeClr w14:val="tx1"/>
            </w14:solidFill>
          </w14:textFill>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w:t>
      </w:r>
      <w:r>
        <w:rPr>
          <w:rFonts w:ascii="仿宋_GB2312" w:hAnsi="ˎ̥" w:eastAsia="仿宋_GB2312"/>
          <w:color w:val="000000" w:themeColor="text1"/>
          <w:sz w:val="32"/>
          <w:szCs w:val="32"/>
          <w14:textFill>
            <w14:solidFill>
              <w14:schemeClr w14:val="tx1"/>
            </w14:solidFill>
          </w14:textFill>
        </w:rPr>
        <w:t>收入</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使用非财政拨款结余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160.33</w:t>
      </w:r>
      <w:r>
        <w:rPr>
          <w:rFonts w:hint="eastAsia" w:ascii="仿宋_GB2312" w:hAnsi="ˎ̥" w:eastAsia="仿宋_GB2312"/>
          <w:color w:val="000000" w:themeColor="text1"/>
          <w:sz w:val="32"/>
          <w:szCs w:val="32"/>
          <w14:textFill>
            <w14:solidFill>
              <w14:schemeClr w14:val="tx1"/>
            </w14:solidFill>
          </w14:textFill>
        </w:rPr>
        <w:t>万元，主要原因</w:t>
      </w:r>
      <w:r>
        <w:rPr>
          <w:rFonts w:hint="eastAsia" w:ascii="仿宋_GB2312" w:hAnsi="ˎ̥" w:eastAsia="仿宋_GB2312"/>
          <w:color w:val="000000" w:themeColor="text1"/>
          <w:sz w:val="32"/>
          <w:szCs w:val="32"/>
          <w:lang w:val="en-US" w:eastAsia="zh-CN"/>
          <w14:textFill>
            <w14:solidFill>
              <w14:schemeClr w14:val="tx1"/>
            </w14:solidFill>
          </w14:textFill>
        </w:rPr>
        <w:t>是项目教育支出增加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color w:val="000000" w:themeColor="text1"/>
          <w:sz w:val="32"/>
          <w:szCs w:val="32"/>
          <w14:textFill>
            <w14:solidFill>
              <w14:schemeClr w14:val="tx1"/>
            </w14:solidFill>
          </w14:textFill>
        </w:rPr>
        <w:t>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已全部支出完毕，本年</w:t>
      </w:r>
      <w:r>
        <w:rPr>
          <w:rFonts w:hint="eastAsia" w:ascii="仿宋_GB2312" w:hAnsi="ˎ̥" w:eastAsia="仿宋_GB2312"/>
          <w:sz w:val="32"/>
          <w:szCs w:val="32"/>
          <w:lang w:val="en-US" w:eastAsia="zh-CN"/>
        </w:rPr>
        <w:t>初无结转结余。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w:t>
      </w:r>
      <w:r>
        <w:rPr>
          <w:rFonts w:hint="eastAsia" w:ascii="仿宋_GB2312" w:hAnsi="ˎ̥" w:eastAsia="仿宋_GB2312"/>
          <w:color w:val="000000" w:themeColor="text1"/>
          <w:sz w:val="32"/>
          <w:szCs w:val="32"/>
          <w:lang w:val="en-US" w:eastAsia="zh-CN"/>
          <w14:textFill>
            <w14:solidFill>
              <w14:schemeClr w14:val="tx1"/>
            </w14:solidFill>
          </w14:textFill>
        </w:rPr>
        <w:t>是教育支出和住房保障支出</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160.33</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80.71</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是教育支出和住房保障支出增长</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已全部支出完毕，本年末无结转结余。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000000" w:themeColor="text1"/>
          <w:sz w:val="32"/>
          <w:szCs w:val="32"/>
          <w14:textFill>
            <w14:solidFill>
              <w14:schemeClr w14:val="tx1"/>
            </w14:solidFill>
          </w14:textFill>
        </w:rPr>
        <w:t xml:space="preserve">   本年收入</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48.56</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13.53</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310.42</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86.47</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占0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年度相比，财政拨款收入增加</w:t>
      </w:r>
      <w:r>
        <w:rPr>
          <w:rFonts w:hint="eastAsia" w:ascii="仿宋_GB2312" w:hAnsi="ˎ̥" w:eastAsia="仿宋_GB2312"/>
          <w:color w:val="000000" w:themeColor="text1"/>
          <w:sz w:val="32"/>
          <w:szCs w:val="32"/>
          <w:lang w:val="en-US" w:eastAsia="zh-CN"/>
          <w14:textFill>
            <w14:solidFill>
              <w14:schemeClr w14:val="tx1"/>
            </w14:solidFill>
          </w14:textFill>
        </w:rPr>
        <w:t>160.33</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80.71</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项目支出增加</w:t>
      </w:r>
      <w:r>
        <w:rPr>
          <w:rFonts w:hint="eastAsia" w:ascii="仿宋_GB2312" w:hAnsi="ˎ̥" w:eastAsia="仿宋_GB2312"/>
          <w:color w:val="000000" w:themeColor="text1"/>
          <w:sz w:val="32"/>
          <w:szCs w:val="32"/>
          <w14:textFill>
            <w14:solidFill>
              <w14:schemeClr w14:val="tx1"/>
            </w14:solidFill>
          </w14:textFill>
        </w:rPr>
        <w:t>；支出增加</w:t>
      </w:r>
      <w:r>
        <w:rPr>
          <w:rFonts w:hint="eastAsia" w:ascii="仿宋_GB2312" w:hAnsi="ˎ̥" w:eastAsia="仿宋_GB2312"/>
          <w:color w:val="000000" w:themeColor="text1"/>
          <w:sz w:val="32"/>
          <w:szCs w:val="32"/>
          <w:lang w:val="en-US" w:eastAsia="zh-CN"/>
          <w14:textFill>
            <w14:solidFill>
              <w14:schemeClr w14:val="tx1"/>
            </w14:solidFill>
          </w14:textFill>
        </w:rPr>
        <w:t>160.33</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80.71</w:t>
      </w:r>
      <w:r>
        <w:rPr>
          <w:rFonts w:hint="eastAsia" w:ascii="仿宋_GB2312" w:hAnsi="ˎ̥" w:eastAsia="仿宋_GB2312"/>
          <w:color w:val="000000" w:themeColor="text1"/>
          <w:sz w:val="32"/>
          <w:szCs w:val="32"/>
          <w14:textFill>
            <w14:solidFill>
              <w14:schemeClr w14:val="tx1"/>
            </w14:solidFill>
          </w14:textFill>
        </w:rPr>
        <w:t>%，主要原因：一是</w:t>
      </w:r>
      <w:r>
        <w:rPr>
          <w:rFonts w:hint="eastAsia" w:ascii="仿宋_GB2312" w:hAnsi="ˎ̥" w:eastAsia="仿宋_GB2312"/>
          <w:color w:val="000000" w:themeColor="text1"/>
          <w:sz w:val="32"/>
          <w:szCs w:val="32"/>
          <w:lang w:val="en-US" w:eastAsia="zh-CN"/>
          <w14:textFill>
            <w14:solidFill>
              <w14:schemeClr w14:val="tx1"/>
            </w14:solidFill>
          </w14:textFill>
        </w:rPr>
        <w:t>项目支出增加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本年年初无结转结余。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本年年</w:t>
      </w:r>
      <w:r>
        <w:rPr>
          <w:rFonts w:hint="eastAsia" w:ascii="仿宋_GB2312" w:hAnsi="ˎ̥" w:eastAsia="仿宋_GB2312"/>
          <w:sz w:val="32"/>
          <w:szCs w:val="32"/>
          <w:lang w:val="en-US" w:eastAsia="zh-CN"/>
        </w:rPr>
        <w:t>末无结转结余。</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1737_WPSOffice_Level2"/>
      <w:bookmarkStart w:id="78" w:name="_Toc17398_WPSOffice_Level2"/>
      <w:bookmarkStart w:id="79" w:name="_Toc19665_WPSOffice_Level2"/>
      <w:bookmarkStart w:id="80" w:name="_Toc23005_WPSOffice_Level2"/>
      <w:bookmarkStart w:id="81" w:name="_Toc9989_WPSOffice_Level2"/>
      <w:bookmarkStart w:id="82" w:name="_Toc13694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160.3</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80.71</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是项目支出的增加</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3" w:name="_Toc19535_WPSOffice_Level2"/>
      <w:bookmarkStart w:id="84" w:name="_Toc18793_WPSOffice_Level2"/>
      <w:bookmarkStart w:id="85" w:name="_Toc23864_WPSOffice_Level2"/>
      <w:bookmarkStart w:id="86" w:name="_Toc19075_WPSOffice_Level2"/>
      <w:bookmarkStart w:id="87" w:name="_Toc27767_WPSOffice_Level2"/>
      <w:bookmarkStart w:id="88" w:name="_Toc2711_WPSOffice_Level2"/>
      <w:r>
        <w:rPr>
          <w:rFonts w:hint="eastAsia" w:ascii="楷体" w:hAnsi="楷体" w:eastAsia="楷体" w:cs="楷体"/>
          <w:color w:val="000000" w:themeColor="text1"/>
          <w:sz w:val="32"/>
          <w:szCs w:val="32"/>
          <w14:textFill>
            <w14:solidFill>
              <w14:schemeClr w14:val="tx1"/>
            </w14:solidFill>
          </w14:textFill>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color w:val="000000" w:themeColor="text1"/>
          <w:sz w:val="32"/>
          <w:szCs w:val="32"/>
          <w14:textFill>
            <w14:solidFill>
              <w14:schemeClr w14:val="tx1"/>
            </w14:solidFill>
          </w14:textFill>
        </w:rPr>
        <w:t>一般公共服务（类）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343.67</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95.74</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6.79</w:t>
      </w:r>
      <w:r>
        <w:rPr>
          <w:rFonts w:hint="eastAsia" w:ascii="仿宋_GB2312" w:hAnsi="ˎ̥" w:eastAsia="仿宋_GB2312"/>
          <w:sz w:val="32"/>
          <w:szCs w:val="32"/>
        </w:rPr>
        <w:t>万元，占</w:t>
      </w:r>
      <w:r>
        <w:rPr>
          <w:rFonts w:hint="eastAsia" w:ascii="仿宋_GB2312" w:hAnsi="ˎ̥" w:eastAsia="仿宋_GB2312"/>
          <w:sz w:val="32"/>
          <w:szCs w:val="32"/>
          <w:lang w:val="en-US" w:eastAsia="zh-CN"/>
        </w:rPr>
        <w:t>1.89</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sz w:val="32"/>
          <w:szCs w:val="32"/>
          <w:lang w:val="en-US" w:eastAsia="zh-CN"/>
        </w:rPr>
        <w:t>3.43</w:t>
      </w:r>
      <w:r>
        <w:rPr>
          <w:rFonts w:hint="eastAsia" w:ascii="仿宋_GB2312" w:hAnsi="ˎ̥" w:eastAsia="仿宋_GB2312"/>
          <w:sz w:val="32"/>
          <w:szCs w:val="32"/>
        </w:rPr>
        <w:t>万元，占</w:t>
      </w:r>
      <w:r>
        <w:rPr>
          <w:rFonts w:hint="eastAsia" w:ascii="仿宋_GB2312" w:hAnsi="ˎ̥" w:eastAsia="仿宋_GB2312"/>
          <w:sz w:val="32"/>
          <w:szCs w:val="32"/>
          <w:lang w:val="en-US" w:eastAsia="zh-CN"/>
        </w:rPr>
        <w:t>0.96</w:t>
      </w:r>
      <w:r>
        <w:rPr>
          <w:rFonts w:hint="eastAsia" w:ascii="仿宋_GB2312" w:hAnsi="ˎ̥" w:eastAsia="仿宋_GB2312"/>
          <w:sz w:val="32"/>
          <w:szCs w:val="32"/>
        </w:rPr>
        <w:t>%；</w:t>
      </w:r>
      <w:r>
        <w:rPr>
          <w:rFonts w:hint="eastAsia" w:ascii="仿宋_GB2312" w:hAnsi="ˎ̥" w:eastAsia="仿宋_GB2312"/>
          <w:b/>
          <w:bCs/>
          <w:sz w:val="32"/>
          <w:szCs w:val="32"/>
        </w:rPr>
        <w:t>卫生健康支出</w:t>
      </w:r>
      <w:r>
        <w:rPr>
          <w:rFonts w:hint="eastAsia" w:ascii="仿宋_GB2312" w:hAnsi="ˎ̥" w:eastAsia="仿宋_GB2312"/>
          <w:b/>
          <w:bCs/>
          <w:sz w:val="32"/>
          <w:szCs w:val="32"/>
          <w:lang w:eastAsia="zh-CN"/>
        </w:rPr>
        <w:t>（</w:t>
      </w:r>
      <w:r>
        <w:rPr>
          <w:rFonts w:hint="eastAsia" w:ascii="仿宋_GB2312" w:hAnsi="ˎ̥" w:eastAsia="仿宋_GB2312"/>
          <w:b/>
          <w:bCs/>
          <w:sz w:val="32"/>
          <w:szCs w:val="32"/>
          <w:lang w:val="en-US" w:eastAsia="zh-CN"/>
        </w:rPr>
        <w:t>类</w:t>
      </w:r>
      <w:r>
        <w:rPr>
          <w:rFonts w:hint="eastAsia" w:ascii="仿宋_GB2312" w:hAnsi="ˎ̥" w:eastAsia="仿宋_GB2312"/>
          <w:b/>
          <w:bCs/>
          <w:sz w:val="32"/>
          <w:szCs w:val="32"/>
          <w:lang w:eastAsia="zh-CN"/>
        </w:rPr>
        <w:t>）</w:t>
      </w:r>
      <w:r>
        <w:rPr>
          <w:rFonts w:hint="eastAsia" w:ascii="仿宋_GB2312" w:hAnsi="ˎ̥" w:eastAsia="仿宋_GB2312"/>
          <w:sz w:val="32"/>
          <w:szCs w:val="32"/>
          <w:lang w:val="en-US" w:eastAsia="zh-CN"/>
        </w:rPr>
        <w:t>5.08万元，占1.41</w:t>
      </w:r>
      <w:r>
        <w:rPr>
          <w:rFonts w:hint="eastAsia"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9" w:name="_Toc29364_WPSOffice_Level2"/>
      <w:bookmarkStart w:id="90" w:name="_Toc21701_WPSOffice_Level2"/>
      <w:bookmarkStart w:id="91" w:name="_Toc15415_WPSOffice_Level2"/>
      <w:bookmarkStart w:id="92" w:name="_Toc25136_WPSOffice_Level2"/>
      <w:bookmarkStart w:id="93" w:name="_Toc9502_WPSOffice_Level2"/>
      <w:bookmarkStart w:id="94" w:name="_Toc22318_WPSOffice_Level2"/>
      <w:r>
        <w:rPr>
          <w:rFonts w:hint="eastAsia" w:ascii="楷体" w:hAnsi="楷体" w:eastAsia="楷体" w:cs="楷体"/>
          <w:sz w:val="32"/>
          <w:szCs w:val="32"/>
        </w:rPr>
        <w:t>（</w:t>
      </w:r>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0.24</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358.98</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%。其中：</w:t>
      </w:r>
      <w:r>
        <w:rPr>
          <w:rFonts w:hint="eastAsia" w:ascii="仿宋_GB2312" w:hAnsi="ˎ̥" w:eastAsia="仿宋_GB2312"/>
          <w:color w:val="000000" w:themeColor="text1"/>
          <w:sz w:val="32"/>
          <w:szCs w:val="32"/>
          <w:lang w:val="en-US" w:eastAsia="zh-CN"/>
          <w14:textFill>
            <w14:solidFill>
              <w14:schemeClr w14:val="tx1"/>
            </w14:solidFill>
          </w14:textFill>
        </w:rPr>
        <w:t>项目支出310.42万元，基本支出33.25万元，社会保障和就业支出6.79万元，卫生健康支出5.08万元，住房保障支出3.43万元。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1.</w:t>
      </w:r>
      <w:r>
        <w:rPr>
          <w:rFonts w:hint="eastAsia" w:ascii="仿宋_GB2312" w:hAnsi="ˎ̥" w:eastAsia="仿宋_GB2312"/>
          <w:b/>
          <w:color w:val="000000" w:themeColor="text1"/>
          <w:sz w:val="32"/>
          <w:szCs w:val="32"/>
          <w14:textFill>
            <w14:solidFill>
              <w14:schemeClr w14:val="tx1"/>
            </w14:solidFill>
          </w14:textFill>
        </w:rPr>
        <w:t>一般公共服务（类）人大事务（款）行政运行（项）。</w:t>
      </w:r>
    </w:p>
    <w:p>
      <w:pPr>
        <w:spacing w:line="578" w:lineRule="exac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343.67</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%。决算数大于预算数的主要原因：一是</w:t>
      </w:r>
      <w:r>
        <w:rPr>
          <w:rFonts w:hint="eastAsia" w:ascii="仿宋_GB2312" w:hAnsi="ˎ̥" w:eastAsia="仿宋_GB2312"/>
          <w:color w:val="000000" w:themeColor="text1"/>
          <w:sz w:val="32"/>
          <w:szCs w:val="32"/>
          <w:lang w:val="en-US" w:eastAsia="zh-CN"/>
          <w14:textFill>
            <w14:solidFill>
              <w14:schemeClr w14:val="tx1"/>
            </w14:solidFill>
          </w14:textFill>
        </w:rPr>
        <w:t>教育支出</w:t>
      </w:r>
      <w:r>
        <w:rPr>
          <w:rFonts w:hint="eastAsia" w:ascii="仿宋_GB2312" w:hAnsi="ˎ̥" w:eastAsia="仿宋_GB2312"/>
          <w:color w:val="000000" w:themeColor="text1"/>
          <w:sz w:val="32"/>
          <w:szCs w:val="32"/>
          <w14:textFill>
            <w14:solidFill>
              <w14:schemeClr w14:val="tx1"/>
            </w14:solidFill>
          </w14:textFill>
        </w:rPr>
        <w:t>；二是</w:t>
      </w:r>
      <w:r>
        <w:rPr>
          <w:rFonts w:hint="eastAsia" w:ascii="仿宋_GB2312" w:hAnsi="ˎ̥" w:eastAsia="仿宋_GB2312"/>
          <w:color w:val="000000" w:themeColor="text1"/>
          <w:sz w:val="32"/>
          <w:szCs w:val="32"/>
          <w:lang w:val="en-US" w:eastAsia="zh-CN"/>
          <w14:textFill>
            <w14:solidFill>
              <w14:schemeClr w14:val="tx1"/>
            </w14:solidFill>
          </w14:textFill>
        </w:rPr>
        <w:t>住房保障支出</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eastAsia" w:ascii="仿宋_GB2312" w:hAnsi="ˎ̥" w:eastAsia="仿宋_GB2312"/>
          <w:color w:val="000000" w:themeColor="text1"/>
          <w:sz w:val="32"/>
          <w:szCs w:val="32"/>
          <w:lang w:val="en-US"/>
          <w14:textFill>
            <w14:solidFill>
              <w14:schemeClr w14:val="tx1"/>
            </w14:solidFill>
          </w14:textFill>
        </w:rPr>
        <w:t>48.56</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48.27</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000000" w:themeColor="text1"/>
          <w:sz w:val="32"/>
          <w:szCs w:val="32"/>
          <w:lang w:val="en-US"/>
          <w14:textFill>
            <w14:solidFill>
              <w14:schemeClr w14:val="tx1"/>
            </w14:solidFill>
          </w14:textFill>
        </w:rPr>
        <w:t>0.29</w:t>
      </w:r>
      <w:r>
        <w:rPr>
          <w:rFonts w:hint="eastAsia" w:ascii="仿宋_GB2312" w:hAnsi="ˎ̥" w:eastAsia="仿宋_GB2312"/>
          <w:color w:val="000000" w:themeColor="text1"/>
          <w:sz w:val="32"/>
          <w:szCs w:val="32"/>
          <w14:textFill>
            <w14:solidFill>
              <w14:schemeClr w14:val="tx1"/>
            </w14:solidFill>
          </w14:textFill>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000000" w:themeColor="text1"/>
          <w:sz w:val="32"/>
          <w:szCs w:val="32"/>
          <w:lang w:val="en-US" w:eastAsia="zh-CN"/>
          <w14:textFill>
            <w14:solidFill>
              <w14:schemeClr w14:val="tx1"/>
            </w14:solidFill>
          </w14:textFill>
        </w:rPr>
        <w:t>购</w:t>
      </w:r>
      <w:r>
        <w:rPr>
          <w:rFonts w:hint="eastAsia" w:ascii="仿宋_GB2312" w:hAnsi="ˎ̥" w:eastAsia="仿宋_GB2312"/>
          <w:color w:val="000000" w:themeColor="text1"/>
          <w:sz w:val="32"/>
          <w:szCs w:val="32"/>
          <w14:textFill>
            <w14:solidFill>
              <w14:schemeClr w14:val="tx1"/>
            </w14:solidFill>
          </w14:textFill>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年度相比，政府性基金预算财政拨款支出</w:t>
      </w:r>
      <w:r>
        <w:rPr>
          <w:rFonts w:hint="eastAsia" w:ascii="仿宋_GB2312" w:hAnsi="ˎ̥" w:eastAsia="仿宋_GB2312"/>
          <w:color w:val="000000" w:themeColor="text1"/>
          <w:sz w:val="32"/>
          <w:szCs w:val="32"/>
          <w:lang w:val="en-US" w:eastAsia="zh-CN"/>
          <w14:textFill>
            <w14:solidFill>
              <w14:schemeClr w14:val="tx1"/>
            </w14:solidFill>
          </w14:textFill>
        </w:rPr>
        <w:t>增加0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增长0</w:t>
      </w:r>
      <w:r>
        <w:rPr>
          <w:rFonts w:hint="eastAsia" w:ascii="仿宋_GB2312" w:hAnsi="ˎ̥" w:eastAsia="仿宋_GB2312"/>
          <w:color w:val="000000" w:themeColor="text1"/>
          <w:sz w:val="32"/>
          <w:szCs w:val="32"/>
          <w14:textFill>
            <w14:solidFill>
              <w14:schemeClr w14:val="tx1"/>
            </w14:solidFill>
          </w14:textFill>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年度政府性基金预算财政拨款支出年初预算为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年度相比，国有资本经营预算财政拨款支出增加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年度国有资本经营预算财政拨款支出年初预算为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“三公”经费支出增加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1.因公出国（境）费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万元。全年安排因公出国（境）团组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个，因公出国（境）</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因公出国（境）费支出决算</w:t>
      </w:r>
      <w:r>
        <w:rPr>
          <w:rFonts w:hint="eastAsia" w:ascii="仿宋_GB2312" w:hAnsi="ˎ̥" w:eastAsia="仿宋_GB2312"/>
          <w:color w:val="000000" w:themeColor="text1"/>
          <w:sz w:val="32"/>
          <w:szCs w:val="32"/>
          <w:lang w:val="en-US" w:eastAsia="zh-CN"/>
          <w14:textFill>
            <w14:solidFill>
              <w14:schemeClr w14:val="tx1"/>
            </w14:solidFill>
          </w14:textFill>
        </w:rPr>
        <w:t>数</w:t>
      </w:r>
      <w:r>
        <w:rPr>
          <w:rFonts w:hint="eastAsia" w:ascii="仿宋_GB2312" w:hAnsi="ˎ̥" w:eastAsia="仿宋_GB2312"/>
          <w:color w:val="000000" w:themeColor="text1"/>
          <w:sz w:val="32"/>
          <w:szCs w:val="32"/>
          <w14:textFill>
            <w14:solidFill>
              <w14:schemeClr w14:val="tx1"/>
            </w14:solidFill>
          </w14:textFill>
        </w:rPr>
        <w:t>比预算数增加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val="en-US" w:eastAsia="zh-CN"/>
          <w14:textFill>
            <w14:solidFill>
              <w14:schemeClr w14:val="tx1"/>
            </w14:solidFill>
          </w14:textFill>
        </w:rPr>
        <w:t>完成预算的0</w:t>
      </w:r>
      <w:r>
        <w:rPr>
          <w:rFonts w:hint="default" w:ascii="仿宋_GB2312" w:hAnsi="ˎ̥" w:eastAsia="仿宋_GB2312"/>
          <w:color w:val="000000" w:themeColor="text1"/>
          <w:sz w:val="32"/>
          <w:szCs w:val="32"/>
          <w:lang w:val="en-US"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因公出国（境）费支出增加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2.公务用车购置及运行维护费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公务用车购置</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万元，全年购置公务用车</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辆</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公务用车运行维护费</w:t>
      </w:r>
      <w:r>
        <w:rPr>
          <w:rFonts w:hint="eastAsia" w:ascii="仿宋_GB2312" w:hAnsi="ˎ̥" w:eastAsia="仿宋_GB2312"/>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b/>
          <w:color w:val="000000" w:themeColor="text1"/>
          <w:sz w:val="32"/>
          <w:szCs w:val="32"/>
          <w14:textFill>
            <w14:solidFill>
              <w14:schemeClr w14:val="tx1"/>
            </w14:solidFill>
          </w14:textFill>
        </w:rPr>
        <w:t xml:space="preserve">    3.公务接待费</w:t>
      </w:r>
      <w:r>
        <w:rPr>
          <w:rFonts w:hint="eastAsia" w:ascii="仿宋_GB2312" w:hAnsi="ˎ̥" w:eastAsia="仿宋_GB2312"/>
          <w:b w:val="0"/>
          <w:bCs/>
          <w:color w:val="000000" w:themeColor="text1"/>
          <w:sz w:val="32"/>
          <w:szCs w:val="32"/>
          <w14:textFill>
            <w14:solidFill>
              <w14:schemeClr w14:val="tx1"/>
            </w14:solidFill>
          </w14:textFill>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widowControl/>
        <w:suppressLineNumbers w:val="0"/>
        <w:snapToGrid w:val="0"/>
        <w:spacing w:before="100" w:beforeAutospacing="1" w:after="100" w:afterAutospacing="1" w:line="578" w:lineRule="exact"/>
        <w:ind w:left="0" w:right="0" w:firstLine="640" w:firstLineChars="200"/>
        <w:jc w:val="left"/>
        <w:rPr>
          <w:rFonts w:hint="default" w:ascii="仿宋_GB2312" w:eastAsia="仿宋_GB2312"/>
          <w:sz w:val="32"/>
          <w:szCs w:val="32"/>
          <w:lang w:val="en-US" w:eastAsia="zh-CN"/>
        </w:rPr>
      </w:pPr>
      <w:r>
        <w:rPr>
          <w:rFonts w:hint="eastAsia" w:ascii="仿宋_GB2312" w:eastAsia="仿宋_GB2312"/>
          <w:sz w:val="32"/>
          <w:szCs w:val="32"/>
        </w:rPr>
        <w:t>根据财政预算绩效管理要求，</w:t>
      </w:r>
      <w:r>
        <w:rPr>
          <w:rFonts w:hint="eastAsia" w:ascii="仿宋_GB2312" w:eastAsia="仿宋_GB2312"/>
          <w:sz w:val="32"/>
          <w:szCs w:val="32"/>
          <w:lang w:val="en-US" w:eastAsia="zh-CN"/>
        </w:rPr>
        <w:t>屯昌县南吕镇第二幼儿园对2024年度一般公共预算项目支出开展全面绩效自评。</w:t>
      </w:r>
      <w:r>
        <w:rPr>
          <w:rFonts w:hint="default" w:ascii="仿宋_GB2312" w:hAnsi="宋体" w:eastAsia="仿宋_GB2312" w:cs="仿宋_GB2312"/>
          <w:kern w:val="0"/>
          <w:sz w:val="32"/>
          <w:szCs w:val="32"/>
        </w:rPr>
        <w:t>自评项目0个，共涉及资金0万元，自评覆盖率达到0%。</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5262_WPSOffice_Level2"/>
      <w:bookmarkStart w:id="96" w:name="_Toc15565_WPSOffice_Level2"/>
      <w:bookmarkStart w:id="97" w:name="_Toc23598_WPSOffice_Level2"/>
      <w:bookmarkStart w:id="98" w:name="_Toc5978_WPSOffice_Level2"/>
      <w:bookmarkStart w:id="99" w:name="_Toc18325_WPSOffice_Level2"/>
      <w:bookmarkStart w:id="100" w:name="_Toc32639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default" w:ascii="仿宋_GB2312" w:hAnsi="ˎ̥" w:eastAsia="仿宋_GB2312" w:cs="仿宋_GB2312"/>
          <w:color w:val="000000"/>
          <w:kern w:val="0"/>
          <w:sz w:val="32"/>
          <w:szCs w:val="32"/>
        </w:rPr>
        <w:t>屯昌县</w:t>
      </w:r>
      <w:r>
        <w:rPr>
          <w:rFonts w:hint="eastAsia" w:ascii="仿宋_GB2312" w:hAnsi="ˎ̥" w:eastAsia="仿宋_GB2312" w:cs="仿宋_GB2312"/>
          <w:color w:val="000000"/>
          <w:kern w:val="0"/>
          <w:sz w:val="32"/>
          <w:szCs w:val="32"/>
          <w:lang w:val="en-US" w:eastAsia="zh-CN"/>
        </w:rPr>
        <w:t>南吕镇第二</w:t>
      </w:r>
      <w:r>
        <w:rPr>
          <w:rFonts w:hint="default" w:ascii="仿宋_GB2312" w:hAnsi="ˎ̥" w:eastAsia="仿宋_GB2312" w:cs="仿宋_GB2312"/>
          <w:color w:val="000000"/>
          <w:kern w:val="0"/>
          <w:sz w:val="32"/>
          <w:szCs w:val="32"/>
        </w:rPr>
        <w:t>幼儿园</w:t>
      </w:r>
      <w:r>
        <w:rPr>
          <w:rFonts w:hint="eastAsia" w:ascii="仿宋_GB2312" w:hAnsi="ˎ̥" w:eastAsia="仿宋_GB2312"/>
          <w:sz w:val="32"/>
          <w:szCs w:val="32"/>
        </w:rPr>
        <w:t>机关运行经费</w:t>
      </w:r>
      <w:r>
        <w:rPr>
          <w:rFonts w:hint="eastAsia" w:ascii="仿宋_GB2312" w:hAnsi="ˎ̥" w:eastAsia="仿宋_GB2312"/>
          <w:sz w:val="32"/>
          <w:szCs w:val="32"/>
          <w:lang w:val="en-US" w:eastAsia="zh-CN"/>
        </w:rPr>
        <w:t>0</w:t>
      </w:r>
      <w:r>
        <w:rPr>
          <w:rFonts w:hint="eastAsia" w:ascii="仿宋_GB2312" w:hAnsi="ˎ̥" w:eastAsia="仿宋_GB2312"/>
          <w:sz w:val="32"/>
          <w:szCs w:val="32"/>
        </w:rPr>
        <w:t>万元（为</w:t>
      </w:r>
      <w:r>
        <w:rPr>
          <w:rFonts w:hint="eastAsia" w:ascii="仿宋_GB2312" w:hAnsi="ˎ̥" w:eastAsia="仿宋_GB2312"/>
          <w:sz w:val="32"/>
          <w:szCs w:val="32"/>
          <w:lang w:eastAsia="zh-CN"/>
        </w:rPr>
        <w:t>单位</w:t>
      </w:r>
      <w:r>
        <w:rPr>
          <w:rFonts w:hint="eastAsia" w:ascii="仿宋_GB2312" w:hAnsi="ˎ̥" w:eastAsia="仿宋_GB2312"/>
          <w:sz w:val="32"/>
          <w:szCs w:val="32"/>
        </w:rPr>
        <w:t>决算中行政单位和参公事业单位财政拨款基本支出中公用经费支出之和，事业单位没有机关运行经费支出），比年初预算增加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3966_WPSOffice_Level2"/>
      <w:bookmarkStart w:id="102" w:name="_Toc13084_WPSOffice_Level2"/>
      <w:bookmarkStart w:id="103" w:name="_Toc25333_WPSOffice_Level2"/>
      <w:bookmarkStart w:id="104" w:name="_Toc30383_WPSOffice_Level2"/>
      <w:bookmarkStart w:id="105" w:name="_Toc3131_WPSOffice_Level2"/>
      <w:bookmarkStart w:id="106" w:name="_Toc32689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spacing w:line="578" w:lineRule="exact"/>
        <w:ind w:firstLine="640" w:firstLineChars="200"/>
        <w:jc w:val="left"/>
        <w:rPr>
          <w:rFonts w:hint="eastAsia" w:ascii="仿宋_GB2312" w:hAnsi="ˎ̥" w:eastAsia="仿宋_GB2312"/>
          <w:color w:val="000000"/>
          <w:sz w:val="32"/>
          <w:szCs w:val="32"/>
        </w:rPr>
      </w:pPr>
      <w:bookmarkStart w:id="107" w:name="_Toc29584_WPSOffice_Level2"/>
      <w:bookmarkStart w:id="108" w:name="_Toc19989_WPSOffice_Level2"/>
      <w:bookmarkStart w:id="109" w:name="_Toc15129_WPSOffice_Level2"/>
      <w:bookmarkStart w:id="110" w:name="_Toc6016_WPSOffice_Level2"/>
      <w:bookmarkStart w:id="111" w:name="_Toc527_WPSOffice_Level2"/>
      <w:bookmarkStart w:id="112" w:name="_Toc10902_WPSOffice_Level2"/>
      <w:r>
        <w:rPr>
          <w:rFonts w:hint="eastAsia" w:ascii="仿宋_GB2312" w:hAnsi="ˎ̥" w:eastAsia="仿宋_GB2312"/>
          <w:color w:val="000000"/>
          <w:sz w:val="32"/>
          <w:szCs w:val="32"/>
        </w:rPr>
        <w:t>202</w:t>
      </w:r>
      <w:r>
        <w:rPr>
          <w:rFonts w:hint="eastAsia" w:ascii="仿宋_GB2312" w:hAnsi="ˎ̥" w:eastAsia="仿宋_GB2312"/>
          <w:color w:val="000000"/>
          <w:sz w:val="32"/>
          <w:szCs w:val="32"/>
          <w:lang w:val="en-US" w:eastAsia="zh-CN"/>
        </w:rPr>
        <w:t>4</w:t>
      </w:r>
      <w:r>
        <w:rPr>
          <w:rFonts w:hint="eastAsia" w:ascii="仿宋_GB2312" w:hAnsi="ˎ̥" w:eastAsia="仿宋_GB2312"/>
          <w:color w:val="000000"/>
          <w:sz w:val="32"/>
          <w:szCs w:val="32"/>
        </w:rPr>
        <w:t>年度</w:t>
      </w:r>
      <w:r>
        <w:rPr>
          <w:rFonts w:hint="default" w:ascii="仿宋_GB2312" w:hAnsi="ˎ̥" w:eastAsia="仿宋_GB2312" w:cs="仿宋_GB2312"/>
          <w:color w:val="000000"/>
          <w:kern w:val="0"/>
          <w:sz w:val="32"/>
          <w:szCs w:val="32"/>
        </w:rPr>
        <w:t>屯昌县</w:t>
      </w:r>
      <w:r>
        <w:rPr>
          <w:rFonts w:hint="eastAsia" w:ascii="仿宋_GB2312" w:hAnsi="ˎ̥" w:eastAsia="仿宋_GB2312" w:cs="仿宋_GB2312"/>
          <w:color w:val="000000"/>
          <w:kern w:val="0"/>
          <w:sz w:val="32"/>
          <w:szCs w:val="32"/>
          <w:lang w:val="en-US" w:eastAsia="zh-CN"/>
        </w:rPr>
        <w:t>南吕镇第二</w:t>
      </w:r>
      <w:r>
        <w:rPr>
          <w:rFonts w:hint="default" w:ascii="仿宋_GB2312" w:hAnsi="ˎ̥" w:eastAsia="仿宋_GB2312" w:cs="仿宋_GB2312"/>
          <w:color w:val="000000"/>
          <w:kern w:val="0"/>
          <w:sz w:val="32"/>
          <w:szCs w:val="32"/>
        </w:rPr>
        <w:t>幼儿园</w:t>
      </w:r>
      <w:r>
        <w:rPr>
          <w:rFonts w:hint="eastAsia" w:ascii="仿宋_GB2312" w:hAnsi="ˎ̥" w:eastAsia="仿宋_GB2312"/>
          <w:color w:val="000000"/>
          <w:sz w:val="32"/>
          <w:szCs w:val="32"/>
        </w:rPr>
        <w:t>政府采购支出总额</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万元，其中：政府采购货物支出</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万元、政府采购工程支出</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万元、政府采购服务支出</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万元。授予中小企业合同金额</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万元，占政府采购支出总额的</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%，其中：授予小微企业合同金额</w:t>
      </w:r>
      <w:r>
        <w:rPr>
          <w:rFonts w:hint="eastAsia" w:ascii="仿宋_GB2312" w:hAnsi="ˎ̥" w:eastAsia="仿宋_GB2312"/>
          <w:color w:val="000000"/>
          <w:sz w:val="32"/>
          <w:szCs w:val="32"/>
          <w:lang w:val="en-US" w:eastAsia="zh-CN"/>
        </w:rPr>
        <w:t>0.00</w:t>
      </w:r>
      <w:r>
        <w:rPr>
          <w:rFonts w:hint="eastAsia" w:ascii="仿宋_GB2312" w:hAnsi="ˎ̥" w:eastAsia="仿宋_GB2312"/>
          <w:color w:val="000000"/>
          <w:sz w:val="32"/>
          <w:szCs w:val="32"/>
        </w:rPr>
        <w:t>万元，占</w:t>
      </w:r>
      <w:r>
        <w:rPr>
          <w:rFonts w:hint="eastAsia" w:ascii="仿宋_GB2312" w:hAnsi="仿宋_GB2312" w:eastAsia="仿宋_GB2312" w:cs="仿宋_GB2312"/>
          <w:color w:val="000000"/>
          <w:kern w:val="0"/>
          <w:sz w:val="32"/>
          <w:szCs w:val="32"/>
          <w:lang w:bidi="ar"/>
        </w:rPr>
        <w:t>授予中小企业合同金额</w:t>
      </w:r>
      <w:r>
        <w:rPr>
          <w:rFonts w:hint="eastAsia" w:ascii="仿宋_GB2312" w:hAnsi="仿宋_GB2312" w:eastAsia="仿宋_GB2312" w:cs="仿宋_GB2312"/>
          <w:color w:val="000000"/>
          <w:sz w:val="32"/>
          <w:szCs w:val="32"/>
        </w:rPr>
        <w:t>的</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spacing w:line="578" w:lineRule="exact"/>
        <w:ind w:firstLine="640" w:firstLineChars="200"/>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4137.35</w:t>
      </w:r>
      <w:r>
        <w:rPr>
          <w:rFonts w:hint="eastAsia" w:ascii="仿宋_GB2312" w:hAnsi="ˎ̥" w:eastAsia="仿宋_GB2312"/>
          <w:sz w:val="32"/>
          <w:szCs w:val="32"/>
        </w:rPr>
        <w:t>平方米</w:t>
      </w:r>
      <w:r>
        <w:rPr>
          <w:rFonts w:hint="eastAsia" w:ascii="仿宋_GB2312" w:hAnsi="ˎ̥" w:eastAsia="仿宋_GB2312"/>
          <w:sz w:val="32"/>
          <w:szCs w:val="32"/>
          <w:lang w:eastAsia="zh-CN"/>
        </w:rPr>
        <w:t>。</w:t>
      </w:r>
      <w:r>
        <w:rPr>
          <w:rFonts w:hint="eastAsia" w:ascii="仿宋_GB2312" w:hAnsi="ˎ̥" w:eastAsia="仿宋_GB2312"/>
          <w:color w:val="000000"/>
          <w:sz w:val="32"/>
          <w:szCs w:val="32"/>
        </w:rPr>
        <w:t>其中：办公用房</w:t>
      </w:r>
      <w:r>
        <w:rPr>
          <w:rFonts w:hint="eastAsia" w:ascii="仿宋_GB2312" w:hAnsi="ˎ̥" w:eastAsia="仿宋_GB2312"/>
          <w:color w:val="000000"/>
          <w:sz w:val="32"/>
          <w:szCs w:val="32"/>
          <w:lang w:val="en-US" w:eastAsia="zh-CN"/>
        </w:rPr>
        <w:t>577.44</w:t>
      </w:r>
      <w:r>
        <w:rPr>
          <w:rFonts w:hint="eastAsia" w:ascii="仿宋_GB2312" w:hAnsi="ˎ̥" w:eastAsia="仿宋_GB2312"/>
          <w:color w:val="000000"/>
          <w:sz w:val="32"/>
          <w:szCs w:val="32"/>
        </w:rPr>
        <w:t>平方米，</w:t>
      </w:r>
      <w:r>
        <w:rPr>
          <w:rFonts w:hint="eastAsia" w:ascii="仿宋_GB2312" w:hAnsi="ˎ̥" w:eastAsia="仿宋_GB2312"/>
          <w:color w:val="000000"/>
          <w:sz w:val="32"/>
          <w:szCs w:val="32"/>
          <w:lang w:val="en-US" w:eastAsia="zh-CN"/>
        </w:rPr>
        <w:t>生活</w:t>
      </w:r>
      <w:r>
        <w:rPr>
          <w:rFonts w:hint="eastAsia" w:ascii="仿宋_GB2312" w:hAnsi="ˎ̥" w:eastAsia="仿宋_GB2312"/>
          <w:color w:val="000000"/>
          <w:sz w:val="32"/>
          <w:szCs w:val="32"/>
        </w:rPr>
        <w:t>用房</w:t>
      </w:r>
      <w:r>
        <w:rPr>
          <w:rFonts w:hint="eastAsia" w:ascii="仿宋_GB2312" w:hAnsi="ˎ̥" w:eastAsia="仿宋_GB2312"/>
          <w:color w:val="000000"/>
          <w:sz w:val="32"/>
          <w:szCs w:val="32"/>
          <w:lang w:val="en-US" w:eastAsia="zh-CN"/>
        </w:rPr>
        <w:t>1180.52</w:t>
      </w:r>
      <w:r>
        <w:rPr>
          <w:rFonts w:hint="eastAsia" w:ascii="仿宋_GB2312" w:hAnsi="ˎ̥" w:eastAsia="仿宋_GB2312"/>
          <w:color w:val="000000"/>
          <w:sz w:val="32"/>
          <w:szCs w:val="32"/>
        </w:rPr>
        <w:t>平方米，其他（不含构筑物）</w:t>
      </w:r>
      <w:r>
        <w:rPr>
          <w:rFonts w:hint="eastAsia" w:ascii="仿宋_GB2312" w:hAnsi="ˎ̥" w:eastAsia="仿宋_GB2312"/>
          <w:color w:val="000000"/>
          <w:sz w:val="32"/>
          <w:szCs w:val="32"/>
          <w:lang w:val="en-US" w:eastAsia="zh-CN"/>
        </w:rPr>
        <w:t>2379.39</w:t>
      </w:r>
      <w:r>
        <w:rPr>
          <w:rFonts w:hint="eastAsia" w:ascii="仿宋_GB2312" w:hAnsi="ˎ̥" w:eastAsia="仿宋_GB2312"/>
          <w:color w:val="000000"/>
          <w:sz w:val="32"/>
          <w:szCs w:val="32"/>
        </w:rPr>
        <w:t>平方米。</w:t>
      </w:r>
    </w:p>
    <w:p>
      <w:pPr>
        <w:spacing w:line="578" w:lineRule="exact"/>
        <w:ind w:firstLine="640" w:firstLineChars="200"/>
        <w:rPr>
          <w:rFonts w:hint="eastAsia" w:ascii="仿宋_GB2312" w:hAnsi="ˎ̥" w:eastAsia="仿宋_GB2312"/>
          <w:color w:val="000000"/>
          <w:sz w:val="32"/>
          <w:szCs w:val="32"/>
        </w:rPr>
      </w:pPr>
      <w:bookmarkStart w:id="113" w:name="_Toc4398_WPSOffice_Level1"/>
      <w:bookmarkStart w:id="114" w:name="_Toc17580_WPSOffice_Level1"/>
      <w:bookmarkStart w:id="115" w:name="_Toc11039_WPSOffice_Level1"/>
      <w:bookmarkStart w:id="116" w:name="_Toc15425_WPSOffice_Level1"/>
      <w:bookmarkStart w:id="117" w:name="_Toc8808_WPSOffice_Level1"/>
      <w:bookmarkStart w:id="118" w:name="_Toc8874_WPSOffice_Level1"/>
      <w:r>
        <w:rPr>
          <w:rFonts w:hint="eastAsia" w:ascii="仿宋_GB2312" w:hAnsi="ˎ̥" w:eastAsia="仿宋_GB2312"/>
          <w:color w:val="000000"/>
          <w:sz w:val="32"/>
          <w:szCs w:val="32"/>
        </w:rPr>
        <w:t>本</w:t>
      </w:r>
      <w:r>
        <w:rPr>
          <w:rFonts w:hint="eastAsia" w:ascii="仿宋_GB2312" w:hAnsi="ˎ̥" w:eastAsia="仿宋_GB2312"/>
          <w:color w:val="000000"/>
          <w:sz w:val="32"/>
          <w:szCs w:val="32"/>
          <w:lang w:eastAsia="zh-CN"/>
        </w:rPr>
        <w:t>单位</w:t>
      </w:r>
      <w:r>
        <w:rPr>
          <w:rFonts w:hint="eastAsia" w:ascii="仿宋_GB2312" w:hAnsi="ˎ̥" w:eastAsia="仿宋_GB2312"/>
          <w:color w:val="000000"/>
          <w:sz w:val="32"/>
          <w:szCs w:val="32"/>
        </w:rPr>
        <w:t>共有车辆</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辆，其中，副部（省）级及以上领导用车</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辆、主要负责人用车</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辆、机要通信用车</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辆、应急保障用车</w:t>
      </w:r>
      <w:r>
        <w:rPr>
          <w:rFonts w:hint="default" w:ascii="仿宋_GB2312" w:hAnsi="ˎ̥" w:eastAsia="仿宋_GB2312"/>
          <w:color w:val="000000"/>
          <w:sz w:val="32"/>
          <w:szCs w:val="32"/>
          <w:lang w:val="en-US"/>
        </w:rPr>
        <w:t>XX</w:t>
      </w:r>
      <w:r>
        <w:rPr>
          <w:rFonts w:hint="eastAsia" w:ascii="仿宋_GB2312" w:hAnsi="ˎ̥" w:eastAsia="仿宋_GB2312"/>
          <w:color w:val="000000"/>
          <w:sz w:val="32"/>
          <w:szCs w:val="32"/>
        </w:rPr>
        <w:t>辆、执法执勤用车</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辆、特种专业技术用车</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辆、离退休干部服务用车</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辆、其他用车</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辆。单价100万元（含）以上设备（不含车辆）</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台（套）。</w:t>
      </w:r>
    </w:p>
    <w:p>
      <w:pPr>
        <w:spacing w:line="578" w:lineRule="exact"/>
        <w:ind w:firstLine="640" w:firstLineChars="200"/>
        <w:rPr>
          <w:rFonts w:hint="eastAsia" w:ascii="仿宋_GB2312" w:hAnsi="ˎ̥" w:eastAsia="仿宋_GB2312"/>
          <w:color w:val="000000"/>
          <w:sz w:val="32"/>
          <w:szCs w:val="32"/>
        </w:rPr>
      </w:pPr>
      <w:r>
        <w:rPr>
          <w:rFonts w:hint="eastAsia" w:ascii="仿宋_GB2312" w:hAnsi="ˎ̥" w:eastAsia="仿宋_GB2312"/>
          <w:color w:val="000000"/>
          <w:sz w:val="32"/>
          <w:szCs w:val="32"/>
        </w:rPr>
        <w:t>年末在建工程</w:t>
      </w:r>
      <w:r>
        <w:rPr>
          <w:rFonts w:hint="eastAsia" w:ascii="仿宋_GB2312" w:hAnsi="ˎ̥" w:eastAsia="仿宋_GB2312"/>
          <w:color w:val="000000"/>
          <w:sz w:val="32"/>
          <w:szCs w:val="32"/>
          <w:lang w:val="en-US" w:eastAsia="zh-CN"/>
        </w:rPr>
        <w:t>0</w:t>
      </w:r>
      <w:r>
        <w:rPr>
          <w:rFonts w:hint="eastAsia" w:ascii="仿宋_GB2312" w:hAnsi="ˎ̥" w:eastAsia="仿宋_GB2312"/>
          <w:color w:val="000000"/>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20A11C3"/>
    <w:rsid w:val="136F98C7"/>
    <w:rsid w:val="17427E68"/>
    <w:rsid w:val="1755065F"/>
    <w:rsid w:val="1AFC29C9"/>
    <w:rsid w:val="1CA52F2E"/>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6F8D11D6"/>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7197</Words>
  <Characters>8085</Characters>
  <Lines>67</Lines>
  <Paragraphs>18</Paragraphs>
  <TotalTime>11</TotalTime>
  <ScaleCrop>false</ScaleCrop>
  <LinksUpToDate>false</LinksUpToDate>
  <CharactersWithSpaces>8171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2025-10-27T03:26:47Z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9A53C9B6538B4EAFA57E3857C03AD775_13</vt:lpwstr>
  </property>
  <property fmtid="{D5CDD505-2E9C-101B-9397-08002B2CF9AE}" pid="4" name="KSOTemplateDocerSaveRecord">
    <vt:lpwstr>eyJoZGlkIjoiN2E4NjU5NGY4ZmIxNDVmZWZiMzc0NjFjODU4ZGE5OTgiLCJ1c2VySWQiOiIxNDgwMzY3NzU2In0=</vt:lpwstr>
  </property>
</Properties>
</file>