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t>屯昌县第二幼儿园2024年度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pPr>
      <w:bookmarkStart w:id="119" w:name="_GoBack"/>
      <w:bookmarkEnd w:id="119"/>
      <w:r>
        <w:rPr>
          <w:rFonts w:hint="eastAsia" w:ascii="方正小标宋_GBK" w:hAnsi="方正小标宋_GBK" w:eastAsia="方正小标宋_GBK" w:cs="方正小标宋_GBK"/>
          <w:b w:val="0"/>
          <w:bCs w:val="0"/>
          <w:color w:val="000000" w:themeColor="text1"/>
          <w:sz w:val="44"/>
          <w:szCs w:val="44"/>
          <w:lang w:eastAsia="zh-CN"/>
          <w14:textFill>
            <w14:solidFill>
              <w14:schemeClr w14:val="tx1"/>
            </w14:solidFill>
          </w14:textFill>
        </w:rPr>
        <w:t>单位</w:t>
      </w:r>
      <w:r>
        <w:rPr>
          <w:rFonts w:hint="eastAsia" w:ascii="方正小标宋_GBK" w:hAnsi="方正小标宋_GBK" w:eastAsia="方正小标宋_GBK" w:cs="方正小标宋_GBK"/>
          <w:b w:val="0"/>
          <w:bCs w:val="0"/>
          <w:color w:val="000000" w:themeColor="text1"/>
          <w:sz w:val="44"/>
          <w:szCs w:val="44"/>
          <w14:textFill>
            <w14:solidFill>
              <w14:schemeClr w14:val="tx1"/>
            </w14:solidFill>
          </w14:textFill>
        </w:rPr>
        <w:t>决算公开报告</w:t>
      </w:r>
    </w:p>
    <w:p>
      <w:pPr>
        <w:spacing w:line="578" w:lineRule="exact"/>
        <w:jc w:val="center"/>
        <w:rPr>
          <w:rFonts w:hint="eastAsia" w:ascii="黑体" w:hAnsi="ˎ̥" w:eastAsia="黑体"/>
          <w:b/>
          <w:color w:val="000000" w:themeColor="text1"/>
          <w:sz w:val="32"/>
          <w:szCs w:val="32"/>
          <w14:textFill>
            <w14:solidFill>
              <w14:schemeClr w14:val="tx1"/>
            </w14:solidFill>
          </w14:textFill>
        </w:rPr>
      </w:pPr>
    </w:p>
    <w:p>
      <w:pPr>
        <w:spacing w:line="578" w:lineRule="exact"/>
        <w:jc w:val="center"/>
        <w:rPr>
          <w:rFonts w:hint="eastAsia" w:ascii="黑体" w:hAnsi="黑体" w:eastAsia="黑体" w:cs="黑体"/>
          <w:color w:val="000000" w:themeColor="text1"/>
          <w:sz w:val="44"/>
          <w:szCs w:val="44"/>
          <w14:textFill>
            <w14:solidFill>
              <w14:schemeClr w14:val="tx1"/>
            </w14:solidFill>
          </w14:textFill>
        </w:rPr>
      </w:pPr>
      <w:bookmarkStart w:id="0" w:name="_Toc11440_WPSOffice_Type2"/>
      <w:r>
        <w:rPr>
          <w:rFonts w:hint="eastAsia" w:ascii="黑体" w:hAnsi="黑体" w:eastAsia="黑体" w:cs="黑体"/>
          <w:color w:val="000000" w:themeColor="text1"/>
          <w:sz w:val="44"/>
          <w:szCs w:val="44"/>
          <w14:textFill>
            <w14:solidFill>
              <w14:schemeClr w14:val="tx1"/>
            </w14:solidFill>
          </w14:textFill>
        </w:rPr>
        <w:t>目  录</w:t>
      </w:r>
    </w:p>
    <w:p>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_Toc1704_WPSOffice_Level1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第一部分 基本情况</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2</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_Toc20274_WPSOffice_Level2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sz w:val="32"/>
          <w:szCs w:val="32"/>
          <w14:textFill>
            <w14:solidFill>
              <w14:schemeClr w14:val="tx1"/>
            </w14:solidFill>
          </w14:textFill>
        </w:rPr>
        <w:t>一、</w:t>
      </w:r>
      <w:r>
        <w:rPr>
          <w:rFonts w:hint="eastAsia" w:ascii="仿宋" w:hAnsi="仿宋" w:eastAsia="仿宋" w:cs="仿宋"/>
          <w:color w:val="000000" w:themeColor="text1"/>
          <w:sz w:val="32"/>
          <w:szCs w:val="32"/>
          <w:lang w:eastAsia="zh-CN"/>
          <w14:textFill>
            <w14:solidFill>
              <w14:schemeClr w14:val="tx1"/>
            </w14:solidFill>
          </w14:textFill>
        </w:rPr>
        <w:t>单位</w:t>
      </w:r>
      <w:r>
        <w:rPr>
          <w:rFonts w:hint="eastAsia" w:ascii="仿宋" w:hAnsi="仿宋" w:eastAsia="仿宋" w:cs="仿宋"/>
          <w:color w:val="000000" w:themeColor="text1"/>
          <w:sz w:val="32"/>
          <w:szCs w:val="32"/>
          <w14:textFill>
            <w14:solidFill>
              <w14:schemeClr w14:val="tx1"/>
            </w14:solidFill>
          </w14:textFill>
        </w:rPr>
        <w:t>职责</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2</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_Toc4833_WPSOffice_Level2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color w:val="000000" w:themeColor="text1"/>
          <w:sz w:val="32"/>
          <w:szCs w:val="32"/>
          <w14:textFill>
            <w14:solidFill>
              <w14:schemeClr w14:val="tx1"/>
            </w14:solidFill>
          </w14:textFill>
        </w:rPr>
        <w:t>二、机构设置</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2</w:t>
      </w:r>
    </w:p>
    <w:p>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_Toc28253_WPSOffice_Level1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w:t>
      </w:r>
      <w:r>
        <w:rPr>
          <w:rFonts w:hint="eastAsia" w:ascii="黑体" w:hAnsi="ˎ̥" w:eastAsia="黑体"/>
          <w:color w:val="000000" w:themeColor="text1"/>
          <w:sz w:val="32"/>
          <w:szCs w:val="32"/>
          <w:lang w:eastAsia="zh-CN"/>
          <w14:textFill>
            <w14:solidFill>
              <w14:schemeClr w14:val="tx1"/>
            </w14:solidFill>
          </w14:textFill>
        </w:rPr>
        <w:t>单位</w:t>
      </w:r>
      <w:r>
        <w:rPr>
          <w:rFonts w:hint="eastAsia" w:ascii="黑体" w:hAnsi="ˎ̥" w:eastAsia="黑体"/>
          <w:color w:val="000000" w:themeColor="text1"/>
          <w:sz w:val="32"/>
          <w:szCs w:val="32"/>
          <w14:textFill>
            <w14:solidFill>
              <w14:schemeClr w14:val="tx1"/>
            </w14:solidFill>
          </w14:textFill>
        </w:rPr>
        <w:t>决算公开表</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2</w:t>
      </w:r>
    </w:p>
    <w:p>
      <w:pPr>
        <w:pStyle w:val="15"/>
        <w:tabs>
          <w:tab w:val="right" w:leader="dot" w:pos="8306"/>
        </w:tabs>
        <w:spacing w:line="578" w:lineRule="exact"/>
        <w:rPr>
          <w:rFonts w:hint="eastAsia"/>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_Toc27590_WPSOffice_Level1 </w:instrText>
      </w:r>
      <w:r>
        <w:rPr>
          <w:color w:val="000000" w:themeColor="text1"/>
          <w:sz w:val="32"/>
          <w:szCs w:val="32"/>
          <w14:textFill>
            <w14:solidFill>
              <w14:schemeClr w14:val="tx1"/>
            </w14:solidFill>
          </w14:textFill>
        </w:rPr>
        <w:fldChar w:fldCharType="separate"/>
      </w:r>
      <w:r>
        <w:rPr>
          <w:rFonts w:hint="eastAsia" w:ascii="黑体" w:hAnsi="黑体" w:eastAsia="黑体" w:cs="黑体"/>
          <w:color w:val="000000" w:themeColor="text1"/>
          <w:sz w:val="32"/>
          <w:szCs w:val="32"/>
          <w14:textFill>
            <w14:solidFill>
              <w14:schemeClr w14:val="tx1"/>
            </w14:solidFill>
          </w14:textFill>
        </w:rPr>
        <w:t>第三部分</w:t>
      </w:r>
      <w:r>
        <w:rPr>
          <w:rFonts w:hint="eastAsia"/>
          <w:color w:val="000000" w:themeColor="text1"/>
          <w:sz w:val="32"/>
          <w:szCs w:val="32"/>
          <w14:textFill>
            <w14:solidFill>
              <w14:schemeClr w14:val="tx1"/>
            </w14:solidFill>
          </w14:textFill>
        </w:rPr>
        <w:t xml:space="preserve">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w:t>
      </w:r>
      <w:r>
        <w:rPr>
          <w:rFonts w:hint="eastAsia" w:ascii="黑体" w:hAnsi="ˎ̥" w:eastAsia="黑体"/>
          <w:color w:val="000000" w:themeColor="text1"/>
          <w:sz w:val="32"/>
          <w:szCs w:val="32"/>
          <w:lang w:eastAsia="zh-CN"/>
          <w14:textFill>
            <w14:solidFill>
              <w14:schemeClr w14:val="tx1"/>
            </w14:solidFill>
          </w14:textFill>
        </w:rPr>
        <w:t>单位</w:t>
      </w:r>
      <w:r>
        <w:rPr>
          <w:rFonts w:hint="eastAsia" w:ascii="黑体" w:hAnsi="ˎ̥" w:eastAsia="黑体"/>
          <w:color w:val="000000" w:themeColor="text1"/>
          <w:sz w:val="32"/>
          <w:szCs w:val="32"/>
          <w14:textFill>
            <w14:solidFill>
              <w14:schemeClr w14:val="tx1"/>
            </w14:solidFill>
          </w14:textFill>
        </w:rPr>
        <w:t>决算情况说明</w:t>
      </w:r>
      <w:r>
        <w:rPr>
          <w:color w:val="000000" w:themeColor="text1"/>
          <w:sz w:val="32"/>
          <w:szCs w:val="32"/>
          <w14:textFill>
            <w14:solidFill>
              <w14:schemeClr w14:val="tx1"/>
            </w14:solidFill>
          </w14:textFill>
        </w:rPr>
        <w:tab/>
      </w:r>
      <w:r>
        <w:rPr>
          <w:color w:val="000000" w:themeColor="text1"/>
          <w:sz w:val="32"/>
          <w:szCs w:val="32"/>
          <w14:textFill>
            <w14:solidFill>
              <w14:schemeClr w14:val="tx1"/>
            </w14:solidFill>
          </w14:textFill>
        </w:rPr>
        <w:fldChar w:fldCharType="end"/>
      </w:r>
      <w:r>
        <w:rPr>
          <w:rFonts w:hint="eastAsia"/>
          <w:color w:val="000000" w:themeColor="text1"/>
          <w:sz w:val="32"/>
          <w:szCs w:val="32"/>
          <w14:textFill>
            <w14:solidFill>
              <w14:schemeClr w14:val="tx1"/>
            </w14:solidFill>
          </w14:textFill>
        </w:rPr>
        <w:t>3</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_Toc21737_WPSOffice_Level2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一、收入支出总体情况说明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3</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二、收入决算情况说明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三、支出决算情况说明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四、财政拨款收入支出决算</w:t>
      </w:r>
      <w:r>
        <w:rPr>
          <w:rFonts w:hint="eastAsia" w:ascii="仿宋" w:hAnsi="仿宋" w:eastAsia="仿宋" w:cs="仿宋"/>
          <w:bCs/>
          <w:color w:val="000000" w:themeColor="text1"/>
          <w:sz w:val="32"/>
          <w:szCs w:val="32"/>
          <w:lang w:val="en-US" w:eastAsia="zh-CN"/>
          <w14:textFill>
            <w14:solidFill>
              <w14:schemeClr w14:val="tx1"/>
            </w14:solidFill>
          </w14:textFill>
        </w:rPr>
        <w:t>总体</w:t>
      </w:r>
      <w:r>
        <w:rPr>
          <w:rFonts w:hint="eastAsia" w:ascii="仿宋" w:hAnsi="仿宋" w:eastAsia="仿宋" w:cs="仿宋"/>
          <w:bCs/>
          <w:color w:val="000000" w:themeColor="text1"/>
          <w:sz w:val="32"/>
          <w:szCs w:val="32"/>
          <w14:textFill>
            <w14:solidFill>
              <w14:schemeClr w14:val="tx1"/>
            </w14:solidFill>
          </w14:textFill>
        </w:rPr>
        <w:t>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4</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五、一般公共预算财政拨款支出决算情况说明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5</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六、一般公共预算财政拨款基本支出决算情况说明</w:t>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6</w:t>
      </w:r>
    </w:p>
    <w:p>
      <w:pPr>
        <w:pStyle w:val="16"/>
        <w:numPr>
          <w:ilvl w:val="0"/>
          <w:numId w:val="1"/>
        </w:numPr>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政府性基金预算财政拨款支出决算情况说明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7</w:t>
      </w:r>
    </w:p>
    <w:p>
      <w:pPr>
        <w:pStyle w:val="16"/>
        <w:numPr>
          <w:ilvl w:val="0"/>
          <w:numId w:val="1"/>
        </w:numPr>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国有资本经营预算财政拨款支出决算情况说明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8</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九、财政拨款“三公”经费支出决算情况说明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9</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fldChar w:fldCharType="begin"/>
      </w:r>
      <w:r>
        <w:rPr>
          <w:rFonts w:hint="eastAsia" w:ascii="仿宋" w:hAnsi="仿宋" w:eastAsia="仿宋" w:cs="仿宋"/>
          <w:color w:val="000000" w:themeColor="text1"/>
          <w:sz w:val="32"/>
          <w:szCs w:val="32"/>
          <w14:textFill>
            <w14:solidFill>
              <w14:schemeClr w14:val="tx1"/>
            </w14:solidFill>
          </w14:textFill>
        </w:rPr>
        <w:instrText xml:space="preserve"> HYPERLINK \l _Toc19535_WPSOffice_Level2 </w:instrText>
      </w:r>
      <w:r>
        <w:rPr>
          <w:rFonts w:hint="eastAsia" w:ascii="仿宋" w:hAnsi="仿宋" w:eastAsia="仿宋" w:cs="仿宋"/>
          <w:color w:val="000000" w:themeColor="text1"/>
          <w:sz w:val="32"/>
          <w:szCs w:val="32"/>
          <w14:textFill>
            <w14:solidFill>
              <w14:schemeClr w14:val="tx1"/>
            </w14:solidFill>
          </w14:textFill>
        </w:rPr>
        <w:fldChar w:fldCharType="separate"/>
      </w:r>
      <w:r>
        <w:rPr>
          <w:rFonts w:hint="eastAsia" w:ascii="仿宋" w:hAnsi="仿宋" w:eastAsia="仿宋" w:cs="仿宋"/>
          <w:bCs/>
          <w:color w:val="000000" w:themeColor="text1"/>
          <w:sz w:val="32"/>
          <w:szCs w:val="32"/>
          <w14:textFill>
            <w14:solidFill>
              <w14:schemeClr w14:val="tx1"/>
            </w14:solidFill>
          </w14:textFill>
        </w:rPr>
        <w:t>十、预算绩效情况说明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fldChar w:fldCharType="end"/>
      </w:r>
      <w:r>
        <w:rPr>
          <w:rFonts w:hint="eastAsia" w:ascii="仿宋" w:hAnsi="仿宋" w:eastAsia="仿宋" w:cs="仿宋"/>
          <w:color w:val="000000" w:themeColor="text1"/>
          <w:sz w:val="32"/>
          <w:szCs w:val="32"/>
          <w14:textFill>
            <w14:solidFill>
              <w14:schemeClr w14:val="tx1"/>
            </w14:solidFill>
          </w14:textFill>
        </w:rPr>
        <w:t>11</w:t>
      </w:r>
    </w:p>
    <w:p>
      <w:pPr>
        <w:pStyle w:val="16"/>
        <w:tabs>
          <w:tab w:val="right" w:leader="dot" w:pos="8306"/>
        </w:tabs>
        <w:spacing w:line="578" w:lineRule="exact"/>
        <w:ind w:leftChars="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十一、其他重要事项情况说明</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13</w:t>
      </w:r>
    </w:p>
    <w:p>
      <w:pPr>
        <w:pStyle w:val="15"/>
        <w:tabs>
          <w:tab w:val="right" w:leader="dot" w:pos="8306"/>
        </w:tabs>
        <w:spacing w:line="578" w:lineRule="exact"/>
        <w:rPr>
          <w:rFonts w:hint="eastAsia" w:ascii="黑体" w:hAnsi="ˎ̥"/>
          <w:b/>
          <w:color w:val="000000" w:themeColor="text1"/>
          <w:sz w:val="32"/>
          <w:szCs w:val="3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HYPERLINK \l _Toc15425_WPSOffice_Level1 </w:instrText>
      </w:r>
      <w:r>
        <w:rPr>
          <w:color w:val="000000" w:themeColor="text1"/>
          <w:sz w:val="32"/>
          <w:szCs w:val="32"/>
          <w14:textFill>
            <w14:solidFill>
              <w14:schemeClr w14:val="tx1"/>
            </w14:solidFill>
          </w14:textFill>
        </w:rPr>
        <w:fldChar w:fldCharType="separate"/>
      </w:r>
      <w:r>
        <w:rPr>
          <w:rFonts w:hint="eastAsia" w:ascii="黑体" w:hAnsi="ˎ̥" w:eastAsia="黑体"/>
          <w:color w:val="000000" w:themeColor="text1"/>
          <w:sz w:val="32"/>
          <w:szCs w:val="32"/>
          <w14:textFill>
            <w14:solidFill>
              <w14:schemeClr w14:val="tx1"/>
            </w14:solidFill>
          </w14:textFill>
        </w:rPr>
        <w:t>第四部分  名词解释</w:t>
      </w:r>
      <w:r>
        <w:rPr>
          <w:color w:val="000000" w:themeColor="text1"/>
          <w:sz w:val="32"/>
          <w:szCs w:val="32"/>
          <w14:textFill>
            <w14:solidFill>
              <w14:schemeClr w14:val="tx1"/>
            </w14:solidFill>
          </w14:textFill>
        </w:rPr>
        <w:tab/>
      </w:r>
      <w:bookmarkStart w:id="1" w:name="_Toc15425_WPSOffice_Level1Page"/>
      <w:r>
        <w:rPr>
          <w:color w:val="000000" w:themeColor="text1"/>
          <w:sz w:val="32"/>
          <w:szCs w:val="32"/>
          <w14:textFill>
            <w14:solidFill>
              <w14:schemeClr w14:val="tx1"/>
            </w14:solidFill>
          </w14:textFill>
        </w:rPr>
        <w:t>1</w:t>
      </w:r>
      <w:bookmarkEnd w:id="1"/>
      <w:r>
        <w:rPr>
          <w:color w:val="000000" w:themeColor="text1"/>
          <w:sz w:val="32"/>
          <w:szCs w:val="32"/>
          <w14:textFill>
            <w14:solidFill>
              <w14:schemeClr w14:val="tx1"/>
            </w14:solidFill>
          </w14:textFill>
        </w:rPr>
        <w:fldChar w:fldCharType="end"/>
      </w:r>
      <w:bookmarkEnd w:id="0"/>
      <w:r>
        <w:rPr>
          <w:rFonts w:hint="eastAsia"/>
          <w:color w:val="000000" w:themeColor="text1"/>
          <w:sz w:val="32"/>
          <w:szCs w:val="32"/>
          <w14:textFill>
            <w14:solidFill>
              <w14:schemeClr w14:val="tx1"/>
            </w14:solidFill>
          </w14:textFill>
        </w:rPr>
        <w:t>5</w:t>
      </w:r>
    </w:p>
    <w:p>
      <w:pPr>
        <w:spacing w:line="578" w:lineRule="exact"/>
        <w:jc w:val="both"/>
        <w:rPr>
          <w:rFonts w:hint="eastAsia" w:ascii="黑体" w:hAnsi="ˎ̥" w:eastAsia="黑体"/>
          <w:color w:val="000000" w:themeColor="text1"/>
          <w:sz w:val="32"/>
          <w:szCs w:val="32"/>
          <w14:textFill>
            <w14:solidFill>
              <w14:schemeClr w14:val="tx1"/>
            </w14:solidFill>
          </w14:textFill>
        </w:rPr>
      </w:pPr>
      <w:bookmarkStart w:id="2" w:name="_Toc10049_WPSOffice_Level1"/>
      <w:bookmarkStart w:id="3" w:name="_Toc23465_WPSOffice_Level1"/>
      <w:bookmarkStart w:id="4" w:name="_Toc32433_WPSOffice_Level1"/>
      <w:bookmarkStart w:id="5" w:name="_Toc10720_WPSOffice_Level1"/>
      <w:bookmarkStart w:id="6" w:name="_Toc1704_WPSOffice_Level1"/>
      <w:bookmarkStart w:id="7" w:name="_Toc22941_WPSOffice_Level1"/>
      <w:bookmarkStart w:id="8" w:name="_Toc24238_WPSOffice_Level2"/>
      <w:bookmarkStart w:id="9" w:name="_Toc26580_WPSOffice_Level2"/>
      <w:bookmarkStart w:id="10" w:name="_Toc20274_WPSOffice_Level2"/>
      <w:bookmarkStart w:id="11" w:name="_Toc14159_WPSOffice_Level2"/>
      <w:bookmarkStart w:id="12" w:name="_Toc20205_WPSOffice_Level2"/>
      <w:bookmarkStart w:id="13" w:name="_Toc32622_WPSOffice_Level2"/>
    </w:p>
    <w:p>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第一部分  </w:t>
      </w:r>
      <w:bookmarkEnd w:id="2"/>
      <w:bookmarkEnd w:id="3"/>
      <w:bookmarkEnd w:id="4"/>
      <w:bookmarkEnd w:id="5"/>
      <w:bookmarkEnd w:id="6"/>
      <w:bookmarkEnd w:id="7"/>
      <w:r>
        <w:rPr>
          <w:rFonts w:hint="eastAsia" w:ascii="黑体" w:hAnsi="ˎ̥" w:eastAsia="黑体"/>
          <w:color w:val="000000" w:themeColor="text1"/>
          <w:sz w:val="32"/>
          <w:szCs w:val="32"/>
          <w14:textFill>
            <w14:solidFill>
              <w14:schemeClr w14:val="tx1"/>
            </w14:solidFill>
          </w14:textFill>
        </w:rPr>
        <w:t>基本情况</w:t>
      </w:r>
    </w:p>
    <w:p>
      <w:pPr>
        <w:spacing w:line="578" w:lineRule="exact"/>
        <w:ind w:firstLine="640" w:firstLineChars="200"/>
        <w:rPr>
          <w:rFonts w:hint="eastAsia" w:ascii="楷体" w:hAnsi="楷体" w:eastAsia="楷体" w:cs="楷体"/>
          <w:color w:val="000000" w:themeColor="text1"/>
          <w:sz w:val="32"/>
          <w:szCs w:val="32"/>
          <w14:textFill>
            <w14:solidFill>
              <w14:schemeClr w14:val="tx1"/>
            </w14:solidFill>
          </w14:textFill>
        </w:rPr>
      </w:pPr>
    </w:p>
    <w:bookmarkEnd w:id="8"/>
    <w:p>
      <w:pPr>
        <w:numPr>
          <w:ilvl w:val="0"/>
          <w:numId w:val="2"/>
        </w:numPr>
        <w:spacing w:line="578"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单位</w:t>
      </w:r>
      <w:r>
        <w:rPr>
          <w:rFonts w:hint="eastAsia" w:ascii="黑体" w:hAnsi="黑体" w:eastAsia="黑体" w:cs="黑体"/>
          <w:color w:val="000000" w:themeColor="text1"/>
          <w:sz w:val="32"/>
          <w:szCs w:val="32"/>
          <w14:textFill>
            <w14:solidFill>
              <w14:schemeClr w14:val="tx1"/>
            </w14:solidFill>
          </w14:textFill>
        </w:rPr>
        <w:t>职责</w:t>
      </w:r>
      <w:bookmarkEnd w:id="9"/>
      <w:bookmarkEnd w:id="10"/>
      <w:bookmarkEnd w:id="11"/>
      <w:bookmarkEnd w:id="12"/>
      <w:bookmarkEnd w:id="13"/>
    </w:p>
    <w:p>
      <w:pPr>
        <w:keepNext w:val="0"/>
        <w:keepLines w:val="0"/>
        <w:widowControl/>
        <w:suppressLineNumbers w:val="0"/>
        <w:ind w:left="0" w:leftChars="0" w:firstLine="640" w:firstLineChars="200"/>
        <w:jc w:val="left"/>
        <w:rPr>
          <w:rFonts w:hint="eastAsia" w:ascii="仿宋_GB2312" w:hAnsi="宋体" w:eastAsia="仿宋_GB2312" w:cs="仿宋_GB2312"/>
          <w:color w:val="000000" w:themeColor="text1"/>
          <w:kern w:val="0"/>
          <w:sz w:val="32"/>
          <w:szCs w:val="32"/>
          <w14:textFill>
            <w14:solidFill>
              <w14:schemeClr w14:val="tx1"/>
            </w14:solidFill>
          </w14:textFill>
        </w:rPr>
      </w:pPr>
      <w:r>
        <w:rPr>
          <w:rFonts w:hint="eastAsia" w:ascii="仿宋_GB2312" w:hAnsi="宋体" w:eastAsia="仿宋_GB2312" w:cs="仿宋_GB2312"/>
          <w:color w:val="000000" w:themeColor="text1"/>
          <w:kern w:val="0"/>
          <w:sz w:val="32"/>
          <w:szCs w:val="32"/>
          <w14:textFill>
            <w14:solidFill>
              <w14:schemeClr w14:val="tx1"/>
            </w14:solidFill>
          </w14:textFill>
        </w:rPr>
        <w:t>（一）实行保育和教育相结合的原则，为家长解除后顾之忧，热忱为家长服务。</w:t>
      </w:r>
    </w:p>
    <w:p>
      <w:pPr>
        <w:keepNext w:val="0"/>
        <w:keepLines w:val="0"/>
        <w:widowControl/>
        <w:suppressLineNumbers w:val="0"/>
        <w:ind w:left="0" w:leftChars="0" w:firstLine="640" w:firstLineChars="200"/>
        <w:jc w:val="left"/>
        <w:rPr>
          <w:rFonts w:hint="eastAsia" w:ascii="仿宋_GB2312" w:hAnsi="宋体" w:eastAsia="仿宋_GB2312" w:cs="仿宋_GB2312"/>
          <w:color w:val="000000" w:themeColor="text1"/>
          <w:kern w:val="0"/>
          <w:sz w:val="32"/>
          <w:szCs w:val="32"/>
          <w14:textFill>
            <w14:solidFill>
              <w14:schemeClr w14:val="tx1"/>
            </w14:solidFill>
          </w14:textFill>
        </w:rPr>
      </w:pPr>
      <w:r>
        <w:rPr>
          <w:rFonts w:hint="eastAsia" w:ascii="仿宋_GB2312" w:hAnsi="宋体" w:eastAsia="仿宋_GB2312" w:cs="仿宋_GB2312"/>
          <w:color w:val="000000" w:themeColor="text1"/>
          <w:kern w:val="0"/>
          <w:sz w:val="32"/>
          <w:szCs w:val="32"/>
          <w14:textFill>
            <w14:solidFill>
              <w14:schemeClr w14:val="tx1"/>
            </w14:solidFill>
          </w14:textFill>
        </w:rPr>
        <w:t>（二）为儿童提供健康、丰富的生活和活动环境，促进幼儿体智德美等和谐发展，全面实施素质教育。</w:t>
      </w:r>
    </w:p>
    <w:p>
      <w:pPr>
        <w:keepNext w:val="0"/>
        <w:keepLines w:val="0"/>
        <w:widowControl/>
        <w:suppressLineNumbers w:val="0"/>
        <w:ind w:left="0" w:leftChars="0" w:firstLine="640" w:firstLineChars="200"/>
        <w:jc w:val="left"/>
        <w:rPr>
          <w:rFonts w:hint="eastAsia" w:ascii="仿宋_GB2312" w:hAnsi="宋体" w:eastAsia="仿宋_GB2312" w:cs="仿宋_GB2312"/>
          <w:color w:val="000000" w:themeColor="text1"/>
          <w:kern w:val="0"/>
          <w:sz w:val="32"/>
          <w:szCs w:val="32"/>
          <w14:textFill>
            <w14:solidFill>
              <w14:schemeClr w14:val="tx1"/>
            </w14:solidFill>
          </w14:textFill>
        </w:rPr>
      </w:pPr>
      <w:r>
        <w:rPr>
          <w:rFonts w:hint="eastAsia" w:ascii="仿宋_GB2312" w:hAnsi="宋体" w:eastAsia="仿宋_GB2312" w:cs="仿宋_GB2312"/>
          <w:color w:val="000000" w:themeColor="text1"/>
          <w:kern w:val="0"/>
          <w:sz w:val="32"/>
          <w:szCs w:val="32"/>
          <w14:textFill>
            <w14:solidFill>
              <w14:schemeClr w14:val="tx1"/>
            </w14:solidFill>
          </w14:textFill>
        </w:rPr>
        <w:t>（三）严格执行幼儿园安全、卫生保健制度，保证幼儿身心健康和生命安全。</w:t>
      </w:r>
    </w:p>
    <w:p>
      <w:pPr>
        <w:keepNext w:val="0"/>
        <w:keepLines w:val="0"/>
        <w:widowControl/>
        <w:suppressLineNumbers w:val="0"/>
        <w:ind w:left="0" w:leftChars="0" w:firstLine="640" w:firstLineChars="200"/>
        <w:jc w:val="left"/>
        <w:rPr>
          <w:rFonts w:hint="eastAsia" w:ascii="仿宋_GB2312" w:hAnsi="宋体" w:eastAsia="仿宋_GB2312" w:cs="仿宋_GB2312"/>
          <w:color w:val="000000" w:themeColor="text1"/>
          <w:kern w:val="0"/>
          <w:sz w:val="32"/>
          <w:szCs w:val="32"/>
          <w14:textFill>
            <w14:solidFill>
              <w14:schemeClr w14:val="tx1"/>
            </w14:solidFill>
          </w14:textFill>
        </w:rPr>
      </w:pPr>
      <w:r>
        <w:rPr>
          <w:rFonts w:hint="eastAsia" w:ascii="仿宋_GB2312" w:hAnsi="宋体" w:eastAsia="仿宋_GB2312" w:cs="仿宋_GB2312"/>
          <w:color w:val="000000" w:themeColor="text1"/>
          <w:kern w:val="0"/>
          <w:sz w:val="32"/>
          <w:szCs w:val="32"/>
          <w14:textFill>
            <w14:solidFill>
              <w14:schemeClr w14:val="tx1"/>
            </w14:solidFill>
          </w14:textFill>
        </w:rPr>
        <w:t>（四）充分利用幼儿和社区的资源优势，面向家长开展多种形式的早期教育宣传、指导等服务，促进家庭教育质量的不断提高。</w:t>
      </w:r>
    </w:p>
    <w:p>
      <w:pPr>
        <w:keepNext w:val="0"/>
        <w:keepLines w:val="0"/>
        <w:widowControl/>
        <w:suppressLineNumbers w:val="0"/>
        <w:ind w:left="0" w:leftChars="0" w:firstLine="640" w:firstLineChars="200"/>
        <w:jc w:val="left"/>
        <w:rPr>
          <w:rFonts w:hint="eastAsia" w:ascii="仿宋_GB2312" w:hAnsi="宋体" w:eastAsia="仿宋_GB2312" w:cs="仿宋_GB2312"/>
          <w:color w:val="000000" w:themeColor="text1"/>
          <w:kern w:val="0"/>
          <w:sz w:val="32"/>
          <w:szCs w:val="32"/>
          <w14:textFill>
            <w14:solidFill>
              <w14:schemeClr w14:val="tx1"/>
            </w14:solidFill>
          </w14:textFill>
        </w:rPr>
      </w:pPr>
      <w:r>
        <w:rPr>
          <w:rFonts w:hint="eastAsia" w:ascii="仿宋_GB2312" w:hAnsi="宋体" w:eastAsia="仿宋_GB2312" w:cs="仿宋_GB2312"/>
          <w:color w:val="000000" w:themeColor="text1"/>
          <w:kern w:val="0"/>
          <w:sz w:val="32"/>
          <w:szCs w:val="32"/>
          <w14:textFill>
            <w14:solidFill>
              <w14:schemeClr w14:val="tx1"/>
            </w14:solidFill>
          </w14:textFill>
        </w:rPr>
        <w:t>（五）贯彻幼儿教育法规、传播科学教育理念、开展教育科学研究、培训师资，发挥示范性幼儿园的示范、辐射作用。</w:t>
      </w:r>
    </w:p>
    <w:p>
      <w:pPr>
        <w:numPr>
          <w:ilvl w:val="0"/>
          <w:numId w:val="0"/>
        </w:numPr>
        <w:spacing w:line="578" w:lineRule="exact"/>
        <w:rPr>
          <w:rFonts w:hint="eastAsia" w:ascii="黑体" w:hAnsi="黑体" w:eastAsia="黑体" w:cs="黑体"/>
          <w:color w:val="000000" w:themeColor="text1"/>
          <w:sz w:val="32"/>
          <w:szCs w:val="32"/>
          <w14:textFill>
            <w14:solidFill>
              <w14:schemeClr w14:val="tx1"/>
            </w14:solidFill>
          </w14:textFill>
        </w:rPr>
      </w:pPr>
      <w:r>
        <w:rPr>
          <w:rFonts w:hint="eastAsia" w:ascii="仿宋_GB2312" w:hAnsi="宋体" w:eastAsia="仿宋_GB2312" w:cs="仿宋_GB2312"/>
          <w:color w:val="000000" w:themeColor="text1"/>
          <w:kern w:val="0"/>
          <w:sz w:val="32"/>
          <w:szCs w:val="32"/>
          <w14:textFill>
            <w14:solidFill>
              <w14:schemeClr w14:val="tx1"/>
            </w14:solidFill>
          </w14:textFill>
        </w:rPr>
        <w:t>（六）承办上级主管部门交办的其他工作。</w:t>
      </w:r>
    </w:p>
    <w:p>
      <w:pPr>
        <w:spacing w:line="578" w:lineRule="exact"/>
        <w:ind w:firstLine="640" w:firstLineChars="200"/>
        <w:rPr>
          <w:rFonts w:hint="eastAsia" w:ascii="黑体" w:hAnsi="黑体" w:eastAsia="黑体" w:cs="黑体"/>
          <w:color w:val="000000" w:themeColor="text1"/>
          <w:sz w:val="32"/>
          <w:szCs w:val="32"/>
          <w14:textFill>
            <w14:solidFill>
              <w14:schemeClr w14:val="tx1"/>
            </w14:solidFill>
          </w14:textFill>
        </w:rPr>
      </w:pPr>
      <w:bookmarkStart w:id="14" w:name="_Toc6572_WPSOffice_Level2"/>
      <w:bookmarkStart w:id="15" w:name="_Toc24474_WPSOffice_Level2"/>
      <w:bookmarkStart w:id="16" w:name="_Toc24059_WPSOffice_Level2"/>
      <w:bookmarkStart w:id="17" w:name="_Toc17796_WPSOffice_Level2"/>
      <w:bookmarkStart w:id="18" w:name="_Toc4833_WPSOffice_Level2"/>
      <w:r>
        <w:rPr>
          <w:rFonts w:hint="eastAsia" w:ascii="黑体" w:hAnsi="黑体" w:eastAsia="黑体" w:cs="黑体"/>
          <w:color w:val="000000" w:themeColor="text1"/>
          <w:sz w:val="32"/>
          <w:szCs w:val="32"/>
          <w14:textFill>
            <w14:solidFill>
              <w14:schemeClr w14:val="tx1"/>
            </w14:solidFill>
          </w14:textFill>
        </w:rPr>
        <w:t>二、机构设置</w:t>
      </w:r>
      <w:bookmarkEnd w:id="14"/>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黑体" w:hAnsi="ˎ̥" w:eastAsia="黑体"/>
          <w:color w:val="000000" w:themeColor="text1"/>
          <w:sz w:val="32"/>
          <w:szCs w:val="32"/>
          <w14:textFill>
            <w14:solidFill>
              <w14:schemeClr w14:val="tx1"/>
            </w14:solidFill>
          </w14:textFill>
        </w:rPr>
      </w:pPr>
      <w:bookmarkStart w:id="19" w:name="_Toc6234_WPSOffice_Level1"/>
      <w:bookmarkStart w:id="20" w:name="_Toc15521_WPSOffice_Level1"/>
      <w:bookmarkStart w:id="21" w:name="_Toc8164_WPSOffice_Level1"/>
      <w:bookmarkStart w:id="22" w:name="_Toc30690_WPSOffice_Level1"/>
      <w:bookmarkStart w:id="23" w:name="_Toc30451_WPSOffice_Level1"/>
      <w:bookmarkStart w:id="24" w:name="_Toc28253_WPSOffice_Level1"/>
      <w:bookmarkStart w:id="25" w:name="_Toc32695_WPSOffice_Level2"/>
      <w:bookmarkStart w:id="26" w:name="_Toc8867_WPSOffice_Level2"/>
      <w:bookmarkStart w:id="27" w:name="_Toc6211_WPSOffice_Level2"/>
      <w:bookmarkStart w:id="28" w:name="_Toc4029_WPSOffice_Level2"/>
      <w:bookmarkStart w:id="29" w:name="_Toc11518_WPSOffice_Level2"/>
      <w:bookmarkStart w:id="30" w:name="_Toc32472_WPSOffice_Level2"/>
      <w:r>
        <w:rPr>
          <w:rFonts w:hint="eastAsia" w:ascii="仿宋_GB2312" w:hAnsi="宋体" w:eastAsia="仿宋_GB2312" w:cs="仿宋_GB2312"/>
          <w:color w:val="000000" w:themeColor="text1"/>
          <w:kern w:val="0"/>
          <w:sz w:val="32"/>
          <w:szCs w:val="32"/>
          <w14:textFill>
            <w14:solidFill>
              <w14:schemeClr w14:val="tx1"/>
            </w14:solidFill>
          </w14:textFill>
        </w:rPr>
        <w:t>屯昌县第二幼儿园是县编委会决定成立的幼儿园，隶属屯昌县教育局，为财政预算管理公益二类事业单位，不定级别，无下属单位。</w:t>
      </w:r>
    </w:p>
    <w:p>
      <w:pPr>
        <w:spacing w:line="578" w:lineRule="exact"/>
        <w:jc w:val="center"/>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 xml:space="preserve">第二部分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w:t>
      </w:r>
      <w:r>
        <w:rPr>
          <w:rFonts w:hint="eastAsia" w:ascii="黑体" w:hAnsi="ˎ̥" w:eastAsia="黑体"/>
          <w:color w:val="000000" w:themeColor="text1"/>
          <w:sz w:val="32"/>
          <w:szCs w:val="32"/>
          <w:lang w:eastAsia="zh-CN"/>
          <w14:textFill>
            <w14:solidFill>
              <w14:schemeClr w14:val="tx1"/>
            </w14:solidFill>
          </w14:textFill>
        </w:rPr>
        <w:t>单位</w:t>
      </w:r>
      <w:r>
        <w:rPr>
          <w:rFonts w:hint="eastAsia" w:ascii="黑体" w:hAnsi="ˎ̥" w:eastAsia="黑体"/>
          <w:color w:val="000000" w:themeColor="text1"/>
          <w:sz w:val="32"/>
          <w:szCs w:val="32"/>
          <w14:textFill>
            <w14:solidFill>
              <w14:schemeClr w14:val="tx1"/>
            </w14:solidFill>
          </w14:textFill>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31" w:name="_Toc25608_WPSOffice_Level2"/>
      <w:bookmarkStart w:id="32" w:name="_Toc26621_WPSOffice_Level2"/>
      <w:bookmarkStart w:id="33" w:name="_Toc28622_WPSOffice_Level2"/>
      <w:bookmarkStart w:id="34" w:name="_Toc14349_WPSOffice_Level2"/>
      <w:bookmarkStart w:id="35" w:name="_Toc23139_WPSOffice_Level2"/>
      <w:bookmarkStart w:id="36" w:name="_Toc30334_WPSOffice_Level2"/>
      <w:r>
        <w:rPr>
          <w:rFonts w:hint="eastAsia" w:ascii="黑体" w:hAnsi="黑体" w:eastAsia="黑体" w:cs="黑体"/>
          <w:color w:val="000000" w:themeColor="text1"/>
          <w:sz w:val="32"/>
          <w:szCs w:val="32"/>
          <w14:textFill>
            <w14:solidFill>
              <w14:schemeClr w14:val="tx1"/>
            </w14:solidFill>
          </w14:textFill>
        </w:rPr>
        <w:t>二、收入决算公开表</w:t>
      </w:r>
      <w:bookmarkEnd w:id="31"/>
      <w:bookmarkEnd w:id="32"/>
      <w:bookmarkEnd w:id="33"/>
      <w:bookmarkEnd w:id="34"/>
      <w:bookmarkEnd w:id="35"/>
      <w:bookmarkEnd w:id="36"/>
      <w:bookmarkStart w:id="37" w:name="_Toc14658_WPSOffice_Level2"/>
      <w:bookmarkStart w:id="38" w:name="_Toc17858_WPSOffice_Level2"/>
      <w:bookmarkStart w:id="39" w:name="_Toc13854_WPSOffice_Level2"/>
      <w:bookmarkStart w:id="40" w:name="_Toc17626_WPSOffice_Level2"/>
      <w:bookmarkStart w:id="41" w:name="_Toc5489_WPSOffice_Level2"/>
      <w:bookmarkStart w:id="42" w:name="_Toc3262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三、支出决算公开表</w:t>
      </w:r>
      <w:bookmarkEnd w:id="37"/>
      <w:bookmarkEnd w:id="38"/>
      <w:bookmarkEnd w:id="39"/>
      <w:bookmarkEnd w:id="40"/>
      <w:bookmarkEnd w:id="41"/>
      <w:bookmarkEnd w:id="42"/>
      <w:bookmarkStart w:id="43" w:name="_Toc21415_WPSOffice_Level2"/>
      <w:bookmarkStart w:id="44" w:name="_Toc13701_WPSOffice_Level2"/>
      <w:bookmarkStart w:id="45" w:name="_Toc7988_WPSOffice_Level2"/>
      <w:bookmarkStart w:id="46" w:name="_Toc23591_WPSOffice_Level2"/>
      <w:bookmarkStart w:id="47" w:name="_Toc23493_WPSOffice_Level2"/>
      <w:bookmarkStart w:id="48" w:name="_Toc4265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bookmarkStart w:id="49" w:name="_Toc25166_WPSOffice_Level2"/>
      <w:bookmarkStart w:id="50" w:name="_Toc7879_WPSOffice_Level2"/>
      <w:bookmarkStart w:id="51" w:name="_Toc22783_WPSOffice_Level2"/>
      <w:bookmarkStart w:id="52" w:name="_Toc23829_WPSOffice_Level2"/>
      <w:bookmarkStart w:id="53" w:name="_Toc2158_WPSOffice_Level2"/>
      <w:bookmarkStart w:id="54" w:name="_Toc13516_WPSOffice_Level2"/>
      <w:r>
        <w:rPr>
          <w:rFonts w:hint="eastAsia" w:ascii="黑体" w:hAnsi="黑体" w:eastAsia="黑体" w:cs="黑体"/>
          <w:color w:val="000000" w:themeColor="text1"/>
          <w:sz w:val="32"/>
          <w:szCs w:val="32"/>
          <w14:textFill>
            <w14:solidFill>
              <w14:schemeClr w14:val="tx1"/>
            </w14:solidFill>
          </w14:textFill>
        </w:rPr>
        <w:t>五、一般公共预算财政拨款收入支出决算</w:t>
      </w:r>
      <w:bookmarkEnd w:id="49"/>
      <w:bookmarkEnd w:id="50"/>
      <w:bookmarkEnd w:id="51"/>
      <w:bookmarkEnd w:id="52"/>
      <w:r>
        <w:rPr>
          <w:rFonts w:hint="eastAsia" w:ascii="黑体" w:hAnsi="黑体" w:eastAsia="黑体" w:cs="黑体"/>
          <w:color w:val="000000" w:themeColor="text1"/>
          <w:sz w:val="32"/>
          <w:szCs w:val="32"/>
          <w14:textFill>
            <w14:solidFill>
              <w14:schemeClr w14:val="tx1"/>
            </w14:solidFill>
          </w14:textFill>
        </w:rPr>
        <w:t>公开表</w:t>
      </w:r>
      <w:bookmarkEnd w:id="53"/>
      <w:bookmarkEnd w:id="54"/>
      <w:bookmarkStart w:id="55" w:name="_Toc17283_WPSOffice_Level2"/>
      <w:bookmarkStart w:id="56" w:name="_Toc17833_WPSOffice_Level2"/>
      <w:bookmarkStart w:id="57" w:name="_Toc2632_WPSOffice_Level2"/>
      <w:bookmarkStart w:id="58" w:name="_Toc25362_WPSOffice_Level2"/>
      <w:bookmarkStart w:id="59" w:name="_Toc8373_WPSOffice_Level2"/>
      <w:bookmarkStart w:id="60" w:name="_Toc5343_WPSOffice_Level2"/>
    </w:p>
    <w:p>
      <w:pPr>
        <w:spacing w:line="578" w:lineRule="exact"/>
        <w:ind w:firstLine="645"/>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六、一般公共预算财政拨款基本支出决算</w:t>
      </w:r>
      <w:bookmarkEnd w:id="55"/>
      <w:bookmarkEnd w:id="56"/>
      <w:bookmarkEnd w:id="57"/>
      <w:bookmarkEnd w:id="58"/>
      <w:bookmarkEnd w:id="59"/>
      <w:bookmarkEnd w:id="60"/>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bookmarkStart w:id="61" w:name="_Toc11799_WPSOffice_Level2"/>
      <w:bookmarkStart w:id="62" w:name="_Toc5594_WPSOffice_Level2"/>
      <w:bookmarkStart w:id="63" w:name="_Toc21310_WPSOffice_Level2"/>
      <w:bookmarkStart w:id="64" w:name="_Toc13345_WPSOffice_Level2"/>
      <w:bookmarkStart w:id="65" w:name="_Toc1533_WPSOffice_Level2"/>
      <w:bookmarkStart w:id="66" w:name="_Toc6020_WPSOffice_Level2"/>
      <w:r>
        <w:rPr>
          <w:rFonts w:hint="eastAsia" w:ascii="黑体" w:hAnsi="黑体" w:eastAsia="黑体" w:cs="黑体"/>
          <w:color w:val="000000" w:themeColor="text1"/>
          <w:sz w:val="32"/>
          <w:szCs w:val="32"/>
          <w14:textFill>
            <w14:solidFill>
              <w14:schemeClr w14:val="tx1"/>
            </w14:solidFill>
          </w14:textFill>
        </w:rPr>
        <w:t>七、政府性基金预算财政拨款收入支出决算</w:t>
      </w:r>
      <w:bookmarkEnd w:id="61"/>
      <w:bookmarkEnd w:id="62"/>
      <w:bookmarkEnd w:id="63"/>
      <w:bookmarkEnd w:id="64"/>
      <w:bookmarkEnd w:id="65"/>
      <w:bookmarkEnd w:id="66"/>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left="1118" w:leftChars="304" w:hanging="480" w:hangingChars="15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八、国有资本经营预算财政拨款收入支出决算公开表</w:t>
      </w:r>
    </w:p>
    <w:p>
      <w:pPr>
        <w:spacing w:line="578" w:lineRule="exact"/>
        <w:ind w:firstLine="640"/>
        <w:rPr>
          <w:rFonts w:hint="eastAsia" w:ascii="黑体" w:hAnsi="黑体" w:eastAsia="黑体" w:cs="黑体"/>
          <w:color w:val="000000" w:themeColor="text1"/>
          <w:sz w:val="32"/>
          <w:szCs w:val="32"/>
          <w14:textFill>
            <w14:solidFill>
              <w14:schemeClr w14:val="tx1"/>
            </w14:solidFill>
          </w14:textFill>
        </w:rPr>
      </w:pPr>
      <w:bookmarkStart w:id="67" w:name="_Toc19961_WPSOffice_Level2"/>
      <w:bookmarkStart w:id="68" w:name="_Toc1820_WPSOffice_Level2"/>
      <w:bookmarkStart w:id="69" w:name="_Toc9377_WPSOffice_Level2"/>
      <w:bookmarkStart w:id="70" w:name="_Toc29886_WPSOffice_Level2"/>
      <w:r>
        <w:rPr>
          <w:rFonts w:hint="eastAsia" w:ascii="黑体" w:hAnsi="黑体" w:eastAsia="黑体" w:cs="黑体"/>
          <w:color w:val="000000" w:themeColor="text1"/>
          <w:sz w:val="32"/>
          <w:szCs w:val="32"/>
          <w14:textFill>
            <w14:solidFill>
              <w14:schemeClr w14:val="tx1"/>
            </w14:solidFill>
          </w14:textFill>
        </w:rPr>
        <w:t>九、财政拨款“三公”经费支出决算</w:t>
      </w:r>
      <w:bookmarkEnd w:id="67"/>
      <w:bookmarkEnd w:id="68"/>
      <w:bookmarkEnd w:id="69"/>
      <w:bookmarkEnd w:id="70"/>
      <w:r>
        <w:rPr>
          <w:rFonts w:hint="eastAsia" w:ascii="黑体" w:hAnsi="黑体" w:eastAsia="黑体" w:cs="黑体"/>
          <w:color w:val="000000" w:themeColor="text1"/>
          <w:sz w:val="32"/>
          <w:szCs w:val="32"/>
          <w14:textFill>
            <w14:solidFill>
              <w14:schemeClr w14:val="tx1"/>
            </w14:solidFill>
          </w14:textFill>
        </w:rPr>
        <w:t>公开表</w:t>
      </w:r>
    </w:p>
    <w:p>
      <w:pPr>
        <w:spacing w:line="578" w:lineRule="exact"/>
        <w:ind w:firstLine="640"/>
        <w:rPr>
          <w:rFonts w:hint="eastAsia" w:ascii="仿宋" w:hAnsi="仿宋" w:eastAsia="仿宋" w:cs="仿宋"/>
          <w:color w:val="000000" w:themeColor="text1"/>
          <w:w w:val="100"/>
          <w:sz w:val="32"/>
          <w:szCs w:val="32"/>
          <w14:textFill>
            <w14:solidFill>
              <w14:schemeClr w14:val="tx1"/>
            </w14:solidFill>
          </w14:textFill>
        </w:rPr>
      </w:pPr>
      <w:r>
        <w:rPr>
          <w:rFonts w:hint="eastAsia" w:ascii="仿宋" w:hAnsi="仿宋" w:eastAsia="仿宋" w:cs="仿宋"/>
          <w:color w:val="000000" w:themeColor="text1"/>
          <w:w w:val="100"/>
          <w:sz w:val="32"/>
          <w:szCs w:val="32"/>
          <w14:textFill>
            <w14:solidFill>
              <w14:schemeClr w14:val="tx1"/>
            </w14:solidFill>
          </w14:textFill>
        </w:rPr>
        <w:t xml:space="preserve">以上报表见附件1。   </w:t>
      </w:r>
    </w:p>
    <w:p>
      <w:pPr>
        <w:spacing w:line="578" w:lineRule="exact"/>
        <w:rPr>
          <w:rFonts w:hint="eastAsia" w:ascii="黑体" w:hAnsi="黑体" w:eastAsia="黑体" w:cs="黑体"/>
          <w:color w:val="000000" w:themeColor="text1"/>
          <w:sz w:val="32"/>
          <w:szCs w:val="32"/>
          <w14:textFill>
            <w14:solidFill>
              <w14:schemeClr w14:val="tx1"/>
            </w14:solidFill>
          </w14:textFill>
        </w:rPr>
      </w:pPr>
    </w:p>
    <w:p>
      <w:pPr>
        <w:spacing w:line="578" w:lineRule="exact"/>
        <w:jc w:val="center"/>
        <w:rPr>
          <w:rFonts w:hint="eastAsia" w:ascii="黑体" w:hAnsi="ˎ̥" w:eastAsia="黑体"/>
          <w:color w:val="000000" w:themeColor="text1"/>
          <w:sz w:val="32"/>
          <w:szCs w:val="32"/>
          <w14:textFill>
            <w14:solidFill>
              <w14:schemeClr w14:val="tx1"/>
            </w14:solidFill>
          </w14:textFill>
        </w:rPr>
      </w:pPr>
      <w:bookmarkStart w:id="71" w:name="_Toc31264_WPSOffice_Level1"/>
      <w:bookmarkStart w:id="72" w:name="_Toc28629_WPSOffice_Level1"/>
      <w:bookmarkStart w:id="73" w:name="_Toc29683_WPSOffice_Level1"/>
      <w:bookmarkStart w:id="74" w:name="_Toc16686_WPSOffice_Level1"/>
      <w:bookmarkStart w:id="75" w:name="_Toc27590_WPSOffice_Level1"/>
      <w:bookmarkStart w:id="76" w:name="_Toc4402_WPSOffice_Level1"/>
      <w:r>
        <w:rPr>
          <w:rFonts w:hint="eastAsia" w:ascii="黑体" w:hAnsi="ˎ̥" w:eastAsia="黑体"/>
          <w:color w:val="000000" w:themeColor="text1"/>
          <w:sz w:val="32"/>
          <w:szCs w:val="32"/>
          <w14:textFill>
            <w14:solidFill>
              <w14:schemeClr w14:val="tx1"/>
            </w14:solidFill>
          </w14:textFill>
        </w:rPr>
        <w:t xml:space="preserve">第三部分  </w:t>
      </w:r>
      <w:r>
        <w:rPr>
          <w:rFonts w:hint="default" w:ascii="黑体" w:hAnsi="ˎ̥" w:eastAsia="黑体"/>
          <w:color w:val="000000" w:themeColor="text1"/>
          <w:sz w:val="32"/>
          <w:szCs w:val="32"/>
          <w:lang w:val="en-US"/>
          <w14:textFill>
            <w14:solidFill>
              <w14:schemeClr w14:val="tx1"/>
            </w14:solidFill>
          </w14:textFill>
        </w:rPr>
        <w:t>2024</w:t>
      </w:r>
      <w:r>
        <w:rPr>
          <w:rFonts w:hint="eastAsia" w:ascii="黑体" w:hAnsi="ˎ̥" w:eastAsia="黑体"/>
          <w:color w:val="000000" w:themeColor="text1"/>
          <w:sz w:val="32"/>
          <w:szCs w:val="32"/>
          <w14:textFill>
            <w14:solidFill>
              <w14:schemeClr w14:val="tx1"/>
            </w14:solidFill>
          </w14:textFill>
        </w:rPr>
        <w:t>年度</w:t>
      </w:r>
      <w:r>
        <w:rPr>
          <w:rFonts w:hint="eastAsia" w:ascii="黑体" w:hAnsi="ˎ̥" w:eastAsia="黑体"/>
          <w:color w:val="000000" w:themeColor="text1"/>
          <w:sz w:val="32"/>
          <w:szCs w:val="32"/>
          <w:lang w:eastAsia="zh-CN"/>
          <w14:textFill>
            <w14:solidFill>
              <w14:schemeClr w14:val="tx1"/>
            </w14:solidFill>
          </w14:textFill>
        </w:rPr>
        <w:t>单位</w:t>
      </w:r>
      <w:r>
        <w:rPr>
          <w:rFonts w:hint="eastAsia" w:ascii="黑体" w:hAnsi="ˎ̥" w:eastAsia="黑体"/>
          <w:color w:val="000000" w:themeColor="text1"/>
          <w:sz w:val="32"/>
          <w:szCs w:val="32"/>
          <w14:textFill>
            <w14:solidFill>
              <w14:schemeClr w14:val="tx1"/>
            </w14:solidFill>
          </w14:textFill>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000000" w:themeColor="text1"/>
          <w:sz w:val="32"/>
          <w:szCs w:val="32"/>
          <w14:textFill>
            <w14:solidFill>
              <w14:schemeClr w14:val="tx1"/>
            </w14:solidFill>
          </w14:textFill>
        </w:rPr>
      </w:pPr>
    </w:p>
    <w:p>
      <w:pPr>
        <w:keepNext w:val="0"/>
        <w:keepLines w:val="0"/>
        <w:widowControl/>
        <w:suppressLineNumbers w:val="0"/>
        <w:spacing w:before="0" w:beforeAutospacing="1" w:after="0" w:afterAutospacing="1"/>
        <w:ind w:leftChars="200" w:right="0" w:rightChars="0"/>
        <w:rPr>
          <w:rFonts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一、收入支出总体情况说明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楷体_GB2312" w:hAnsi="ˎ̥" w:eastAsia="楷体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年度收入总计</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年度相比，收入、支出总计各增加</w:t>
      </w:r>
      <w:r>
        <w:rPr>
          <w:rFonts w:hint="eastAsia" w:ascii="仿宋_GB2312" w:hAnsi="ˎ̥" w:eastAsia="仿宋_GB2312"/>
          <w:color w:val="000000" w:themeColor="text1"/>
          <w:sz w:val="32"/>
          <w:szCs w:val="32"/>
          <w:lang w:val="en-US" w:eastAsia="zh-CN"/>
          <w14:textFill>
            <w14:solidFill>
              <w14:schemeClr w14:val="tx1"/>
            </w14:solidFill>
          </w14:textFill>
        </w:rPr>
        <w:t>143.08</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23.35</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s="仿宋_GB2312"/>
          <w:color w:val="000000" w:themeColor="text1"/>
          <w:kern w:val="0"/>
          <w:sz w:val="32"/>
          <w:szCs w:val="32"/>
          <w14:textFill>
            <w14:solidFill>
              <w14:schemeClr w14:val="tx1"/>
            </w14:solidFill>
          </w14:textFill>
        </w:rPr>
        <w:t>一是我园202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ˎ̥" w:eastAsia="仿宋_GB2312" w:cs="仿宋_GB2312"/>
          <w:color w:val="000000" w:themeColor="text1"/>
          <w:kern w:val="0"/>
          <w:sz w:val="32"/>
          <w:szCs w:val="32"/>
          <w14:textFill>
            <w14:solidFill>
              <w14:schemeClr w14:val="tx1"/>
            </w14:solidFill>
          </w14:textFill>
        </w:rPr>
        <w:t>年幼儿人数相对于20</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23</w:t>
      </w:r>
      <w:r>
        <w:rPr>
          <w:rFonts w:hint="eastAsia" w:ascii="仿宋_GB2312" w:hAnsi="ˎ̥" w:eastAsia="仿宋_GB2312" w:cs="仿宋_GB2312"/>
          <w:color w:val="000000" w:themeColor="text1"/>
          <w:kern w:val="0"/>
          <w:sz w:val="32"/>
          <w:szCs w:val="32"/>
          <w14:textFill>
            <w14:solidFill>
              <w14:schemeClr w14:val="tx1"/>
            </w14:solidFill>
          </w14:textFill>
        </w:rPr>
        <w:t>年有所增长，且保持在</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610</w:t>
      </w:r>
      <w:r>
        <w:rPr>
          <w:rFonts w:hint="eastAsia" w:ascii="仿宋_GB2312" w:hAnsi="ˎ̥" w:eastAsia="仿宋_GB2312" w:cs="仿宋_GB2312"/>
          <w:color w:val="000000" w:themeColor="text1"/>
          <w:kern w:val="0"/>
          <w:sz w:val="32"/>
          <w:szCs w:val="32"/>
          <w14:textFill>
            <w14:solidFill>
              <w14:schemeClr w14:val="tx1"/>
            </w14:solidFill>
          </w14:textFill>
        </w:rPr>
        <w:t>人左右，生均经费及保教费也相对于202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ˎ̥" w:eastAsia="仿宋_GB2312" w:cs="仿宋_GB2312"/>
          <w:color w:val="000000" w:themeColor="text1"/>
          <w:kern w:val="0"/>
          <w:sz w:val="32"/>
          <w:szCs w:val="32"/>
          <w14:textFill>
            <w14:solidFill>
              <w14:schemeClr w14:val="tx1"/>
            </w14:solidFill>
          </w14:textFill>
        </w:rPr>
        <w:t>年有所增长，且我园在2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024</w:t>
      </w:r>
      <w:r>
        <w:rPr>
          <w:rFonts w:hint="eastAsia" w:ascii="仿宋_GB2312" w:hAnsi="ˎ̥" w:eastAsia="仿宋_GB2312" w:cs="仿宋_GB2312"/>
          <w:color w:val="000000" w:themeColor="text1"/>
          <w:kern w:val="0"/>
          <w:sz w:val="32"/>
          <w:szCs w:val="32"/>
          <w14:textFill>
            <w14:solidFill>
              <w14:schemeClr w14:val="tx1"/>
            </w14:solidFill>
          </w14:textFill>
        </w:rPr>
        <w:t>年有</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普及普惠资金42.3万元，</w:t>
      </w:r>
      <w:r>
        <w:rPr>
          <w:rFonts w:hint="eastAsia" w:ascii="仿宋_GB2312" w:hAnsi="ˎ̥" w:eastAsia="仿宋_GB2312" w:cs="仿宋_GB2312"/>
          <w:color w:val="000000" w:themeColor="text1"/>
          <w:kern w:val="0"/>
          <w:sz w:val="32"/>
          <w:szCs w:val="32"/>
          <w14:textFill>
            <w14:solidFill>
              <w14:schemeClr w14:val="tx1"/>
            </w14:solidFill>
          </w14:textFill>
        </w:rPr>
        <w:t>所以导致202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ˎ̥" w:eastAsia="仿宋_GB2312" w:cs="仿宋_GB2312"/>
          <w:color w:val="000000" w:themeColor="text1"/>
          <w:kern w:val="0"/>
          <w:sz w:val="32"/>
          <w:szCs w:val="32"/>
          <w14:textFill>
            <w14:solidFill>
              <w14:schemeClr w14:val="tx1"/>
            </w14:solidFill>
          </w14:textFill>
        </w:rPr>
        <w:t>年数据与202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ˎ̥" w:eastAsia="仿宋_GB2312" w:cs="仿宋_GB2312"/>
          <w:color w:val="000000" w:themeColor="text1"/>
          <w:kern w:val="0"/>
          <w:sz w:val="32"/>
          <w:szCs w:val="32"/>
          <w14:textFill>
            <w14:solidFill>
              <w14:schemeClr w14:val="tx1"/>
            </w14:solidFill>
          </w14:textFill>
        </w:rPr>
        <w:t>年数据</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稍有</w:t>
      </w:r>
      <w:r>
        <w:rPr>
          <w:rFonts w:hint="eastAsia" w:ascii="仿宋_GB2312" w:hAnsi="ˎ̥" w:eastAsia="仿宋_GB2312" w:cs="仿宋_GB2312"/>
          <w:color w:val="000000" w:themeColor="text1"/>
          <w:kern w:val="0"/>
          <w:sz w:val="32"/>
          <w:szCs w:val="32"/>
          <w14:textFill>
            <w14:solidFill>
              <w14:schemeClr w14:val="tx1"/>
            </w14:solidFill>
          </w14:textFill>
        </w:rPr>
        <w:t>变化。上级补助收入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万元，占0%；事业收入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万元，占0%；经营收入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万元，占0%；附属单位上缴收入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万元，占0%；其他收入</w:t>
      </w:r>
      <w:r>
        <w:rPr>
          <w:rFonts w:hint="eastAsia" w:ascii="仿宋_GB2312" w:hAnsi="宋体" w:eastAsia="仿宋_GB2312" w:cs="仿宋_GB2312"/>
          <w:color w:val="000000" w:themeColor="text1"/>
          <w:kern w:val="0"/>
          <w:sz w:val="32"/>
          <w:szCs w:val="32"/>
          <w14:textFill>
            <w14:solidFill>
              <w14:schemeClr w14:val="tx1"/>
            </w14:solidFill>
          </w14:textFill>
        </w:rPr>
        <w:t>0</w:t>
      </w:r>
      <w:r>
        <w:rPr>
          <w:rFonts w:hint="eastAsia" w:ascii="仿宋_GB2312" w:hAnsi="ˎ̥" w:eastAsia="仿宋_GB2312" w:cs="仿宋_GB2312"/>
          <w:color w:val="000000" w:themeColor="text1"/>
          <w:kern w:val="0"/>
          <w:sz w:val="32"/>
          <w:szCs w:val="32"/>
          <w14:textFill>
            <w14:solidFill>
              <w14:schemeClr w14:val="tx1"/>
            </w14:solidFill>
          </w14:textFill>
        </w:rPr>
        <w:t>万元，占0%。</w:t>
      </w:r>
    </w:p>
    <w:p>
      <w:pPr>
        <w:keepNext w:val="0"/>
        <w:keepLines w:val="0"/>
        <w:widowControl/>
        <w:suppressLineNumbers w:val="0"/>
        <w:spacing w:before="0" w:beforeAutospacing="1" w:after="0" w:afterAutospacing="1"/>
        <w:ind w:left="0" w:right="0"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二、收入决算情况说明</w:t>
      </w:r>
      <w:r>
        <w:rPr>
          <w:rFonts w:hint="eastAsia" w:ascii="黑体" w:hAnsi="黑体" w:eastAsia="黑体" w:cs="黑体"/>
          <w:bCs/>
          <w:color w:val="000000" w:themeColor="text1"/>
          <w:sz w:val="32"/>
          <w:szCs w:val="32"/>
          <w14:textFill>
            <w14:solidFill>
              <w14:schemeClr w14:val="tx1"/>
            </w14:solidFill>
          </w14:textFill>
        </w:rPr>
        <w:br w:type="textWrapping"/>
      </w:r>
      <w:r>
        <w:rPr>
          <w:rFonts w:hint="eastAsia" w:ascii="仿宋_GB2312" w:hAnsi="ˎ̥" w:eastAsia="仿宋_GB2312"/>
          <w:color w:val="000000" w:themeColor="text1"/>
          <w:sz w:val="32"/>
          <w:szCs w:val="32"/>
          <w14:textFill>
            <w14:solidFill>
              <w14:schemeClr w14:val="tx1"/>
            </w14:solidFill>
          </w14:textFill>
        </w:rPr>
        <w:t xml:space="preserve">    本年收入</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s="仿宋_GB2312"/>
          <w:color w:val="000000" w:themeColor="text1"/>
          <w:kern w:val="0"/>
          <w:sz w:val="32"/>
          <w:szCs w:val="32"/>
          <w14:textFill>
            <w14:solidFill>
              <w14:schemeClr w14:val="tx1"/>
            </w14:solidFill>
          </w14:textFill>
        </w:rPr>
        <w:t>其中：财政拨款收入</w:t>
      </w:r>
      <w:r>
        <w:rPr>
          <w:rFonts w:hint="eastAsia" w:ascii="仿宋_GB2312" w:hAnsi="宋体" w:eastAsia="仿宋_GB2312" w:cs="仿宋_GB2312"/>
          <w:color w:val="000000" w:themeColor="text1"/>
          <w:kern w:val="0"/>
          <w:sz w:val="32"/>
          <w:szCs w:val="32"/>
          <w:lang w:val="en-US" w:eastAsia="zh-CN"/>
          <w14:textFill>
            <w14:solidFill>
              <w14:schemeClr w14:val="tx1"/>
            </w14:solidFill>
          </w14:textFill>
        </w:rPr>
        <w:t>755.87</w:t>
      </w:r>
      <w:r>
        <w:rPr>
          <w:rFonts w:hint="eastAsia" w:ascii="仿宋_GB2312" w:hAnsi="ˎ̥" w:eastAsia="仿宋_GB2312" w:cs="仿宋_GB2312"/>
          <w:color w:val="000000" w:themeColor="text1"/>
          <w:kern w:val="0"/>
          <w:sz w:val="32"/>
          <w:szCs w:val="32"/>
          <w14:textFill>
            <w14:solidFill>
              <w14:schemeClr w14:val="tx1"/>
            </w14:solidFill>
          </w14:textFill>
        </w:rPr>
        <w:t>万元，占100%；上级补助收入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万元，占0%；事业收入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万元，占0%；经营收入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万元，占0%；附属单位上缴收入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万元，占0%；其他收入</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万元，占0.00%。</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上述各项收入数可取自财决公开02表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144.23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19.08</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611.64</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80.92</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上述各项支出数可取自财决公开03表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年度相比，财政拨款收入增加</w:t>
      </w:r>
      <w:r>
        <w:rPr>
          <w:rFonts w:hint="eastAsia" w:ascii="仿宋_GB2312" w:hAnsi="ˎ̥" w:eastAsia="仿宋_GB2312"/>
          <w:color w:val="000000" w:themeColor="text1"/>
          <w:sz w:val="32"/>
          <w:szCs w:val="32"/>
          <w:lang w:val="en-US" w:eastAsia="zh-CN"/>
          <w14:textFill>
            <w14:solidFill>
              <w14:schemeClr w14:val="tx1"/>
            </w14:solidFill>
          </w14:textFill>
        </w:rPr>
        <w:t>143.08</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23.35</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s="仿宋_GB2312"/>
          <w:color w:val="000000" w:themeColor="text1"/>
          <w:kern w:val="0"/>
          <w:sz w:val="32"/>
          <w:szCs w:val="32"/>
          <w14:textFill>
            <w14:solidFill>
              <w14:schemeClr w14:val="tx1"/>
            </w14:solidFill>
          </w14:textFill>
        </w:rPr>
        <w:t>一是我园202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ˎ̥" w:eastAsia="仿宋_GB2312" w:cs="仿宋_GB2312"/>
          <w:color w:val="000000" w:themeColor="text1"/>
          <w:kern w:val="0"/>
          <w:sz w:val="32"/>
          <w:szCs w:val="32"/>
          <w14:textFill>
            <w14:solidFill>
              <w14:schemeClr w14:val="tx1"/>
            </w14:solidFill>
          </w14:textFill>
        </w:rPr>
        <w:t>年幼儿人数相对于20</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23</w:t>
      </w:r>
      <w:r>
        <w:rPr>
          <w:rFonts w:hint="eastAsia" w:ascii="仿宋_GB2312" w:hAnsi="ˎ̥" w:eastAsia="仿宋_GB2312" w:cs="仿宋_GB2312"/>
          <w:color w:val="000000" w:themeColor="text1"/>
          <w:kern w:val="0"/>
          <w:sz w:val="32"/>
          <w:szCs w:val="32"/>
          <w14:textFill>
            <w14:solidFill>
              <w14:schemeClr w14:val="tx1"/>
            </w14:solidFill>
          </w14:textFill>
        </w:rPr>
        <w:t>年有所增长，且保持在</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610</w:t>
      </w:r>
      <w:r>
        <w:rPr>
          <w:rFonts w:hint="eastAsia" w:ascii="仿宋_GB2312" w:hAnsi="ˎ̥" w:eastAsia="仿宋_GB2312" w:cs="仿宋_GB2312"/>
          <w:color w:val="000000" w:themeColor="text1"/>
          <w:kern w:val="0"/>
          <w:sz w:val="32"/>
          <w:szCs w:val="32"/>
          <w14:textFill>
            <w14:solidFill>
              <w14:schemeClr w14:val="tx1"/>
            </w14:solidFill>
          </w14:textFill>
        </w:rPr>
        <w:t>人左右，生均经费及保教费也相对于202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ˎ̥" w:eastAsia="仿宋_GB2312" w:cs="仿宋_GB2312"/>
          <w:color w:val="000000" w:themeColor="text1"/>
          <w:kern w:val="0"/>
          <w:sz w:val="32"/>
          <w:szCs w:val="32"/>
          <w14:textFill>
            <w14:solidFill>
              <w14:schemeClr w14:val="tx1"/>
            </w14:solidFill>
          </w14:textFill>
        </w:rPr>
        <w:t>年有所增长，且我园在2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024</w:t>
      </w:r>
      <w:r>
        <w:rPr>
          <w:rFonts w:hint="eastAsia" w:ascii="仿宋_GB2312" w:hAnsi="ˎ̥" w:eastAsia="仿宋_GB2312" w:cs="仿宋_GB2312"/>
          <w:color w:val="000000" w:themeColor="text1"/>
          <w:kern w:val="0"/>
          <w:sz w:val="32"/>
          <w:szCs w:val="32"/>
          <w14:textFill>
            <w14:solidFill>
              <w14:schemeClr w14:val="tx1"/>
            </w14:solidFill>
          </w14:textFill>
        </w:rPr>
        <w:t>年有</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普及普惠资金42.3万元，</w:t>
      </w:r>
      <w:r>
        <w:rPr>
          <w:rFonts w:hint="eastAsia" w:ascii="仿宋_GB2312" w:hAnsi="ˎ̥" w:eastAsia="仿宋_GB2312" w:cs="仿宋_GB2312"/>
          <w:color w:val="000000" w:themeColor="text1"/>
          <w:kern w:val="0"/>
          <w:sz w:val="32"/>
          <w:szCs w:val="32"/>
          <w14:textFill>
            <w14:solidFill>
              <w14:schemeClr w14:val="tx1"/>
            </w14:solidFill>
          </w14:textFill>
        </w:rPr>
        <w:t>所以导致202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ˎ̥" w:eastAsia="仿宋_GB2312" w:cs="仿宋_GB2312"/>
          <w:color w:val="000000" w:themeColor="text1"/>
          <w:kern w:val="0"/>
          <w:sz w:val="32"/>
          <w:szCs w:val="32"/>
          <w14:textFill>
            <w14:solidFill>
              <w14:schemeClr w14:val="tx1"/>
            </w14:solidFill>
          </w14:textFill>
        </w:rPr>
        <w:t>年数据与202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ˎ̥" w:eastAsia="仿宋_GB2312" w:cs="仿宋_GB2312"/>
          <w:color w:val="000000" w:themeColor="text1"/>
          <w:kern w:val="0"/>
          <w:sz w:val="32"/>
          <w:szCs w:val="32"/>
          <w14:textFill>
            <w14:solidFill>
              <w14:schemeClr w14:val="tx1"/>
            </w14:solidFill>
          </w14:textFill>
        </w:rPr>
        <w:t>年数据</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稍有</w:t>
      </w:r>
      <w:r>
        <w:rPr>
          <w:rFonts w:hint="eastAsia" w:ascii="仿宋_GB2312" w:hAnsi="ˎ̥" w:eastAsia="仿宋_GB2312" w:cs="仿宋_GB2312"/>
          <w:color w:val="000000" w:themeColor="text1"/>
          <w:kern w:val="0"/>
          <w:sz w:val="32"/>
          <w:szCs w:val="32"/>
          <w14:textFill>
            <w14:solidFill>
              <w14:schemeClr w14:val="tx1"/>
            </w14:solidFill>
          </w14:textFill>
        </w:rPr>
        <w:t>变化。</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w:t>
      </w:r>
      <w:r>
        <w:rPr>
          <w:rFonts w:hint="eastAsia" w:ascii="仿宋_GB2312" w:hAnsi="ˎ̥" w:eastAsia="仿宋_GB2312"/>
          <w:color w:val="000000" w:themeColor="text1"/>
          <w:sz w:val="32"/>
          <w:szCs w:val="32"/>
          <w:lang w:val="en-US" w:eastAsia="zh-CN"/>
          <w14:textFill>
            <w14:solidFill>
              <w14:schemeClr w14:val="tx1"/>
            </w14:solidFill>
          </w14:textFill>
        </w:rPr>
        <w:t>无变化。</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w:t>
      </w:r>
      <w:r>
        <w:rPr>
          <w:rFonts w:hint="eastAsia" w:ascii="仿宋_GB2312" w:hAnsi="ˎ̥" w:eastAsia="仿宋_GB2312"/>
          <w:color w:val="000000" w:themeColor="text1"/>
          <w:sz w:val="32"/>
          <w:szCs w:val="32"/>
          <w:lang w:val="en-US" w:eastAsia="zh-CN"/>
          <w14:textFill>
            <w14:solidFill>
              <w14:schemeClr w14:val="tx1"/>
            </w14:solidFill>
          </w14:textFill>
        </w:rPr>
        <w:t>无变化。</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年度决算相关数据可取自财决公开04表。</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年度决算相关数据可取自</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决算报表财决01-1表《财政拨款收入支出决算总表》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77" w:name="_Toc21737_WPSOffice_Level2"/>
      <w:bookmarkStart w:id="78" w:name="_Toc13694_WPSOffice_Level2"/>
      <w:bookmarkStart w:id="79" w:name="_Toc9989_WPSOffice_Level2"/>
      <w:bookmarkStart w:id="80" w:name="_Toc17398_WPSOffice_Level2"/>
      <w:bookmarkStart w:id="81" w:name="_Toc19665_WPSOffice_Level2"/>
      <w:bookmarkStart w:id="82" w:name="_Toc23005_WPSOffice_Level2"/>
      <w:r>
        <w:rPr>
          <w:rFonts w:hint="eastAsia" w:ascii="楷体" w:hAnsi="楷体" w:eastAsia="楷体" w:cs="楷体"/>
          <w:color w:val="000000" w:themeColor="text1"/>
          <w:sz w:val="32"/>
          <w:szCs w:val="32"/>
          <w14:textFill>
            <w14:solidFill>
              <w14:schemeClr w14:val="tx1"/>
            </w14:solidFill>
          </w14:textFill>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年度相比，一般公共预算财政拨款支出增加</w:t>
      </w:r>
      <w:r>
        <w:rPr>
          <w:rFonts w:hint="eastAsia" w:ascii="仿宋_GB2312" w:hAnsi="ˎ̥" w:eastAsia="仿宋_GB2312"/>
          <w:color w:val="000000" w:themeColor="text1"/>
          <w:sz w:val="32"/>
          <w:szCs w:val="32"/>
          <w:lang w:val="en-US" w:eastAsia="zh-CN"/>
          <w14:textFill>
            <w14:solidFill>
              <w14:schemeClr w14:val="tx1"/>
            </w14:solidFill>
          </w14:textFill>
        </w:rPr>
        <w:t>143.08</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23.35</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s="仿宋_GB2312"/>
          <w:color w:val="000000" w:themeColor="text1"/>
          <w:kern w:val="0"/>
          <w:sz w:val="32"/>
          <w:szCs w:val="32"/>
          <w14:textFill>
            <w14:solidFill>
              <w14:schemeClr w14:val="tx1"/>
            </w14:solidFill>
          </w14:textFill>
        </w:rPr>
        <w:t>一是我园202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ˎ̥" w:eastAsia="仿宋_GB2312" w:cs="仿宋_GB2312"/>
          <w:color w:val="000000" w:themeColor="text1"/>
          <w:kern w:val="0"/>
          <w:sz w:val="32"/>
          <w:szCs w:val="32"/>
          <w14:textFill>
            <w14:solidFill>
              <w14:schemeClr w14:val="tx1"/>
            </w14:solidFill>
          </w14:textFill>
        </w:rPr>
        <w:t>年幼儿人数相对于20</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23</w:t>
      </w:r>
      <w:r>
        <w:rPr>
          <w:rFonts w:hint="eastAsia" w:ascii="仿宋_GB2312" w:hAnsi="ˎ̥" w:eastAsia="仿宋_GB2312" w:cs="仿宋_GB2312"/>
          <w:color w:val="000000" w:themeColor="text1"/>
          <w:kern w:val="0"/>
          <w:sz w:val="32"/>
          <w:szCs w:val="32"/>
          <w14:textFill>
            <w14:solidFill>
              <w14:schemeClr w14:val="tx1"/>
            </w14:solidFill>
          </w14:textFill>
        </w:rPr>
        <w:t>年有所增长，且保持在</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610</w:t>
      </w:r>
      <w:r>
        <w:rPr>
          <w:rFonts w:hint="eastAsia" w:ascii="仿宋_GB2312" w:hAnsi="ˎ̥" w:eastAsia="仿宋_GB2312" w:cs="仿宋_GB2312"/>
          <w:color w:val="000000" w:themeColor="text1"/>
          <w:kern w:val="0"/>
          <w:sz w:val="32"/>
          <w:szCs w:val="32"/>
          <w14:textFill>
            <w14:solidFill>
              <w14:schemeClr w14:val="tx1"/>
            </w14:solidFill>
          </w14:textFill>
        </w:rPr>
        <w:t>人左右，生均经费及保教费也相对于202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ˎ̥" w:eastAsia="仿宋_GB2312" w:cs="仿宋_GB2312"/>
          <w:color w:val="000000" w:themeColor="text1"/>
          <w:kern w:val="0"/>
          <w:sz w:val="32"/>
          <w:szCs w:val="32"/>
          <w14:textFill>
            <w14:solidFill>
              <w14:schemeClr w14:val="tx1"/>
            </w14:solidFill>
          </w14:textFill>
        </w:rPr>
        <w:t>年有所增长，且我园在2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024</w:t>
      </w:r>
      <w:r>
        <w:rPr>
          <w:rFonts w:hint="eastAsia" w:ascii="仿宋_GB2312" w:hAnsi="ˎ̥" w:eastAsia="仿宋_GB2312" w:cs="仿宋_GB2312"/>
          <w:color w:val="000000" w:themeColor="text1"/>
          <w:kern w:val="0"/>
          <w:sz w:val="32"/>
          <w:szCs w:val="32"/>
          <w14:textFill>
            <w14:solidFill>
              <w14:schemeClr w14:val="tx1"/>
            </w14:solidFill>
          </w14:textFill>
        </w:rPr>
        <w:t>年有</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普及普惠资金42.3万元，</w:t>
      </w:r>
      <w:r>
        <w:rPr>
          <w:rFonts w:hint="eastAsia" w:ascii="仿宋_GB2312" w:hAnsi="ˎ̥" w:eastAsia="仿宋_GB2312" w:cs="仿宋_GB2312"/>
          <w:color w:val="000000" w:themeColor="text1"/>
          <w:kern w:val="0"/>
          <w:sz w:val="32"/>
          <w:szCs w:val="32"/>
          <w14:textFill>
            <w14:solidFill>
              <w14:schemeClr w14:val="tx1"/>
            </w14:solidFill>
          </w14:textFill>
        </w:rPr>
        <w:t>所以导致202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ˎ̥" w:eastAsia="仿宋_GB2312" w:cs="仿宋_GB2312"/>
          <w:color w:val="000000" w:themeColor="text1"/>
          <w:kern w:val="0"/>
          <w:sz w:val="32"/>
          <w:szCs w:val="32"/>
          <w14:textFill>
            <w14:solidFill>
              <w14:schemeClr w14:val="tx1"/>
            </w14:solidFill>
          </w14:textFill>
        </w:rPr>
        <w:t>年数据与202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ˎ̥" w:eastAsia="仿宋_GB2312" w:cs="仿宋_GB2312"/>
          <w:color w:val="000000" w:themeColor="text1"/>
          <w:kern w:val="0"/>
          <w:sz w:val="32"/>
          <w:szCs w:val="32"/>
          <w14:textFill>
            <w14:solidFill>
              <w14:schemeClr w14:val="tx1"/>
            </w14:solidFill>
          </w14:textFill>
        </w:rPr>
        <w:t>年数据</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稍有</w:t>
      </w:r>
      <w:r>
        <w:rPr>
          <w:rFonts w:hint="eastAsia" w:ascii="仿宋_GB2312" w:hAnsi="ˎ̥" w:eastAsia="仿宋_GB2312" w:cs="仿宋_GB2312"/>
          <w:color w:val="000000" w:themeColor="text1"/>
          <w:kern w:val="0"/>
          <w:sz w:val="32"/>
          <w:szCs w:val="32"/>
          <w14:textFill>
            <w14:solidFill>
              <w14:schemeClr w14:val="tx1"/>
            </w14:solidFill>
          </w14:textFill>
        </w:rPr>
        <w:t>变化。</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3" w:name="_Toc19535_WPSOffice_Level2"/>
      <w:bookmarkStart w:id="84" w:name="_Toc19075_WPSOffice_Level2"/>
      <w:bookmarkStart w:id="85" w:name="_Toc2711_WPSOffice_Level2"/>
      <w:bookmarkStart w:id="86" w:name="_Toc27767_WPSOffice_Level2"/>
      <w:bookmarkStart w:id="87" w:name="_Toc18793_WPSOffice_Level2"/>
      <w:bookmarkStart w:id="88" w:name="_Toc23864_WPSOffice_Level2"/>
      <w:r>
        <w:rPr>
          <w:rFonts w:hint="eastAsia" w:ascii="楷体" w:hAnsi="楷体" w:eastAsia="楷体" w:cs="楷体"/>
          <w:color w:val="000000" w:themeColor="text1"/>
          <w:sz w:val="32"/>
          <w:szCs w:val="32"/>
          <w14:textFill>
            <w14:solidFill>
              <w14:schemeClr w14:val="tx1"/>
            </w14:solidFill>
          </w14:textFill>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color w:val="000000" w:themeColor="text1"/>
          <w:sz w:val="32"/>
          <w:szCs w:val="32"/>
          <w:lang w:val="en-US" w:eastAsia="zh-CN"/>
          <w14:textFill>
            <w14:solidFill>
              <w14:schemeClr w14:val="tx1"/>
            </w14:solidFill>
          </w14:textFill>
        </w:rPr>
        <w:t>教育支出：710.41万元，</w:t>
      </w:r>
      <w:r>
        <w:rPr>
          <w:rFonts w:hint="eastAsia" w:ascii="仿宋_GB2312" w:hAnsi="ˎ̥" w:eastAsia="仿宋_GB2312"/>
          <w:color w:val="000000" w:themeColor="text1"/>
          <w:sz w:val="32"/>
          <w:szCs w:val="32"/>
          <w14:textFill>
            <w14:solidFill>
              <w14:schemeClr w14:val="tx1"/>
            </w14:solidFill>
          </w14:textFill>
        </w:rPr>
        <w:t>占</w:t>
      </w:r>
      <w:r>
        <w:rPr>
          <w:rFonts w:hint="eastAsia" w:ascii="仿宋_GB2312" w:hAnsi="ˎ̥" w:eastAsia="仿宋_GB2312"/>
          <w:color w:val="000000" w:themeColor="text1"/>
          <w:sz w:val="32"/>
          <w:szCs w:val="32"/>
          <w:lang w:val="en-US" w:eastAsia="zh-CN"/>
          <w14:textFill>
            <w14:solidFill>
              <w14:schemeClr w14:val="tx1"/>
            </w14:solidFill>
          </w14:textFill>
        </w:rPr>
        <w:t>93.99</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19.58</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2.59</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14:textFill>
            <w14:solidFill>
              <w14:schemeClr w14:val="tx1"/>
            </w14:solidFill>
          </w14:textFill>
        </w:rPr>
        <w:t>住房保障（类）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10.87</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1.44</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卫生健康支出15.01万元，占1.98%。</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根据各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单位实际支出涉及的支出功能分类类级科目填列</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bookmarkStart w:id="89" w:name="_Toc21701_WPSOffice_Level2"/>
      <w:bookmarkStart w:id="90" w:name="_Toc9502_WPSOffice_Level2"/>
      <w:bookmarkStart w:id="91" w:name="_Toc29364_WPSOffice_Level2"/>
      <w:bookmarkStart w:id="92" w:name="_Toc25136_WPSOffice_Level2"/>
      <w:bookmarkStart w:id="93" w:name="_Toc15415_WPSOffice_Level2"/>
      <w:bookmarkStart w:id="94" w:name="_Toc22318_WPSOffice_Level2"/>
      <w:r>
        <w:rPr>
          <w:rFonts w:hint="eastAsia" w:ascii="楷体" w:hAnsi="楷体" w:eastAsia="楷体" w:cs="楷体"/>
          <w:color w:val="000000" w:themeColor="text1"/>
          <w:sz w:val="32"/>
          <w:szCs w:val="32"/>
          <w14:textFill>
            <w14:solidFill>
              <w14:schemeClr w14:val="tx1"/>
            </w14:solidFill>
          </w14:textFill>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128.04</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755.87</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590.34</w:t>
      </w:r>
      <w:r>
        <w:rPr>
          <w:rFonts w:hint="eastAsia" w:ascii="仿宋_GB2312" w:hAnsi="ˎ̥" w:eastAsia="仿宋_GB2312"/>
          <w:color w:val="000000" w:themeColor="text1"/>
          <w:sz w:val="32"/>
          <w:szCs w:val="32"/>
          <w14:textFill>
            <w14:solidFill>
              <w14:schemeClr w14:val="tx1"/>
            </w14:solidFill>
          </w14:textFill>
        </w:rPr>
        <w:t>%。其中：</w:t>
      </w:r>
    </w:p>
    <w:p>
      <w:pPr>
        <w:keepNext w:val="0"/>
        <w:keepLines w:val="0"/>
        <w:widowControl/>
        <w:numPr>
          <w:ilvl w:val="0"/>
          <w:numId w:val="0"/>
        </w:numPr>
        <w:suppressLineNumbers w:val="0"/>
        <w:spacing w:before="0" w:beforeAutospacing="0" w:after="0" w:afterAutospacing="1"/>
        <w:ind w:leftChars="200" w:right="0" w:rightChars="0"/>
        <w:jc w:val="left"/>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pP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教育支出（类）普通教育（款）学前教育（项）。年初预算为</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120.1</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万元，支出决算为</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98.77</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万元，完成年初预算的</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 xml:space="preserve">82.24 </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%。决算数</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小</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于预算数的主要原因：</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保教费及生均经费不是100%下达到单位，而是先下达50%，最后在统筹下达，所以导致决算数比预算书小</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w:t>
      </w:r>
    </w:p>
    <w:p>
      <w:pPr>
        <w:keepNext w:val="0"/>
        <w:keepLines w:val="0"/>
        <w:widowControl/>
        <w:suppressLineNumbers w:val="0"/>
        <w:spacing w:before="0" w:beforeAutospacing="0" w:after="0" w:afterAutospacing="1"/>
        <w:ind w:left="0" w:right="0" w:rightChars="0" w:firstLine="640" w:firstLineChars="200"/>
        <w:jc w:val="left"/>
        <w:rPr>
          <w:rFonts w:hint="default"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pP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2.社会保障和就业支出（类）行政事业单位养老支出（款）机关事业单位基本养老保险缴费支出（项）。年初预算为</w:t>
      </w:r>
      <w:r>
        <w:rPr>
          <w:rFonts w:hint="eastAsia" w:ascii="仿宋_GB2312" w:hAnsi="宋体" w:eastAsia="仿宋_GB2312" w:cs="仿宋_GB2312"/>
          <w:b w:val="0"/>
          <w:color w:val="000000" w:themeColor="text1"/>
          <w:kern w:val="0"/>
          <w:sz w:val="32"/>
          <w:szCs w:val="32"/>
          <w:lang w:val="en-US" w:eastAsia="zh-CN"/>
          <w14:textFill>
            <w14:solidFill>
              <w14:schemeClr w14:val="tx1"/>
            </w14:solidFill>
          </w14:textFill>
        </w:rPr>
        <w:t>14.47</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万元，支出决算为</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19.58</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万元，完成年初预算的</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135.31</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%。决算数大于预算数的主要原因：</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因为人员晋升，工资增加，社保基数上涨，导致决算数大。</w:t>
      </w:r>
    </w:p>
    <w:p>
      <w:pPr>
        <w:keepNext w:val="0"/>
        <w:keepLines w:val="0"/>
        <w:widowControl/>
        <w:suppressLineNumbers w:val="0"/>
        <w:spacing w:before="0" w:beforeAutospacing="0" w:after="0" w:afterAutospacing="1"/>
        <w:ind w:left="0" w:right="0" w:rightChars="0" w:firstLine="640" w:firstLineChars="200"/>
        <w:jc w:val="left"/>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pP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3.卫生健康支出（类）行政事业单位医疗（款）事业单位医疗（项）。</w:t>
      </w:r>
    </w:p>
    <w:p>
      <w:pPr>
        <w:keepNext w:val="0"/>
        <w:keepLines w:val="0"/>
        <w:widowControl/>
        <w:suppressLineNumbers w:val="0"/>
        <w:spacing w:before="0" w:beforeAutospacing="0" w:after="0" w:afterAutospacing="1"/>
        <w:ind w:left="0" w:right="0" w:rightChars="0" w:firstLine="640" w:firstLineChars="200"/>
        <w:jc w:val="left"/>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pP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年初预算为</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13.9</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万元，支出决算为</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15.01</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万元，完成年初预算的</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107.99</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%。决算数大于预算数为0的主要原因：</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因为人员晋升，工资增加，社保基数上涨，导致决算数大。</w:t>
      </w:r>
    </w:p>
    <w:p>
      <w:pPr>
        <w:keepNext w:val="0"/>
        <w:keepLines w:val="0"/>
        <w:widowControl/>
        <w:suppressLineNumbers w:val="0"/>
        <w:spacing w:before="0" w:beforeAutospacing="0" w:after="0" w:afterAutospacing="1"/>
        <w:ind w:left="0" w:right="0" w:rightChars="0" w:firstLine="640" w:firstLineChars="200"/>
        <w:jc w:val="left"/>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pP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4.住房保障支出（类）住房改革支出（款）住房公积金（项）。</w:t>
      </w:r>
    </w:p>
    <w:p>
      <w:pPr>
        <w:keepNext w:val="0"/>
        <w:keepLines w:val="0"/>
        <w:widowControl/>
        <w:suppressLineNumbers w:val="0"/>
        <w:spacing w:before="0" w:beforeAutospacing="0" w:after="0" w:afterAutospacing="1"/>
        <w:ind w:left="0" w:right="0" w:rightChars="0" w:firstLine="640" w:firstLineChars="200"/>
        <w:jc w:val="left"/>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pP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年初预算为</w:t>
      </w:r>
      <w:r>
        <w:rPr>
          <w:rFonts w:hint="eastAsia" w:ascii="仿宋_GB2312" w:hAnsi="宋体" w:eastAsia="仿宋_GB2312" w:cs="仿宋_GB2312"/>
          <w:b w:val="0"/>
          <w:color w:val="000000" w:themeColor="text1"/>
          <w:kern w:val="0"/>
          <w:sz w:val="32"/>
          <w:szCs w:val="32"/>
          <w:lang w:val="en-US" w:eastAsia="zh-CN"/>
          <w14:textFill>
            <w14:solidFill>
              <w14:schemeClr w14:val="tx1"/>
            </w14:solidFill>
          </w14:textFill>
        </w:rPr>
        <w:t>9.95</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万元，支出决算为</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10.87</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万元，完成年初预算的</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109.25</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%。决算数大于预算数为0的主要原因：</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因为人员晋升，工资增加，社保基数上涨，导致决算数大。</w:t>
      </w:r>
    </w:p>
    <w:p>
      <w:pPr>
        <w:keepNext w:val="0"/>
        <w:keepLines w:val="0"/>
        <w:widowControl/>
        <w:numPr>
          <w:ilvl w:val="0"/>
          <w:numId w:val="0"/>
        </w:numPr>
        <w:suppressLineNumbers w:val="0"/>
        <w:spacing w:before="0" w:beforeAutospacing="0" w:after="0" w:afterAutospacing="1"/>
        <w:ind w:leftChars="200" w:right="0" w:rightChars="0"/>
        <w:jc w:val="left"/>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pP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5.项目支出</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（类）普通教育（款）学前教育（项）</w:t>
      </w:r>
      <w:r>
        <w:rPr>
          <w:rFonts w:hint="eastAsia" w:ascii="仿宋_GB2312" w:hAnsi="ˎ̥" w:eastAsia="仿宋_GB2312" w:cs="仿宋_GB2312"/>
          <w:b w:val="0"/>
          <w:color w:val="000000" w:themeColor="text1"/>
          <w:kern w:val="0"/>
          <w:sz w:val="32"/>
          <w:szCs w:val="32"/>
          <w:shd w:val="clear" w:fill="FFFFFF"/>
          <w:lang w:eastAsia="zh-CN"/>
          <w14:textFill>
            <w14:solidFill>
              <w14:schemeClr w14:val="tx1"/>
            </w14:solidFill>
          </w14:textFill>
        </w:rPr>
        <w:t>。</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年初预算为</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34.47</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万元，支出决算为</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611.64</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万元，完成年初预算的</w:t>
      </w:r>
      <w:r>
        <w:rPr>
          <w:rFonts w:hint="eastAsia" w:ascii="仿宋_GB2312" w:hAnsi="ˎ̥" w:eastAsia="仿宋_GB2312" w:cs="仿宋_GB2312"/>
          <w:b w:val="0"/>
          <w:color w:val="000000" w:themeColor="text1"/>
          <w:kern w:val="0"/>
          <w:sz w:val="32"/>
          <w:szCs w:val="32"/>
          <w:shd w:val="clear" w:fill="FFFFFF"/>
          <w:lang w:val="en-US" w:eastAsia="zh-CN"/>
          <w14:textFill>
            <w14:solidFill>
              <w14:schemeClr w14:val="tx1"/>
            </w14:solidFill>
          </w14:textFill>
        </w:rPr>
        <w:t xml:space="preserve"> 1774.41</w:t>
      </w:r>
      <w:r>
        <w:rPr>
          <w:rFonts w:hint="eastAsia" w:ascii="仿宋_GB2312" w:hAnsi="ˎ̥" w:eastAsia="仿宋_GB2312" w:cs="仿宋_GB2312"/>
          <w:b w:val="0"/>
          <w:color w:val="000000" w:themeColor="text1"/>
          <w:kern w:val="0"/>
          <w:sz w:val="32"/>
          <w:szCs w:val="32"/>
          <w:shd w:val="clear" w:fill="FFFFFF"/>
          <w14:textFill>
            <w14:solidFill>
              <w14:schemeClr w14:val="tx1"/>
            </w14:solidFill>
          </w14:textFill>
        </w:rPr>
        <w:t>%。决算数大于预算数的主要原因：支出增加。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本部分支出决算数可取自财决公开05表，年初预算数可取自各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单位年初预算大本，根据实际支出涉及的支出功能分类项级科目填列</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年度财政拨款基本支出</w:t>
      </w:r>
      <w:r>
        <w:rPr>
          <w:rFonts w:hint="eastAsia" w:ascii="仿宋_GB2312" w:hAnsi="ˎ̥" w:eastAsia="仿宋_GB2312"/>
          <w:color w:val="000000" w:themeColor="text1"/>
          <w:sz w:val="32"/>
          <w:szCs w:val="32"/>
          <w:lang w:val="en-US" w:eastAsia="zh-CN"/>
          <w14:textFill>
            <w14:solidFill>
              <w14:schemeClr w14:val="tx1"/>
            </w14:solidFill>
          </w14:textFill>
        </w:rPr>
        <w:t>144.23</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142.35</w:t>
      </w:r>
      <w:r>
        <w:rPr>
          <w:rFonts w:hint="eastAsia" w:ascii="仿宋_GB2312" w:hAnsi="ˎ̥" w:eastAsia="仿宋_GB2312"/>
          <w:color w:val="000000" w:themeColor="text1"/>
          <w:sz w:val="32"/>
          <w:szCs w:val="32"/>
          <w14:textFill>
            <w14:solidFill>
              <w14:schemeClr w14:val="tx1"/>
            </w14:solidFill>
          </w14:textFill>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000000" w:themeColor="text1"/>
          <w:sz w:val="32"/>
          <w:szCs w:val="32"/>
          <w:lang w:val="en-US"/>
          <w14:textFill>
            <w14:solidFill>
              <w14:schemeClr w14:val="tx1"/>
            </w14:solidFill>
          </w14:textFill>
        </w:rPr>
        <w:t>1.88</w:t>
      </w:r>
      <w:r>
        <w:rPr>
          <w:rFonts w:hint="eastAsia" w:ascii="仿宋_GB2312" w:hAnsi="ˎ̥" w:eastAsia="仿宋_GB2312"/>
          <w:color w:val="000000" w:themeColor="text1"/>
          <w:sz w:val="32"/>
          <w:szCs w:val="32"/>
          <w14:textFill>
            <w14:solidFill>
              <w14:schemeClr w14:val="tx1"/>
            </w14:solidFill>
          </w14:textFill>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000000" w:themeColor="text1"/>
          <w:sz w:val="32"/>
          <w:szCs w:val="32"/>
          <w:lang w:val="en-US" w:eastAsia="zh-CN"/>
          <w14:textFill>
            <w14:solidFill>
              <w14:schemeClr w14:val="tx1"/>
            </w14:solidFill>
          </w14:textFill>
        </w:rPr>
        <w:t>购</w:t>
      </w:r>
      <w:r>
        <w:rPr>
          <w:rFonts w:hint="eastAsia" w:ascii="仿宋_GB2312" w:hAnsi="ˎ̥" w:eastAsia="仿宋_GB2312"/>
          <w:color w:val="000000" w:themeColor="text1"/>
          <w:sz w:val="32"/>
          <w:szCs w:val="32"/>
          <w14:textFill>
            <w14:solidFill>
              <w14:schemeClr w14:val="tx1"/>
            </w14:solidFill>
          </w14:textFill>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w:t>
      </w:r>
      <w:r>
        <w:rPr>
          <w:rFonts w:hint="eastAsia" w:ascii="仿宋_GB2312" w:hAnsi="ˎ̥" w:eastAsia="仿宋_GB2312"/>
          <w:color w:val="000000" w:themeColor="text1"/>
          <w:sz w:val="32"/>
          <w:szCs w:val="32"/>
          <w:lang w:val="en-US" w:eastAsia="zh-CN"/>
          <w14:textFill>
            <w14:solidFill>
              <w14:schemeClr w14:val="tx1"/>
            </w14:solidFill>
          </w14:textFill>
        </w:rPr>
        <w:t>数据</w:t>
      </w:r>
      <w:r>
        <w:rPr>
          <w:rFonts w:hint="eastAsia" w:ascii="仿宋_GB2312" w:hAnsi="ˎ̥" w:eastAsia="仿宋_GB2312"/>
          <w:color w:val="000000" w:themeColor="text1"/>
          <w:sz w:val="32"/>
          <w:szCs w:val="32"/>
          <w14:textFill>
            <w14:solidFill>
              <w14:schemeClr w14:val="tx1"/>
            </w14:solidFill>
          </w14:textFill>
        </w:rPr>
        <w:t>可取自财决公开06表，各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七、政府性基金预算财政拨款支出决算情况说明</w:t>
      </w:r>
    </w:p>
    <w:p>
      <w:pPr>
        <w:keepNext w:val="0"/>
        <w:keepLines w:val="0"/>
        <w:widowControl/>
        <w:suppressLineNumbers w:val="0"/>
        <w:spacing w:before="0" w:beforeAutospacing="1" w:after="0" w:afterAutospacing="1"/>
        <w:ind w:left="412" w:leftChars="196" w:right="0" w:rightChars="0" w:firstLine="320" w:firstLineChars="1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s="仿宋_GB2312"/>
          <w:color w:val="000000" w:themeColor="text1"/>
          <w:kern w:val="0"/>
          <w:sz w:val="32"/>
          <w:szCs w:val="32"/>
          <w:shd w:val="clear" w:fill="FFFFFF"/>
          <w14:textFill>
            <w14:solidFill>
              <w14:schemeClr w14:val="tx1"/>
            </w14:solidFill>
          </w14:textFill>
        </w:rPr>
        <w:t>我单位无政府性基金预算财政拨款收入</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八、国有资本经营预算财政拨款支出决算情况说明</w:t>
      </w:r>
    </w:p>
    <w:p>
      <w:pPr>
        <w:keepNext w:val="0"/>
        <w:keepLines w:val="0"/>
        <w:widowControl/>
        <w:suppressLineNumbers w:val="0"/>
        <w:spacing w:before="0" w:beforeAutospacing="0" w:after="0" w:afterAutospacing="1"/>
        <w:ind w:left="0" w:right="0" w:firstLine="640" w:firstLineChars="200"/>
        <w:jc w:val="left"/>
        <w:rPr>
          <w:rFonts w:hint="eastAsia" w:ascii="黑体" w:hAnsi="宋体" w:eastAsia="黑体" w:cs="黑体"/>
          <w:color w:val="000000" w:themeColor="text1"/>
          <w:kern w:val="0"/>
          <w:sz w:val="32"/>
          <w:szCs w:val="32"/>
          <w:shd w:val="clear" w:fill="FFFFFF"/>
          <w14:textFill>
            <w14:solidFill>
              <w14:schemeClr w14:val="tx1"/>
            </w14:solidFill>
          </w14:textFill>
        </w:rPr>
      </w:pPr>
      <w:r>
        <w:rPr>
          <w:rFonts w:hint="eastAsia" w:ascii="仿宋_GB2312" w:hAnsi="ˎ̥" w:eastAsia="仿宋_GB2312" w:cs="仿宋_GB2312"/>
          <w:color w:val="000000" w:themeColor="text1"/>
          <w:kern w:val="0"/>
          <w:sz w:val="32"/>
          <w:szCs w:val="32"/>
          <w:shd w:val="clear" w:fill="FFFFFF"/>
          <w14:textFill>
            <w14:solidFill>
              <w14:schemeClr w14:val="tx1"/>
            </w14:solidFill>
          </w14:textFill>
        </w:rPr>
        <w:t>我单位无国有资本经营预算财政拨款收入。</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r>
        <w:rPr>
          <w:rFonts w:hint="eastAsia" w:ascii="楷体" w:hAnsi="楷体" w:eastAsia="楷体" w:cs="楷体"/>
          <w:bCs/>
          <w:color w:val="000000" w:themeColor="text1"/>
          <w:sz w:val="32"/>
          <w:szCs w:val="32"/>
          <w14:textFill>
            <w14:solidFill>
              <w14:schemeClr w14:val="tx1"/>
            </w14:solidFill>
          </w14:textFill>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000000" w:themeColor="text1"/>
          <w:sz w:val="32"/>
          <w:szCs w:val="32"/>
          <w:lang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 xml:space="preserve">    </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年度财政拨款“三公”经费支出预算为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万元，完成预算的</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ascii="仿宋_GB2312" w:hAnsi="ˎ̥" w:eastAsia="仿宋_GB2312"/>
          <w:color w:val="000000" w:themeColor="text1"/>
          <w:sz w:val="32"/>
          <w:szCs w:val="32"/>
          <w14:textFill>
            <w14:solidFill>
              <w14:schemeClr w14:val="tx1"/>
            </w14:solidFill>
          </w14:textFill>
        </w:rPr>
        <w:t>相比，</w:t>
      </w:r>
      <w:r>
        <w:rPr>
          <w:rFonts w:hint="eastAsia" w:ascii="仿宋_GB2312" w:hAnsi="ˎ̥" w:eastAsia="仿宋_GB2312"/>
          <w:color w:val="000000" w:themeColor="text1"/>
          <w:sz w:val="32"/>
          <w:szCs w:val="32"/>
          <w14:textFill>
            <w14:solidFill>
              <w14:schemeClr w14:val="tx1"/>
            </w14:solidFill>
          </w14:textFill>
        </w:rPr>
        <w:t>“三公”经费支出增加</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减少</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w:t>
      </w:r>
      <w:r>
        <w:rPr>
          <w:rFonts w:ascii="仿宋_GB2312" w:hAnsi="ˎ̥" w:eastAsia="仿宋_GB2312"/>
          <w:color w:val="000000" w:themeColor="text1"/>
          <w:sz w:val="32"/>
          <w:szCs w:val="32"/>
          <w14:textFill>
            <w14:solidFill>
              <w14:schemeClr w14:val="tx1"/>
            </w14:solidFill>
          </w14:textFill>
        </w:rPr>
        <w:t>，增长（</w:t>
      </w:r>
      <w:r>
        <w:rPr>
          <w:rFonts w:hint="eastAsia" w:ascii="仿宋_GB2312" w:hAnsi="ˎ̥" w:eastAsia="仿宋_GB2312"/>
          <w:color w:val="000000" w:themeColor="text1"/>
          <w:sz w:val="32"/>
          <w:szCs w:val="32"/>
          <w14:textFill>
            <w14:solidFill>
              <w14:schemeClr w14:val="tx1"/>
            </w14:solidFill>
          </w14:textFill>
        </w:rPr>
        <w:t>下降</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14:textFill>
            <w14:solidFill>
              <w14:schemeClr w14:val="tx1"/>
            </w14:solidFill>
          </w14:textFill>
        </w:rPr>
        <w:t xml:space="preserve">   </w:t>
      </w:r>
      <w:r>
        <w:rPr>
          <w:rFonts w:hint="eastAsia" w:ascii="楷体" w:hAnsi="楷体" w:eastAsia="楷体" w:cs="楷体"/>
          <w:color w:val="000000" w:themeColor="text1"/>
          <w:sz w:val="32"/>
          <w:szCs w:val="32"/>
          <w14:textFill>
            <w14:solidFill>
              <w14:schemeClr w14:val="tx1"/>
            </w14:solidFill>
          </w14:textFill>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年度财政拨款“三公”经费支出决算中，因公出国（境）费支出决算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%；公务接待费支出决算</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%。具体情况如下：</w:t>
      </w:r>
    </w:p>
    <w:p>
      <w:pPr>
        <w:keepNext w:val="0"/>
        <w:keepLines w:val="0"/>
        <w:widowControl/>
        <w:suppressLineNumbers w:val="0"/>
        <w:spacing w:before="0" w:beforeAutospacing="1" w:after="0" w:afterAutospacing="1"/>
        <w:ind w:left="0" w:right="0" w:firstLine="643" w:firstLineChars="20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b/>
          <w:color w:val="000000" w:themeColor="text1"/>
          <w:kern w:val="0"/>
          <w:sz w:val="32"/>
          <w:szCs w:val="32"/>
          <w14:textFill>
            <w14:solidFill>
              <w14:schemeClr w14:val="tx1"/>
            </w14:solidFill>
          </w14:textFill>
        </w:rPr>
        <w:t>1.因公出国（境）费</w:t>
      </w:r>
      <w:r>
        <w:rPr>
          <w:rFonts w:hint="eastAsia" w:ascii="仿宋_GB2312" w:hAnsi="ˎ̥" w:eastAsia="仿宋_GB2312" w:cs="仿宋_GB2312"/>
          <w:color w:val="000000" w:themeColor="text1"/>
          <w:kern w:val="0"/>
          <w:sz w:val="32"/>
          <w:szCs w:val="32"/>
          <w14:textFill>
            <w14:solidFill>
              <w14:schemeClr w14:val="tx1"/>
            </w14:solidFill>
          </w14:textFill>
        </w:rPr>
        <w:t>支出</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万元。全年安排因公出国（境）团组0个，因公出国（境）0人次。开支内容包括：</w:t>
      </w:r>
    </w:p>
    <w:p>
      <w:pPr>
        <w:keepNext w:val="0"/>
        <w:keepLines w:val="0"/>
        <w:widowControl/>
        <w:suppressLineNumbers w:val="0"/>
        <w:spacing w:before="0" w:beforeAutospacing="1" w:after="0" w:afterAutospacing="1"/>
        <w:ind w:left="0" w:right="0" w:firstLine="640" w:firstLineChars="20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color w:val="000000" w:themeColor="text1"/>
          <w:kern w:val="0"/>
          <w:sz w:val="32"/>
          <w:szCs w:val="32"/>
          <w14:textFill>
            <w14:solidFill>
              <w14:schemeClr w14:val="tx1"/>
            </w14:solidFill>
          </w14:textFill>
        </w:rPr>
        <w:t>因公出国（境）费支出决算比预算数增加（减少）0万元，增长（下降）0%。主要原因是我园无因公出差（境）人员。</w:t>
      </w:r>
    </w:p>
    <w:p>
      <w:pPr>
        <w:keepNext w:val="0"/>
        <w:keepLines w:val="0"/>
        <w:widowControl/>
        <w:suppressLineNumbers w:val="0"/>
        <w:spacing w:before="0" w:beforeAutospacing="1" w:after="0" w:afterAutospacing="1"/>
        <w:ind w:left="0" w:right="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b/>
          <w:color w:val="000000" w:themeColor="text1"/>
          <w:kern w:val="0"/>
          <w:sz w:val="32"/>
          <w:szCs w:val="32"/>
          <w14:textFill>
            <w14:solidFill>
              <w14:schemeClr w14:val="tx1"/>
            </w14:solidFill>
          </w14:textFill>
        </w:rPr>
        <w:t xml:space="preserve">    2.公务用车购置及运行维护费支出</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万元。其中：</w:t>
      </w:r>
    </w:p>
    <w:p>
      <w:pPr>
        <w:keepNext w:val="0"/>
        <w:keepLines w:val="0"/>
        <w:widowControl/>
        <w:suppressLineNumbers w:val="0"/>
        <w:spacing w:before="0" w:beforeAutospacing="1" w:after="0" w:afterAutospacing="1"/>
        <w:ind w:left="0" w:right="0" w:firstLine="643" w:firstLineChars="20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b/>
          <w:color w:val="000000" w:themeColor="text1"/>
          <w:kern w:val="0"/>
          <w:sz w:val="32"/>
          <w:szCs w:val="32"/>
          <w14:textFill>
            <w14:solidFill>
              <w14:schemeClr w14:val="tx1"/>
            </w14:solidFill>
          </w14:textFill>
        </w:rPr>
        <w:t>公务用车购置支出</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万元，全年购置公务用车0辆，我园无公务用车。</w:t>
      </w:r>
    </w:p>
    <w:p>
      <w:pPr>
        <w:keepNext w:val="0"/>
        <w:keepLines w:val="0"/>
        <w:widowControl/>
        <w:suppressLineNumbers w:val="0"/>
        <w:spacing w:before="0" w:beforeAutospacing="1" w:after="0" w:afterAutospacing="1"/>
        <w:ind w:left="0" w:right="0" w:firstLine="643" w:firstLineChars="20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b/>
          <w:color w:val="000000" w:themeColor="text1"/>
          <w:kern w:val="0"/>
          <w:sz w:val="32"/>
          <w:szCs w:val="32"/>
          <w14:textFill>
            <w14:solidFill>
              <w14:schemeClr w14:val="tx1"/>
            </w14:solidFill>
          </w14:textFill>
        </w:rPr>
        <w:t>公务用车运行维护费支出</w:t>
      </w:r>
      <w:r>
        <w:rPr>
          <w:rFonts w:hint="eastAsia" w:ascii="仿宋_GB2312" w:hAnsi="宋体" w:eastAsia="仿宋_GB2312" w:cs="仿宋_GB2312"/>
          <w:color w:val="000000" w:themeColor="text1"/>
          <w:kern w:val="0"/>
          <w:sz w:val="32"/>
          <w:szCs w:val="32"/>
          <w14:textFill>
            <w14:solidFill>
              <w14:schemeClr w14:val="tx1"/>
            </w14:solidFill>
          </w14:textFill>
        </w:rPr>
        <w:t>0</w:t>
      </w:r>
      <w:r>
        <w:rPr>
          <w:rFonts w:hint="eastAsia" w:ascii="仿宋_GB2312" w:hAnsi="ˎ̥" w:eastAsia="仿宋_GB2312" w:cs="仿宋_GB2312"/>
          <w:color w:val="000000" w:themeColor="text1"/>
          <w:kern w:val="0"/>
          <w:sz w:val="32"/>
          <w:szCs w:val="32"/>
          <w14:textFill>
            <w14:solidFill>
              <w14:schemeClr w14:val="tx1"/>
            </w14:solidFill>
          </w14:textFill>
        </w:rPr>
        <w:t>万元，我园无公务用车，因此没有公务用车运行维护费。</w:t>
      </w:r>
    </w:p>
    <w:p>
      <w:pPr>
        <w:keepNext w:val="0"/>
        <w:keepLines w:val="0"/>
        <w:widowControl/>
        <w:suppressLineNumbers w:val="0"/>
        <w:spacing w:before="0" w:beforeAutospacing="1" w:after="0" w:afterAutospacing="1"/>
        <w:ind w:left="0" w:right="0" w:firstLine="640" w:firstLineChars="20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color w:val="000000" w:themeColor="text1"/>
          <w:kern w:val="0"/>
          <w:sz w:val="32"/>
          <w:szCs w:val="32"/>
          <w14:textFill>
            <w14:solidFill>
              <w14:schemeClr w14:val="tx1"/>
            </w14:solidFill>
          </w14:textFill>
        </w:rPr>
        <w:t>公务用车购置及运行费支出决算数比预算数增加（减少）0万元，增长（下降）0%。主要原因是我园无公务用车，因此不会产生公务用车购置及运行费。</w:t>
      </w:r>
    </w:p>
    <w:p>
      <w:pPr>
        <w:keepNext w:val="0"/>
        <w:keepLines w:val="0"/>
        <w:widowControl/>
        <w:suppressLineNumbers w:val="0"/>
        <w:spacing w:before="0" w:beforeAutospacing="1" w:after="0" w:afterAutospacing="1"/>
        <w:ind w:left="0" w:right="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b/>
          <w:color w:val="000000" w:themeColor="text1"/>
          <w:kern w:val="0"/>
          <w:sz w:val="32"/>
          <w:szCs w:val="32"/>
          <w14:textFill>
            <w14:solidFill>
              <w14:schemeClr w14:val="tx1"/>
            </w14:solidFill>
          </w14:textFill>
        </w:rPr>
        <w:t xml:space="preserve">    3.公务接待费支出</w:t>
      </w:r>
      <w:r>
        <w:rPr>
          <w:rFonts w:hint="eastAsia" w:ascii="仿宋_GB2312" w:hAnsi="宋体" w:eastAsia="仿宋_GB2312" w:cs="仿宋_GB2312"/>
          <w:color w:val="000000" w:themeColor="text1"/>
          <w:kern w:val="0"/>
          <w:sz w:val="32"/>
          <w:szCs w:val="32"/>
          <w14:textFill>
            <w14:solidFill>
              <w14:schemeClr w14:val="tx1"/>
            </w14:solidFill>
          </w14:textFill>
        </w:rPr>
        <w:t>0.00</w:t>
      </w:r>
      <w:r>
        <w:rPr>
          <w:rFonts w:hint="eastAsia" w:ascii="仿宋_GB2312" w:hAnsi="ˎ̥" w:eastAsia="仿宋_GB2312" w:cs="仿宋_GB2312"/>
          <w:color w:val="000000" w:themeColor="text1"/>
          <w:kern w:val="0"/>
          <w:sz w:val="32"/>
          <w:szCs w:val="32"/>
          <w14:textFill>
            <w14:solidFill>
              <w14:schemeClr w14:val="tx1"/>
            </w14:solidFill>
          </w14:textFill>
        </w:rPr>
        <w:t>万元，其中：</w:t>
      </w:r>
    </w:p>
    <w:p>
      <w:pPr>
        <w:keepNext w:val="0"/>
        <w:keepLines w:val="0"/>
        <w:widowControl/>
        <w:suppressLineNumbers w:val="0"/>
        <w:spacing w:before="0" w:beforeAutospacing="1" w:after="0" w:afterAutospacing="1"/>
        <w:ind w:left="0" w:right="0" w:firstLine="643" w:firstLineChars="20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b/>
          <w:color w:val="000000" w:themeColor="text1"/>
          <w:kern w:val="0"/>
          <w:sz w:val="32"/>
          <w:szCs w:val="32"/>
          <w14:textFill>
            <w14:solidFill>
              <w14:schemeClr w14:val="tx1"/>
            </w14:solidFill>
          </w14:textFill>
        </w:rPr>
        <w:t>国内接待费</w:t>
      </w:r>
      <w:r>
        <w:rPr>
          <w:rFonts w:hint="eastAsia" w:ascii="仿宋_GB2312" w:hAnsi="ˎ̥" w:eastAsia="仿宋_GB2312" w:cs="仿宋_GB2312"/>
          <w:color w:val="000000" w:themeColor="text1"/>
          <w:kern w:val="0"/>
          <w:sz w:val="32"/>
          <w:szCs w:val="32"/>
          <w14:textFill>
            <w14:solidFill>
              <w14:schemeClr w14:val="tx1"/>
            </w14:solidFill>
          </w14:textFill>
        </w:rPr>
        <w:t>支出0万元，国内公务接待0批次，接待0人次；我园无国内招待。</w:t>
      </w:r>
    </w:p>
    <w:p>
      <w:pPr>
        <w:keepNext w:val="0"/>
        <w:keepLines w:val="0"/>
        <w:widowControl/>
        <w:suppressLineNumbers w:val="0"/>
        <w:spacing w:before="0" w:beforeAutospacing="1" w:after="0" w:afterAutospacing="1"/>
        <w:ind w:left="0" w:right="0" w:firstLine="640" w:firstLineChars="200"/>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s="仿宋_GB2312"/>
          <w:color w:val="000000" w:themeColor="text1"/>
          <w:kern w:val="0"/>
          <w:sz w:val="32"/>
          <w:szCs w:val="32"/>
          <w14:textFill>
            <w14:solidFill>
              <w14:schemeClr w14:val="tx1"/>
            </w14:solidFill>
          </w14:textFill>
        </w:rPr>
        <w:t>国（境）外接待费支出0万元，国（境）外公务接待0批次，接待0人次；我园无国（境）外接待，所以不会产生国（境）外接待费。公务接待费支出决算数比预算数增加（减少）0万元，增长（下降）0%。我园无公务接待，所以不会产生公务接待费。</w:t>
      </w: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年度“三公”经费预算数、决算数可取自财决公开09表，出国团组数、出国人次，公务用车购置数、公务用车保有量，接待团组数、接待人次可取自</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决算报表F03表《机构运行信息表》，</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年度相关</w:t>
      </w:r>
      <w:r>
        <w:rPr>
          <w:rFonts w:ascii="仿宋_GB2312" w:hAnsi="ˎ̥" w:eastAsia="仿宋_GB2312"/>
          <w:color w:val="000000" w:themeColor="text1"/>
          <w:sz w:val="32"/>
          <w:szCs w:val="32"/>
          <w14:textFill>
            <w14:solidFill>
              <w14:schemeClr w14:val="tx1"/>
            </w14:solidFill>
          </w14:textFill>
        </w:rPr>
        <w:t>数据</w:t>
      </w:r>
      <w:r>
        <w:rPr>
          <w:rFonts w:hint="eastAsia" w:ascii="仿宋_GB2312" w:hAnsi="ˎ̥" w:eastAsia="仿宋_GB2312"/>
          <w:color w:val="000000" w:themeColor="text1"/>
          <w:sz w:val="32"/>
          <w:szCs w:val="32"/>
          <w14:textFill>
            <w14:solidFill>
              <w14:schemeClr w14:val="tx1"/>
            </w14:solidFill>
          </w14:textFill>
        </w:rPr>
        <w:t>可取自</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单位</w:t>
      </w:r>
      <w:r>
        <w:rPr>
          <w:rFonts w:ascii="仿宋_GB2312" w:hAnsi="ˎ̥" w:eastAsia="仿宋_GB2312"/>
          <w:color w:val="000000" w:themeColor="text1"/>
          <w:sz w:val="32"/>
          <w:szCs w:val="32"/>
          <w14:textFill>
            <w14:solidFill>
              <w14:schemeClr w14:val="tx1"/>
            </w14:solidFill>
          </w14:textFill>
        </w:rPr>
        <w:t>决算报表</w:t>
      </w:r>
      <w:r>
        <w:rPr>
          <w:rFonts w:hint="eastAsia" w:ascii="仿宋_GB2312" w:hAnsi="ˎ̥" w:eastAsia="仿宋_GB2312"/>
          <w:color w:val="000000" w:themeColor="text1"/>
          <w:sz w:val="32"/>
          <w:szCs w:val="32"/>
          <w14:textFill>
            <w14:solidFill>
              <w14:schemeClr w14:val="tx1"/>
            </w14:solidFill>
          </w14:textFill>
        </w:rPr>
        <w:t>F03表《机构</w:t>
      </w:r>
      <w:r>
        <w:rPr>
          <w:rFonts w:ascii="仿宋_GB2312" w:hAnsi="ˎ̥" w:eastAsia="仿宋_GB2312"/>
          <w:color w:val="000000" w:themeColor="text1"/>
          <w:sz w:val="32"/>
          <w:szCs w:val="32"/>
          <w14:textFill>
            <w14:solidFill>
              <w14:schemeClr w14:val="tx1"/>
            </w14:solidFill>
          </w14:textFill>
        </w:rPr>
        <w:t>运行信息表》</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十、预算绩效情况说明</w:t>
      </w:r>
    </w:p>
    <w:p>
      <w:pPr>
        <w:keepNext w:val="0"/>
        <w:keepLines w:val="0"/>
        <w:widowControl/>
        <w:suppressLineNumbers w:val="0"/>
        <w:spacing w:before="0" w:beforeAutospacing="1" w:after="0" w:afterAutospacing="1"/>
        <w:ind w:left="0" w:right="0" w:firstLine="640" w:firstLineChars="200"/>
        <w:jc w:val="left"/>
        <w:rPr>
          <w:rFonts w:hint="eastAsia" w:ascii="仿宋_GB2312" w:hAnsi="宋体" w:eastAsia="仿宋_GB2312" w:cs="仿宋_GB2312"/>
          <w:color w:val="000000" w:themeColor="text1"/>
          <w:kern w:val="0"/>
          <w:sz w:val="32"/>
          <w:szCs w:val="32"/>
          <w14:textFill>
            <w14:solidFill>
              <w14:schemeClr w14:val="tx1"/>
            </w14:solidFill>
          </w14:textFill>
        </w:rPr>
      </w:pPr>
      <w:r>
        <w:rPr>
          <w:rFonts w:hint="eastAsia" w:ascii="仿宋_GB2312" w:hAnsi="宋体" w:eastAsia="仿宋_GB2312" w:cs="仿宋_GB2312"/>
          <w:color w:val="000000" w:themeColor="text1"/>
          <w:kern w:val="0"/>
          <w:sz w:val="32"/>
          <w:szCs w:val="32"/>
          <w:shd w:val="clear" w:fill="FFFFFF"/>
          <w14:textFill>
            <w14:solidFill>
              <w14:schemeClr w14:val="tx1"/>
            </w14:solidFill>
          </w14:textFill>
        </w:rPr>
        <w:t>我单位无重点项目没有开展绩效管理工作。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95" w:name="_Toc15565_WPSOffice_Level2"/>
      <w:bookmarkStart w:id="96" w:name="_Toc15262_WPSOffice_Level2"/>
      <w:bookmarkStart w:id="97" w:name="_Toc23598_WPSOffice_Level2"/>
      <w:bookmarkStart w:id="98" w:name="_Toc5978_WPSOffice_Level2"/>
      <w:bookmarkStart w:id="99" w:name="_Toc32639_WPSOffice_Level2"/>
      <w:bookmarkStart w:id="100" w:name="_Toc18325_WPSOffice_Level2"/>
      <w:r>
        <w:rPr>
          <w:rFonts w:hint="eastAsia" w:ascii="楷体" w:hAnsi="楷体" w:eastAsia="楷体" w:cs="楷体"/>
          <w:bCs/>
          <w:color w:val="000000" w:themeColor="text1"/>
          <w:sz w:val="32"/>
          <w:szCs w:val="32"/>
          <w14:textFill>
            <w14:solidFill>
              <w14:schemeClr w14:val="tx1"/>
            </w14:solidFill>
          </w14:textFill>
        </w:rPr>
        <w:t>（一）机关运行经费支出情况</w:t>
      </w:r>
      <w:bookmarkEnd w:id="95"/>
      <w:bookmarkEnd w:id="96"/>
      <w:bookmarkEnd w:id="97"/>
      <w:bookmarkEnd w:id="98"/>
      <w:bookmarkEnd w:id="99"/>
      <w:bookmarkEnd w:id="100"/>
    </w:p>
    <w:p>
      <w:pPr>
        <w:keepNext w:val="0"/>
        <w:keepLines w:val="0"/>
        <w:widowControl/>
        <w:suppressLineNumbers w:val="0"/>
        <w:spacing w:before="0" w:beforeAutospacing="0" w:after="0" w:afterAutospacing="1"/>
        <w:ind w:left="0" w:right="0" w:firstLine="640" w:firstLineChars="200"/>
        <w:jc w:val="left"/>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s="仿宋_GB2312"/>
          <w:color w:val="000000" w:themeColor="text1"/>
          <w:kern w:val="0"/>
          <w:sz w:val="32"/>
          <w:szCs w:val="32"/>
          <w:shd w:val="clear" w:fill="FFFFFF"/>
          <w14:textFill>
            <w14:solidFill>
              <w14:schemeClr w14:val="tx1"/>
            </w14:solidFill>
          </w14:textFill>
        </w:rPr>
        <w:t>我单位属事业单位，事业单位没有机关运行经费支出。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机关运行经费预算数可取自</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决算报表财决01-1表《财政拨款收入支出决算总表》，年初预算数-一般公共预算财政拨款-公用经费，注意</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汇总公开决算时，因事业单位没有机关运行经费支出，故</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汇总的机关运行经费预算数应为</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所属的各行政单位或参公单位的汇总数；决算数可取自</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101" w:name="_Toc25333_WPSOffice_Level2"/>
      <w:bookmarkStart w:id="102" w:name="_Toc13084_WPSOffice_Level2"/>
      <w:bookmarkStart w:id="103" w:name="_Toc23966_WPSOffice_Level2"/>
      <w:bookmarkStart w:id="104" w:name="_Toc3131_WPSOffice_Level2"/>
      <w:bookmarkStart w:id="105" w:name="_Toc32689_WPSOffice_Level2"/>
      <w:bookmarkStart w:id="106" w:name="_Toc30383_WPSOffice_Level2"/>
      <w:r>
        <w:rPr>
          <w:rFonts w:hint="eastAsia" w:ascii="楷体" w:hAnsi="楷体" w:eastAsia="楷体" w:cs="楷体"/>
          <w:bCs/>
          <w:color w:val="000000" w:themeColor="text1"/>
          <w:sz w:val="32"/>
          <w:szCs w:val="32"/>
          <w14:textFill>
            <w14:solidFill>
              <w14:schemeClr w14:val="tx1"/>
            </w14:solidFill>
          </w14:textFill>
        </w:rPr>
        <w:t>（二）政府采购支出情况</w:t>
      </w:r>
      <w:bookmarkEnd w:id="101"/>
      <w:bookmarkEnd w:id="102"/>
      <w:bookmarkEnd w:id="103"/>
      <w:bookmarkEnd w:id="104"/>
      <w:bookmarkEnd w:id="105"/>
      <w:bookmarkEnd w:id="106"/>
    </w:p>
    <w:p>
      <w:pPr>
        <w:keepNext w:val="0"/>
        <w:keepLines w:val="0"/>
        <w:widowControl/>
        <w:suppressLineNumbers w:val="0"/>
        <w:spacing w:before="0" w:beforeAutospacing="0" w:after="0" w:afterAutospacing="1"/>
        <w:ind w:left="0" w:right="0" w:firstLine="640" w:firstLineChars="200"/>
        <w:jc w:val="left"/>
        <w:rPr>
          <w:rFonts w:hint="eastAsia" w:ascii="仿宋_GB2312" w:hAnsi="ˎ̥" w:eastAsia="仿宋_GB2312" w:cs="仿宋_GB2312"/>
          <w:color w:val="000000" w:themeColor="text1"/>
          <w:kern w:val="0"/>
          <w:sz w:val="32"/>
          <w:szCs w:val="32"/>
          <w:shd w:val="clear" w:fill="FFFFFF"/>
          <w14:textFill>
            <w14:solidFill>
              <w14:schemeClr w14:val="tx1"/>
            </w14:solidFill>
          </w14:textFill>
        </w:rPr>
      </w:pPr>
      <w:r>
        <w:rPr>
          <w:rFonts w:hint="eastAsia" w:ascii="仿宋_GB2312" w:hAnsi="ˎ̥" w:eastAsia="仿宋_GB2312" w:cs="仿宋_GB2312"/>
          <w:color w:val="000000" w:themeColor="text1"/>
          <w:kern w:val="0"/>
          <w:sz w:val="32"/>
          <w:szCs w:val="32"/>
          <w:shd w:val="clear" w:fill="FFFFFF"/>
          <w14:textFill>
            <w14:solidFill>
              <w14:schemeClr w14:val="tx1"/>
            </w14:solidFill>
          </w14:textFill>
        </w:rPr>
        <w:t>202</w:t>
      </w:r>
      <w:r>
        <w:rPr>
          <w:rFonts w:hint="eastAsia" w:ascii="仿宋_GB2312" w:hAnsi="ˎ̥" w:eastAsia="仿宋_GB2312" w:cs="仿宋_GB2312"/>
          <w:color w:val="000000" w:themeColor="text1"/>
          <w:kern w:val="0"/>
          <w:sz w:val="32"/>
          <w:szCs w:val="32"/>
          <w:shd w:val="clear" w:fill="FFFFFF"/>
          <w:lang w:val="en-US" w:eastAsia="zh-CN"/>
          <w14:textFill>
            <w14:solidFill>
              <w14:schemeClr w14:val="tx1"/>
            </w14:solidFill>
          </w14:textFill>
        </w:rPr>
        <w:t>4</w:t>
      </w:r>
      <w:r>
        <w:rPr>
          <w:rFonts w:hint="eastAsia" w:ascii="仿宋_GB2312" w:hAnsi="ˎ̥" w:eastAsia="仿宋_GB2312" w:cs="仿宋_GB2312"/>
          <w:color w:val="000000" w:themeColor="text1"/>
          <w:kern w:val="0"/>
          <w:sz w:val="32"/>
          <w:szCs w:val="32"/>
          <w:shd w:val="clear" w:fill="FFFFFF"/>
          <w14:textFill>
            <w14:solidFill>
              <w14:schemeClr w14:val="tx1"/>
            </w14:solidFill>
          </w14:textFill>
        </w:rPr>
        <w:t>年度我单位政府采购支出总额0万元。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上述政府采购支出相关</w:t>
      </w:r>
      <w:r>
        <w:rPr>
          <w:rFonts w:hint="eastAsia" w:ascii="仿宋_GB2312" w:hAnsi="ˎ̥" w:eastAsia="仿宋_GB2312"/>
          <w:color w:val="000000" w:themeColor="text1"/>
          <w:sz w:val="32"/>
          <w:szCs w:val="32"/>
          <w:lang w:val="en-US" w:eastAsia="zh-CN"/>
          <w14:textFill>
            <w14:solidFill>
              <w14:schemeClr w14:val="tx1"/>
            </w14:solidFill>
          </w14:textFill>
        </w:rPr>
        <w:t>数据</w:t>
      </w:r>
      <w:r>
        <w:rPr>
          <w:rFonts w:hint="eastAsia" w:ascii="仿宋_GB2312" w:hAnsi="ˎ̥" w:eastAsia="仿宋_GB2312"/>
          <w:color w:val="000000" w:themeColor="text1"/>
          <w:sz w:val="32"/>
          <w:szCs w:val="32"/>
          <w14:textFill>
            <w14:solidFill>
              <w14:schemeClr w14:val="tx1"/>
            </w14:solidFill>
          </w14:textFill>
        </w:rPr>
        <w:t>取自</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决算报表F03表《机构运行信息表》，授予中小企业和小微企业合同金额由各</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查阅本</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000000" w:themeColor="text1"/>
          <w:sz w:val="32"/>
          <w:szCs w:val="32"/>
          <w14:textFill>
            <w14:solidFill>
              <w14:schemeClr w14:val="tx1"/>
            </w14:solidFill>
          </w14:textFill>
        </w:rPr>
      </w:pPr>
      <w:bookmarkStart w:id="107" w:name="_Toc10902_WPSOffice_Level2"/>
      <w:bookmarkStart w:id="108" w:name="_Toc15129_WPSOffice_Level2"/>
      <w:bookmarkStart w:id="109" w:name="_Toc527_WPSOffice_Level2"/>
      <w:bookmarkStart w:id="110" w:name="_Toc29584_WPSOffice_Level2"/>
      <w:bookmarkStart w:id="111" w:name="_Toc19989_WPSOffice_Level2"/>
      <w:bookmarkStart w:id="112" w:name="_Toc6016_WPSOffice_Level2"/>
      <w:r>
        <w:rPr>
          <w:rFonts w:hint="eastAsia" w:ascii="楷体" w:hAnsi="楷体" w:eastAsia="楷体" w:cs="楷体"/>
          <w:bCs/>
          <w:color w:val="000000" w:themeColor="text1"/>
          <w:sz w:val="32"/>
          <w:szCs w:val="32"/>
          <w14:textFill>
            <w14:solidFill>
              <w14:schemeClr w14:val="tx1"/>
            </w14:solidFill>
          </w14:textFill>
        </w:rPr>
        <w:t>（三）国有资产占用情况</w:t>
      </w:r>
      <w:bookmarkEnd w:id="107"/>
      <w:bookmarkEnd w:id="108"/>
      <w:bookmarkEnd w:id="109"/>
      <w:bookmarkEnd w:id="110"/>
      <w:bookmarkEnd w:id="111"/>
      <w:bookmarkEnd w:id="112"/>
    </w:p>
    <w:p>
      <w:pPr>
        <w:keepNext w:val="0"/>
        <w:keepLines w:val="0"/>
        <w:widowControl/>
        <w:suppressLineNumbers w:val="0"/>
        <w:spacing w:before="0" w:beforeAutospacing="1" w:after="0" w:afterAutospacing="1" w:line="578" w:lineRule="exact"/>
        <w:ind w:left="0" w:right="0" w:firstLine="640" w:firstLineChars="20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color w:val="000000" w:themeColor="text1"/>
          <w:kern w:val="0"/>
          <w:sz w:val="32"/>
          <w:szCs w:val="32"/>
          <w14:textFill>
            <w14:solidFill>
              <w14:schemeClr w14:val="tx1"/>
            </w14:solidFill>
          </w14:textFill>
        </w:rPr>
        <w:t>截至202</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ˎ̥" w:eastAsia="仿宋_GB2312" w:cs="仿宋_GB2312"/>
          <w:color w:val="000000" w:themeColor="text1"/>
          <w:kern w:val="0"/>
          <w:sz w:val="32"/>
          <w:szCs w:val="32"/>
          <w14:textFill>
            <w14:solidFill>
              <w14:schemeClr w14:val="tx1"/>
            </w14:solidFill>
          </w14:textFill>
        </w:rPr>
        <w:t>年12月31日，本部门拥有房屋面积5416平方米，其中：办公用房194.5平方米，业务用房5221.5平方米，其他（不含构筑物）6418平方米。</w:t>
      </w:r>
    </w:p>
    <w:p>
      <w:pPr>
        <w:keepNext w:val="0"/>
        <w:keepLines w:val="0"/>
        <w:widowControl/>
        <w:suppressLineNumbers w:val="0"/>
        <w:spacing w:before="0" w:beforeAutospacing="1" w:after="0" w:afterAutospacing="1" w:line="578" w:lineRule="exact"/>
        <w:ind w:left="0" w:right="0" w:firstLine="640" w:firstLineChars="200"/>
        <w:rPr>
          <w:rFonts w:hint="eastAsia" w:ascii="仿宋_GB2312" w:hAnsi="ˎ̥" w:eastAsia="仿宋_GB2312" w:cs="仿宋_GB2312"/>
          <w:color w:val="000000" w:themeColor="text1"/>
          <w:kern w:val="0"/>
          <w:sz w:val="32"/>
          <w:szCs w:val="32"/>
          <w14:textFill>
            <w14:solidFill>
              <w14:schemeClr w14:val="tx1"/>
            </w14:solidFill>
          </w14:textFill>
        </w:rPr>
      </w:pPr>
      <w:r>
        <w:rPr>
          <w:rFonts w:hint="eastAsia" w:ascii="仿宋_GB2312" w:hAnsi="ˎ̥" w:eastAsia="仿宋_GB2312" w:cs="仿宋_GB2312"/>
          <w:color w:val="000000" w:themeColor="text1"/>
          <w:kern w:val="0"/>
          <w:sz w:val="32"/>
          <w:szCs w:val="32"/>
          <w14:textFill>
            <w14:solidFill>
              <w14:schemeClr w14:val="tx1"/>
            </w14:solidFill>
          </w14:textFill>
        </w:rPr>
        <w:t>本部门共有车辆0辆，其中，副部（省）级及以上领导用车0辆、主要领导干部用车0辆、机要通信用车0辆、应急保障用车0辆、执法执勤用车0辆、特种专业技术用车0辆、离退休干部用车0辆、其他用车0辆，我园无以上情况。单价100万元（含）以上设备（不含车辆）0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s="仿宋_GB2312"/>
          <w:color w:val="000000" w:themeColor="text1"/>
          <w:kern w:val="0"/>
          <w:sz w:val="32"/>
          <w:szCs w:val="32"/>
          <w14:textFill>
            <w14:solidFill>
              <w14:schemeClr w14:val="tx1"/>
            </w14:solidFill>
          </w14:textFill>
        </w:rPr>
        <w:t>年末在建工程0万元。</w:t>
      </w: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上述国有资产占用情况相关数</w:t>
      </w:r>
      <w:r>
        <w:rPr>
          <w:rFonts w:hint="eastAsia" w:ascii="仿宋_GB2312" w:hAnsi="ˎ̥" w:eastAsia="仿宋_GB2312"/>
          <w:color w:val="000000" w:themeColor="text1"/>
          <w:sz w:val="32"/>
          <w:szCs w:val="32"/>
          <w:lang w:val="en-US" w:eastAsia="zh-CN"/>
          <w14:textFill>
            <w14:solidFill>
              <w14:schemeClr w14:val="tx1"/>
            </w14:solidFill>
          </w14:textFill>
        </w:rPr>
        <w:t>据</w:t>
      </w:r>
      <w:r>
        <w:rPr>
          <w:rFonts w:hint="eastAsia" w:ascii="仿宋_GB2312" w:hAnsi="ˎ̥" w:eastAsia="仿宋_GB2312"/>
          <w:color w:val="000000" w:themeColor="text1"/>
          <w:sz w:val="32"/>
          <w:szCs w:val="32"/>
          <w14:textFill>
            <w14:solidFill>
              <w14:schemeClr w14:val="tx1"/>
            </w14:solidFill>
          </w14:textFill>
        </w:rPr>
        <w:t>取自</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决算F0</w:t>
      </w:r>
      <w:r>
        <w:rPr>
          <w:rFonts w:hint="default" w:ascii="仿宋_GB2312" w:hAnsi="ˎ̥" w:eastAsia="仿宋_GB2312"/>
          <w:color w:val="000000" w:themeColor="text1"/>
          <w:sz w:val="32"/>
          <w:szCs w:val="32"/>
          <w:lang w:val="en-US"/>
          <w14:textFill>
            <w14:solidFill>
              <w14:schemeClr w14:val="tx1"/>
            </w14:solidFill>
          </w14:textFill>
        </w:rPr>
        <w:t>2</w:t>
      </w:r>
      <w:r>
        <w:rPr>
          <w:rFonts w:hint="eastAsia" w:ascii="仿宋_GB2312" w:hAnsi="ˎ̥" w:eastAsia="仿宋_GB2312"/>
          <w:color w:val="000000" w:themeColor="text1"/>
          <w:sz w:val="32"/>
          <w:szCs w:val="32"/>
          <w14:textFill>
            <w14:solidFill>
              <w14:schemeClr w14:val="tx1"/>
            </w14:solidFill>
          </w14:textFill>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bookmarkStart w:id="113" w:name="_Toc4398_WPSOffice_Level1"/>
      <w:bookmarkStart w:id="114" w:name="_Toc17580_WPSOffice_Level1"/>
      <w:bookmarkStart w:id="115" w:name="_Toc15425_WPSOffice_Level1"/>
      <w:bookmarkStart w:id="116" w:name="_Toc8874_WPSOffice_Level1"/>
      <w:bookmarkStart w:id="117" w:name="_Toc8808_WPSOffice_Level1"/>
      <w:bookmarkStart w:id="118" w:name="_Toc11039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r>
        <w:rPr>
          <w:rFonts w:hint="eastAsia" w:ascii="黑体" w:hAnsi="ˎ̥" w:eastAsia="黑体"/>
          <w:color w:val="000000" w:themeColor="text1"/>
          <w:sz w:val="32"/>
          <w:szCs w:val="32"/>
          <w14:textFill>
            <w14:solidFill>
              <w14:schemeClr w14:val="tx1"/>
            </w14:solidFill>
          </w14:textFill>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000000" w:themeColor="text1"/>
          <w:sz w:val="32"/>
          <w:szCs w:val="32"/>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财政拨款收入：指同级政府财政</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二、上级补助收入：指事业单位从主管</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000000" w:themeColor="text1"/>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（注</w:t>
      </w:r>
      <w:r>
        <w:rPr>
          <w:rFonts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支出功能分类的名词解释，各</w:t>
      </w:r>
      <w:r>
        <w:rPr>
          <w:rFonts w:hint="eastAsia" w:ascii="仿宋_GB2312" w:hAnsi="ˎ̥" w:eastAsia="仿宋_GB2312"/>
          <w:color w:val="000000" w:themeColor="text1"/>
          <w:sz w:val="32"/>
          <w:szCs w:val="32"/>
          <w:lang w:val="en-US" w:eastAsia="zh-CN"/>
          <w14:textFill>
            <w14:solidFill>
              <w14:schemeClr w14:val="tx1"/>
            </w14:solidFill>
          </w14:textFill>
        </w:rPr>
        <w:t>预算</w:t>
      </w:r>
      <w:r>
        <w:rPr>
          <w:rFonts w:hint="eastAsia" w:ascii="仿宋_GB2312" w:hAnsi="ˎ̥" w:eastAsia="仿宋_GB2312"/>
          <w:color w:val="000000" w:themeColor="text1"/>
          <w:sz w:val="32"/>
          <w:szCs w:val="32"/>
          <w:lang w:eastAsia="zh-CN"/>
          <w14:textFill>
            <w14:solidFill>
              <w14:schemeClr w14:val="tx1"/>
            </w14:solidFill>
          </w14:textFill>
        </w:rPr>
        <w:t>单位、</w:t>
      </w:r>
      <w:r>
        <w:rPr>
          <w:rFonts w:hint="eastAsia" w:ascii="仿宋_GB2312" w:hAnsi="ˎ̥" w:eastAsia="仿宋_GB2312"/>
          <w:color w:val="000000" w:themeColor="text1"/>
          <w:sz w:val="32"/>
          <w:szCs w:val="32"/>
          <w14:textFill>
            <w14:solidFill>
              <w14:schemeClr w14:val="tx1"/>
            </w14:solidFill>
          </w14:textFill>
        </w:rPr>
        <w:t>单位根据实际支出情况填列，可参阅财政部印发的《</w:t>
      </w: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年政府收支分类科目》</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35F6C96"/>
    <w:multiLevelType w:val="singleLevel"/>
    <w:tmpl w:val="135F6C96"/>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27EB2"/>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0A30312"/>
    <w:rsid w:val="136F98C7"/>
    <w:rsid w:val="17427E68"/>
    <w:rsid w:val="1755065F"/>
    <w:rsid w:val="1AFC29C9"/>
    <w:rsid w:val="1CA52F2E"/>
    <w:rsid w:val="1E3630B9"/>
    <w:rsid w:val="26EEC2B5"/>
    <w:rsid w:val="29472309"/>
    <w:rsid w:val="2B406E77"/>
    <w:rsid w:val="2C2A0C43"/>
    <w:rsid w:val="2D1E73A5"/>
    <w:rsid w:val="2F355299"/>
    <w:rsid w:val="32717154"/>
    <w:rsid w:val="34826D6F"/>
    <w:rsid w:val="34B63260"/>
    <w:rsid w:val="37FDA7E2"/>
    <w:rsid w:val="3A314D88"/>
    <w:rsid w:val="3A746883"/>
    <w:rsid w:val="3CA15DE9"/>
    <w:rsid w:val="3FE61EE5"/>
    <w:rsid w:val="406508EE"/>
    <w:rsid w:val="408D6263"/>
    <w:rsid w:val="41B40CEE"/>
    <w:rsid w:val="450E3D45"/>
    <w:rsid w:val="48317291"/>
    <w:rsid w:val="485F7024"/>
    <w:rsid w:val="48E70666"/>
    <w:rsid w:val="4C6877E5"/>
    <w:rsid w:val="4D6A468D"/>
    <w:rsid w:val="4EA86137"/>
    <w:rsid w:val="56CA7FD0"/>
    <w:rsid w:val="571621F2"/>
    <w:rsid w:val="57FA38D1"/>
    <w:rsid w:val="5F7D3333"/>
    <w:rsid w:val="60455A20"/>
    <w:rsid w:val="61385890"/>
    <w:rsid w:val="660537F8"/>
    <w:rsid w:val="687436E1"/>
    <w:rsid w:val="6DA45C50"/>
    <w:rsid w:val="6E9A7825"/>
    <w:rsid w:val="6EFF5200"/>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10</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2025-10-27T03:28:00Z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