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屯昌县南坤镇加握幼儿园2024年度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bookmarkStart w:id="119" w:name="_GoBack"/>
      <w:bookmarkEnd w:id="119"/>
      <w:r>
        <w:rPr>
          <w:rFonts w:hint="eastAsia" w:ascii="方正小标宋_GBK" w:hAnsi="方正小标宋_GBK" w:eastAsia="方正小标宋_GBK" w:cs="方正小标宋_GBK"/>
          <w:b w:val="0"/>
          <w:bCs w:val="0"/>
          <w:color w:val="auto"/>
          <w:sz w:val="44"/>
          <w:szCs w:val="44"/>
          <w:lang w:eastAsia="zh-CN"/>
        </w:rPr>
        <w:t>单位</w:t>
      </w:r>
      <w:r>
        <w:rPr>
          <w:rFonts w:hint="eastAsia" w:ascii="方正小标宋_GBK" w:hAnsi="方正小标宋_GBK" w:eastAsia="方正小标宋_GBK" w:cs="方正小标宋_GBK"/>
          <w:b w:val="0"/>
          <w:bCs w:val="0"/>
          <w:color w:val="auto"/>
          <w:sz w:val="44"/>
          <w:szCs w:val="44"/>
        </w:rPr>
        <w:t>决算公开报告</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ˎ̥" w:eastAsia="黑体"/>
          <w:b w:val="0"/>
          <w:bCs w:val="0"/>
          <w:color w:val="auto"/>
          <w:sz w:val="32"/>
          <w:szCs w:val="32"/>
        </w:rPr>
      </w:pPr>
    </w:p>
    <w:p>
      <w:pPr>
        <w:keepNext w:val="0"/>
        <w:keepLines w:val="0"/>
        <w:pageBreakBefore w:val="0"/>
        <w:kinsoku/>
        <w:wordWrap/>
        <w:overflowPunct/>
        <w:topLinePunct w:val="0"/>
        <w:autoSpaceDE/>
        <w:autoSpaceDN/>
        <w:bidi w:val="0"/>
        <w:adjustRightInd/>
        <w:snapToGrid/>
        <w:spacing w:line="590" w:lineRule="exact"/>
        <w:jc w:val="center"/>
        <w:textAlignment w:val="auto"/>
        <w:rPr>
          <w:rFonts w:hint="eastAsia" w:ascii="黑体" w:hAnsi="黑体" w:eastAsia="黑体" w:cs="黑体"/>
          <w:b w:val="0"/>
          <w:bCs w:val="0"/>
          <w:color w:val="auto"/>
          <w:sz w:val="44"/>
          <w:szCs w:val="44"/>
        </w:rPr>
      </w:pPr>
      <w:bookmarkStart w:id="0" w:name="_Toc11440_WPSOffice_Type2"/>
      <w:r>
        <w:rPr>
          <w:rFonts w:hint="eastAsia" w:ascii="黑体" w:hAnsi="黑体" w:eastAsia="黑体" w:cs="黑体"/>
          <w:b w:val="0"/>
          <w:bCs w:val="0"/>
          <w:color w:val="auto"/>
          <w:sz w:val="44"/>
          <w:szCs w:val="44"/>
        </w:rPr>
        <w:t>目  录</w:t>
      </w:r>
    </w:p>
    <w:p>
      <w:pPr>
        <w:pStyle w:val="15"/>
        <w:keepNext w:val="0"/>
        <w:keepLines w:val="0"/>
        <w:pageBreakBefore w:val="0"/>
        <w:tabs>
          <w:tab w:val="right" w:leader="dot" w:pos="8306"/>
        </w:tabs>
        <w:kinsoku/>
        <w:wordWrap/>
        <w:overflowPunct/>
        <w:topLinePunct w:val="0"/>
        <w:autoSpaceDE/>
        <w:autoSpaceDN/>
        <w:bidi w:val="0"/>
        <w:adjustRightInd/>
        <w:snapToGrid/>
        <w:spacing w:line="590" w:lineRule="exact"/>
        <w:textAlignment w:val="auto"/>
        <w:rPr>
          <w:rFonts w:hint="eastAsia"/>
          <w:b w:val="0"/>
          <w:bCs w:val="0"/>
          <w:color w:val="auto"/>
          <w:sz w:val="32"/>
          <w:szCs w:val="32"/>
        </w:rPr>
      </w:pPr>
      <w:r>
        <w:rPr>
          <w:b w:val="0"/>
          <w:bCs w:val="0"/>
          <w:color w:val="auto"/>
          <w:sz w:val="32"/>
          <w:szCs w:val="32"/>
        </w:rPr>
        <w:fldChar w:fldCharType="begin"/>
      </w:r>
      <w:r>
        <w:rPr>
          <w:b w:val="0"/>
          <w:bCs w:val="0"/>
          <w:color w:val="auto"/>
          <w:sz w:val="32"/>
          <w:szCs w:val="32"/>
        </w:rPr>
        <w:instrText xml:space="preserve"> HYPERLINK \l _Toc1704_WPSOffice_Level1 </w:instrText>
      </w:r>
      <w:r>
        <w:rPr>
          <w:b w:val="0"/>
          <w:bCs w:val="0"/>
          <w:color w:val="auto"/>
          <w:sz w:val="32"/>
          <w:szCs w:val="32"/>
        </w:rPr>
        <w:fldChar w:fldCharType="separate"/>
      </w:r>
      <w:r>
        <w:rPr>
          <w:rFonts w:hint="eastAsia" w:ascii="黑体" w:hAnsi="ˎ̥" w:eastAsia="黑体"/>
          <w:b w:val="0"/>
          <w:bCs w:val="0"/>
          <w:color w:val="auto"/>
          <w:sz w:val="32"/>
          <w:szCs w:val="32"/>
        </w:rPr>
        <w:t>第一部分 基本情况</w:t>
      </w:r>
      <w:r>
        <w:rPr>
          <w:b w:val="0"/>
          <w:bCs w:val="0"/>
          <w:color w:val="auto"/>
          <w:sz w:val="32"/>
          <w:szCs w:val="32"/>
        </w:rPr>
        <w:tab/>
      </w:r>
      <w:r>
        <w:rPr>
          <w:b w:val="0"/>
          <w:bCs w:val="0"/>
          <w:color w:val="auto"/>
          <w:sz w:val="32"/>
          <w:szCs w:val="32"/>
        </w:rPr>
        <w:fldChar w:fldCharType="end"/>
      </w:r>
      <w:r>
        <w:rPr>
          <w:rFonts w:hint="eastAsia"/>
          <w:b w:val="0"/>
          <w:bCs w:val="0"/>
          <w:color w:val="auto"/>
          <w:sz w:val="32"/>
          <w:szCs w:val="32"/>
        </w:rPr>
        <w:t>2</w:t>
      </w:r>
    </w:p>
    <w:p>
      <w:pPr>
        <w:pStyle w:val="16"/>
        <w:keepNext w:val="0"/>
        <w:keepLines w:val="0"/>
        <w:pageBreakBefore w:val="0"/>
        <w:tabs>
          <w:tab w:val="right" w:leader="dot" w:pos="8306"/>
        </w:tabs>
        <w:kinsoku/>
        <w:wordWrap/>
        <w:overflowPunct/>
        <w:topLinePunct w:val="0"/>
        <w:autoSpaceDE/>
        <w:autoSpaceDN/>
        <w:bidi w:val="0"/>
        <w:adjustRightInd/>
        <w:snapToGrid/>
        <w:spacing w:line="590" w:lineRule="exact"/>
        <w:ind w:leftChars="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 HYPERLINK \l _Toc20274_WPSOffice_Level2 </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rPr>
        <w:t>一、单位职责</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rPr>
        <w:t>2</w:t>
      </w:r>
    </w:p>
    <w:p>
      <w:pPr>
        <w:pStyle w:val="16"/>
        <w:keepNext w:val="0"/>
        <w:keepLines w:val="0"/>
        <w:pageBreakBefore w:val="0"/>
        <w:tabs>
          <w:tab w:val="right" w:leader="dot" w:pos="8306"/>
        </w:tabs>
        <w:kinsoku/>
        <w:wordWrap/>
        <w:overflowPunct/>
        <w:topLinePunct w:val="0"/>
        <w:autoSpaceDE/>
        <w:autoSpaceDN/>
        <w:bidi w:val="0"/>
        <w:adjustRightInd/>
        <w:snapToGrid/>
        <w:spacing w:line="590" w:lineRule="exact"/>
        <w:ind w:leftChars="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 HYPERLINK \l _Toc4833_WPSOffice_Level2 </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rPr>
        <w:t>二、机构设置</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rPr>
        <w:t>2</w:t>
      </w:r>
    </w:p>
    <w:p>
      <w:pPr>
        <w:pStyle w:val="15"/>
        <w:keepNext w:val="0"/>
        <w:keepLines w:val="0"/>
        <w:pageBreakBefore w:val="0"/>
        <w:tabs>
          <w:tab w:val="right" w:leader="dot" w:pos="8306"/>
        </w:tabs>
        <w:kinsoku/>
        <w:wordWrap/>
        <w:overflowPunct/>
        <w:topLinePunct w:val="0"/>
        <w:autoSpaceDE/>
        <w:autoSpaceDN/>
        <w:bidi w:val="0"/>
        <w:adjustRightInd/>
        <w:snapToGrid/>
        <w:spacing w:line="590" w:lineRule="exact"/>
        <w:textAlignment w:val="auto"/>
        <w:rPr>
          <w:rFonts w:hint="eastAsia"/>
          <w:b w:val="0"/>
          <w:bCs w:val="0"/>
          <w:color w:val="auto"/>
          <w:sz w:val="32"/>
          <w:szCs w:val="32"/>
        </w:rPr>
      </w:pPr>
      <w:r>
        <w:rPr>
          <w:b w:val="0"/>
          <w:bCs w:val="0"/>
          <w:color w:val="auto"/>
          <w:sz w:val="32"/>
          <w:szCs w:val="32"/>
        </w:rPr>
        <w:fldChar w:fldCharType="begin"/>
      </w:r>
      <w:r>
        <w:rPr>
          <w:b w:val="0"/>
          <w:bCs w:val="0"/>
          <w:color w:val="auto"/>
          <w:sz w:val="32"/>
          <w:szCs w:val="32"/>
        </w:rPr>
        <w:instrText xml:space="preserve"> HYPERLINK \l _Toc28253_WPSOffice_Level1 </w:instrText>
      </w:r>
      <w:r>
        <w:rPr>
          <w:b w:val="0"/>
          <w:bCs w:val="0"/>
          <w:color w:val="auto"/>
          <w:sz w:val="32"/>
          <w:szCs w:val="32"/>
        </w:rPr>
        <w:fldChar w:fldCharType="separate"/>
      </w:r>
      <w:r>
        <w:rPr>
          <w:rFonts w:hint="eastAsia" w:ascii="黑体" w:hAnsi="ˎ̥" w:eastAsia="黑体"/>
          <w:b w:val="0"/>
          <w:bCs w:val="0"/>
          <w:color w:val="auto"/>
          <w:sz w:val="32"/>
          <w:szCs w:val="32"/>
        </w:rPr>
        <w:t xml:space="preserve">第二部分  </w:t>
      </w:r>
      <w:r>
        <w:rPr>
          <w:rFonts w:hint="default" w:ascii="黑体" w:hAnsi="ˎ̥" w:eastAsia="黑体"/>
          <w:b w:val="0"/>
          <w:bCs w:val="0"/>
          <w:color w:val="auto"/>
          <w:sz w:val="32"/>
          <w:szCs w:val="32"/>
          <w:lang w:val="en-US"/>
        </w:rPr>
        <w:t>2024</w:t>
      </w:r>
      <w:r>
        <w:rPr>
          <w:rFonts w:hint="eastAsia" w:ascii="黑体" w:hAnsi="ˎ̥" w:eastAsia="黑体"/>
          <w:b w:val="0"/>
          <w:bCs w:val="0"/>
          <w:color w:val="auto"/>
          <w:sz w:val="32"/>
          <w:szCs w:val="32"/>
        </w:rPr>
        <w:t>年度</w:t>
      </w:r>
      <w:r>
        <w:rPr>
          <w:rFonts w:hint="eastAsia" w:ascii="黑体" w:hAnsi="ˎ̥" w:eastAsia="黑体"/>
          <w:b w:val="0"/>
          <w:bCs w:val="0"/>
          <w:color w:val="auto"/>
          <w:sz w:val="32"/>
          <w:szCs w:val="32"/>
          <w:lang w:eastAsia="zh-CN"/>
        </w:rPr>
        <w:t>单位</w:t>
      </w:r>
      <w:r>
        <w:rPr>
          <w:rFonts w:hint="eastAsia" w:ascii="黑体" w:hAnsi="ˎ̥" w:eastAsia="黑体"/>
          <w:b w:val="0"/>
          <w:bCs w:val="0"/>
          <w:color w:val="auto"/>
          <w:sz w:val="32"/>
          <w:szCs w:val="32"/>
        </w:rPr>
        <w:t>决算公开表</w:t>
      </w:r>
      <w:r>
        <w:rPr>
          <w:b w:val="0"/>
          <w:bCs w:val="0"/>
          <w:color w:val="auto"/>
          <w:sz w:val="32"/>
          <w:szCs w:val="32"/>
        </w:rPr>
        <w:tab/>
      </w:r>
      <w:r>
        <w:rPr>
          <w:b w:val="0"/>
          <w:bCs w:val="0"/>
          <w:color w:val="auto"/>
          <w:sz w:val="32"/>
          <w:szCs w:val="32"/>
        </w:rPr>
        <w:fldChar w:fldCharType="end"/>
      </w:r>
      <w:r>
        <w:rPr>
          <w:rFonts w:hint="eastAsia"/>
          <w:b w:val="0"/>
          <w:bCs w:val="0"/>
          <w:color w:val="auto"/>
          <w:sz w:val="32"/>
          <w:szCs w:val="32"/>
        </w:rPr>
        <w:t>2</w:t>
      </w:r>
    </w:p>
    <w:p>
      <w:pPr>
        <w:pStyle w:val="15"/>
        <w:keepNext w:val="0"/>
        <w:keepLines w:val="0"/>
        <w:pageBreakBefore w:val="0"/>
        <w:tabs>
          <w:tab w:val="right" w:leader="dot" w:pos="8306"/>
        </w:tabs>
        <w:kinsoku/>
        <w:wordWrap/>
        <w:overflowPunct/>
        <w:topLinePunct w:val="0"/>
        <w:autoSpaceDE/>
        <w:autoSpaceDN/>
        <w:bidi w:val="0"/>
        <w:adjustRightInd/>
        <w:snapToGrid/>
        <w:spacing w:line="590" w:lineRule="exact"/>
        <w:textAlignment w:val="auto"/>
        <w:rPr>
          <w:rFonts w:hint="eastAsia"/>
          <w:b w:val="0"/>
          <w:bCs w:val="0"/>
          <w:color w:val="auto"/>
          <w:sz w:val="32"/>
          <w:szCs w:val="32"/>
        </w:rPr>
      </w:pPr>
      <w:r>
        <w:rPr>
          <w:b w:val="0"/>
          <w:bCs w:val="0"/>
          <w:color w:val="auto"/>
          <w:sz w:val="32"/>
          <w:szCs w:val="32"/>
        </w:rPr>
        <w:fldChar w:fldCharType="begin"/>
      </w:r>
      <w:r>
        <w:rPr>
          <w:b w:val="0"/>
          <w:bCs w:val="0"/>
          <w:color w:val="auto"/>
          <w:sz w:val="32"/>
          <w:szCs w:val="32"/>
        </w:rPr>
        <w:instrText xml:space="preserve"> HYPERLINK \l _Toc27590_WPSOffice_Level1 </w:instrText>
      </w:r>
      <w:r>
        <w:rPr>
          <w:b w:val="0"/>
          <w:bCs w:val="0"/>
          <w:color w:val="auto"/>
          <w:sz w:val="32"/>
          <w:szCs w:val="32"/>
        </w:rPr>
        <w:fldChar w:fldCharType="separate"/>
      </w:r>
      <w:r>
        <w:rPr>
          <w:rFonts w:hint="eastAsia" w:ascii="黑体" w:hAnsi="黑体" w:eastAsia="黑体" w:cs="黑体"/>
          <w:b w:val="0"/>
          <w:bCs w:val="0"/>
          <w:color w:val="auto"/>
          <w:sz w:val="32"/>
          <w:szCs w:val="32"/>
        </w:rPr>
        <w:t>第三部分</w:t>
      </w:r>
      <w:r>
        <w:rPr>
          <w:rFonts w:hint="eastAsia"/>
          <w:b w:val="0"/>
          <w:bCs w:val="0"/>
          <w:color w:val="auto"/>
          <w:sz w:val="32"/>
          <w:szCs w:val="32"/>
        </w:rPr>
        <w:t xml:space="preserve">  </w:t>
      </w:r>
      <w:r>
        <w:rPr>
          <w:rFonts w:hint="default" w:ascii="黑体" w:hAnsi="ˎ̥" w:eastAsia="黑体"/>
          <w:b w:val="0"/>
          <w:bCs w:val="0"/>
          <w:color w:val="auto"/>
          <w:sz w:val="32"/>
          <w:szCs w:val="32"/>
          <w:lang w:val="en-US"/>
        </w:rPr>
        <w:t>2024</w:t>
      </w:r>
      <w:r>
        <w:rPr>
          <w:rFonts w:hint="eastAsia" w:ascii="黑体" w:hAnsi="ˎ̥" w:eastAsia="黑体"/>
          <w:b w:val="0"/>
          <w:bCs w:val="0"/>
          <w:color w:val="auto"/>
          <w:sz w:val="32"/>
          <w:szCs w:val="32"/>
        </w:rPr>
        <w:t>年度</w:t>
      </w:r>
      <w:r>
        <w:rPr>
          <w:rFonts w:hint="eastAsia" w:ascii="黑体" w:hAnsi="ˎ̥" w:eastAsia="黑体"/>
          <w:b w:val="0"/>
          <w:bCs w:val="0"/>
          <w:color w:val="auto"/>
          <w:sz w:val="32"/>
          <w:szCs w:val="32"/>
          <w:lang w:eastAsia="zh-CN"/>
        </w:rPr>
        <w:t>单位</w:t>
      </w:r>
      <w:r>
        <w:rPr>
          <w:rFonts w:hint="eastAsia" w:ascii="黑体" w:hAnsi="ˎ̥" w:eastAsia="黑体"/>
          <w:b w:val="0"/>
          <w:bCs w:val="0"/>
          <w:color w:val="auto"/>
          <w:sz w:val="32"/>
          <w:szCs w:val="32"/>
        </w:rPr>
        <w:t>决算情况说明</w:t>
      </w:r>
      <w:r>
        <w:rPr>
          <w:b w:val="0"/>
          <w:bCs w:val="0"/>
          <w:color w:val="auto"/>
          <w:sz w:val="32"/>
          <w:szCs w:val="32"/>
        </w:rPr>
        <w:tab/>
      </w:r>
      <w:r>
        <w:rPr>
          <w:b w:val="0"/>
          <w:bCs w:val="0"/>
          <w:color w:val="auto"/>
          <w:sz w:val="32"/>
          <w:szCs w:val="32"/>
        </w:rPr>
        <w:fldChar w:fldCharType="end"/>
      </w:r>
      <w:r>
        <w:rPr>
          <w:rFonts w:hint="eastAsia"/>
          <w:b w:val="0"/>
          <w:bCs w:val="0"/>
          <w:color w:val="auto"/>
          <w:sz w:val="32"/>
          <w:szCs w:val="32"/>
        </w:rPr>
        <w:t>3</w:t>
      </w:r>
    </w:p>
    <w:p>
      <w:pPr>
        <w:pStyle w:val="16"/>
        <w:keepNext w:val="0"/>
        <w:keepLines w:val="0"/>
        <w:pageBreakBefore w:val="0"/>
        <w:tabs>
          <w:tab w:val="right" w:leader="dot" w:pos="8306"/>
        </w:tabs>
        <w:kinsoku/>
        <w:wordWrap/>
        <w:overflowPunct/>
        <w:topLinePunct w:val="0"/>
        <w:autoSpaceDE/>
        <w:autoSpaceDN/>
        <w:bidi w:val="0"/>
        <w:adjustRightInd/>
        <w:snapToGrid/>
        <w:spacing w:line="590" w:lineRule="exact"/>
        <w:ind w:leftChars="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 HYPERLINK \l _Toc21737_WPSOffice_Level2 </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rPr>
        <w:t>一、收入支出总体情况说明</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val="en-US" w:eastAsia="zh-CN"/>
        </w:rPr>
        <w:t>4</w:t>
      </w:r>
    </w:p>
    <w:p>
      <w:pPr>
        <w:pStyle w:val="16"/>
        <w:keepNext w:val="0"/>
        <w:keepLines w:val="0"/>
        <w:pageBreakBefore w:val="0"/>
        <w:tabs>
          <w:tab w:val="right" w:leader="dot" w:pos="8306"/>
        </w:tabs>
        <w:kinsoku/>
        <w:wordWrap/>
        <w:overflowPunct/>
        <w:topLinePunct w:val="0"/>
        <w:autoSpaceDE/>
        <w:autoSpaceDN/>
        <w:bidi w:val="0"/>
        <w:adjustRightInd/>
        <w:snapToGrid/>
        <w:spacing w:line="590" w:lineRule="exact"/>
        <w:ind w:leftChars="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 HYPERLINK \l _Toc19535_WPSOffice_Level2 </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rPr>
        <w:t>二、收入决算情况说明</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rPr>
        <w:t>4</w:t>
      </w:r>
    </w:p>
    <w:p>
      <w:pPr>
        <w:pStyle w:val="16"/>
        <w:keepNext w:val="0"/>
        <w:keepLines w:val="0"/>
        <w:pageBreakBefore w:val="0"/>
        <w:tabs>
          <w:tab w:val="right" w:leader="dot" w:pos="8306"/>
        </w:tabs>
        <w:kinsoku/>
        <w:wordWrap/>
        <w:overflowPunct/>
        <w:topLinePunct w:val="0"/>
        <w:autoSpaceDE/>
        <w:autoSpaceDN/>
        <w:bidi w:val="0"/>
        <w:adjustRightInd/>
        <w:snapToGrid/>
        <w:spacing w:line="590" w:lineRule="exact"/>
        <w:ind w:leftChars="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 HYPERLINK \l _Toc19535_WPSOffice_Level2 </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rPr>
        <w:t>三、支出决算情况说明</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rPr>
        <w:t>4</w:t>
      </w:r>
    </w:p>
    <w:p>
      <w:pPr>
        <w:pStyle w:val="16"/>
        <w:keepNext w:val="0"/>
        <w:keepLines w:val="0"/>
        <w:pageBreakBefore w:val="0"/>
        <w:tabs>
          <w:tab w:val="right" w:leader="dot" w:pos="8306"/>
        </w:tabs>
        <w:kinsoku/>
        <w:wordWrap/>
        <w:overflowPunct/>
        <w:topLinePunct w:val="0"/>
        <w:autoSpaceDE/>
        <w:autoSpaceDN/>
        <w:bidi w:val="0"/>
        <w:adjustRightInd/>
        <w:snapToGrid/>
        <w:spacing w:line="590" w:lineRule="exact"/>
        <w:ind w:leftChars="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 HYPERLINK \l _Toc19535_WPSOffice_Level2 </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rPr>
        <w:t>四、财政拨款收入支出决算</w:t>
      </w:r>
      <w:r>
        <w:rPr>
          <w:rFonts w:hint="eastAsia" w:ascii="仿宋" w:hAnsi="仿宋" w:eastAsia="仿宋" w:cs="仿宋"/>
          <w:b w:val="0"/>
          <w:bCs w:val="0"/>
          <w:color w:val="auto"/>
          <w:sz w:val="32"/>
          <w:szCs w:val="32"/>
          <w:lang w:val="en-US" w:eastAsia="zh-CN"/>
        </w:rPr>
        <w:t>总体</w:t>
      </w:r>
      <w:r>
        <w:rPr>
          <w:rFonts w:hint="eastAsia" w:ascii="仿宋" w:hAnsi="仿宋" w:eastAsia="仿宋" w:cs="仿宋"/>
          <w:b w:val="0"/>
          <w:bCs w:val="0"/>
          <w:color w:val="auto"/>
          <w:sz w:val="32"/>
          <w:szCs w:val="32"/>
        </w:rPr>
        <w:t>情况说明</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val="en-US" w:eastAsia="zh-CN"/>
        </w:rPr>
        <w:t>5</w:t>
      </w:r>
    </w:p>
    <w:p>
      <w:pPr>
        <w:pStyle w:val="16"/>
        <w:keepNext w:val="0"/>
        <w:keepLines w:val="0"/>
        <w:pageBreakBefore w:val="0"/>
        <w:tabs>
          <w:tab w:val="right" w:leader="dot" w:pos="8306"/>
        </w:tabs>
        <w:kinsoku/>
        <w:wordWrap/>
        <w:overflowPunct/>
        <w:topLinePunct w:val="0"/>
        <w:autoSpaceDE/>
        <w:autoSpaceDN/>
        <w:bidi w:val="0"/>
        <w:adjustRightInd/>
        <w:snapToGrid/>
        <w:spacing w:line="590" w:lineRule="exact"/>
        <w:ind w:leftChars="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 HYPERLINK \l _Toc19535_WPSOffice_Level2 </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rPr>
        <w:t>五、一般公共预算财政拨款支出决算情况说明</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rPr>
        <w:t>5</w:t>
      </w:r>
    </w:p>
    <w:p>
      <w:pPr>
        <w:pStyle w:val="16"/>
        <w:keepNext w:val="0"/>
        <w:keepLines w:val="0"/>
        <w:pageBreakBefore w:val="0"/>
        <w:tabs>
          <w:tab w:val="right" w:leader="dot" w:pos="8306"/>
        </w:tabs>
        <w:kinsoku/>
        <w:wordWrap/>
        <w:overflowPunct/>
        <w:topLinePunct w:val="0"/>
        <w:autoSpaceDE/>
        <w:autoSpaceDN/>
        <w:bidi w:val="0"/>
        <w:adjustRightInd/>
        <w:snapToGrid/>
        <w:spacing w:line="590" w:lineRule="exact"/>
        <w:ind w:leftChars="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 HYPERLINK \l _Toc19535_WPSOffice_Level2 </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rPr>
        <w:t>六、一般公共预算财政拨款基本支出决算情况说明</w:t>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t>6</w:t>
      </w:r>
    </w:p>
    <w:p>
      <w:pPr>
        <w:pStyle w:val="16"/>
        <w:keepNext w:val="0"/>
        <w:keepLines w:val="0"/>
        <w:pageBreakBefore w:val="0"/>
        <w:numPr>
          <w:ilvl w:val="0"/>
          <w:numId w:val="1"/>
        </w:numPr>
        <w:tabs>
          <w:tab w:val="right" w:leader="dot" w:pos="8306"/>
        </w:tabs>
        <w:kinsoku/>
        <w:wordWrap/>
        <w:overflowPunct/>
        <w:topLinePunct w:val="0"/>
        <w:autoSpaceDE/>
        <w:autoSpaceDN/>
        <w:bidi w:val="0"/>
        <w:adjustRightInd/>
        <w:snapToGrid/>
        <w:spacing w:line="590" w:lineRule="exact"/>
        <w:ind w:leftChars="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政府性基金预算财政拨款支出决算情况说明</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t>7</w:t>
      </w:r>
    </w:p>
    <w:p>
      <w:pPr>
        <w:pStyle w:val="16"/>
        <w:keepNext w:val="0"/>
        <w:keepLines w:val="0"/>
        <w:pageBreakBefore w:val="0"/>
        <w:numPr>
          <w:ilvl w:val="0"/>
          <w:numId w:val="1"/>
        </w:numPr>
        <w:tabs>
          <w:tab w:val="right" w:leader="dot" w:pos="8306"/>
        </w:tabs>
        <w:kinsoku/>
        <w:wordWrap/>
        <w:overflowPunct/>
        <w:topLinePunct w:val="0"/>
        <w:autoSpaceDE/>
        <w:autoSpaceDN/>
        <w:bidi w:val="0"/>
        <w:adjustRightInd/>
        <w:snapToGrid/>
        <w:spacing w:line="590" w:lineRule="exact"/>
        <w:ind w:leftChars="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国有资本经营预算财政拨款支出决算情况说明</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t>8</w:t>
      </w:r>
    </w:p>
    <w:p>
      <w:pPr>
        <w:pStyle w:val="16"/>
        <w:keepNext w:val="0"/>
        <w:keepLines w:val="0"/>
        <w:pageBreakBefore w:val="0"/>
        <w:tabs>
          <w:tab w:val="right" w:leader="dot" w:pos="8306"/>
        </w:tabs>
        <w:kinsoku/>
        <w:wordWrap/>
        <w:overflowPunct/>
        <w:topLinePunct w:val="0"/>
        <w:autoSpaceDE/>
        <w:autoSpaceDN/>
        <w:bidi w:val="0"/>
        <w:adjustRightInd/>
        <w:snapToGrid/>
        <w:spacing w:line="590" w:lineRule="exact"/>
        <w:ind w:leftChars="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 HYPERLINK \l _Toc19535_WPSOffice_Level2 </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rPr>
        <w:t>九、财政拨款“三公”经费支出决算情况说明</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val="en-US" w:eastAsia="zh-CN"/>
        </w:rPr>
        <w:t>8</w:t>
      </w:r>
    </w:p>
    <w:p>
      <w:pPr>
        <w:pStyle w:val="16"/>
        <w:keepNext w:val="0"/>
        <w:keepLines w:val="0"/>
        <w:pageBreakBefore w:val="0"/>
        <w:tabs>
          <w:tab w:val="right" w:leader="dot" w:pos="8306"/>
        </w:tabs>
        <w:kinsoku/>
        <w:wordWrap/>
        <w:overflowPunct/>
        <w:topLinePunct w:val="0"/>
        <w:autoSpaceDE/>
        <w:autoSpaceDN/>
        <w:bidi w:val="0"/>
        <w:adjustRightInd/>
        <w:snapToGrid/>
        <w:spacing w:line="590" w:lineRule="exact"/>
        <w:ind w:leftChars="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 HYPERLINK \l _Toc19535_WPSOffice_Level2 </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rPr>
        <w:t>十、预算绩效情况说明</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val="en-US" w:eastAsia="zh-CN"/>
        </w:rPr>
        <w:t>9</w:t>
      </w:r>
    </w:p>
    <w:p>
      <w:pPr>
        <w:pStyle w:val="16"/>
        <w:keepNext w:val="0"/>
        <w:keepLines w:val="0"/>
        <w:pageBreakBefore w:val="0"/>
        <w:tabs>
          <w:tab w:val="right" w:leader="dot" w:pos="8306"/>
        </w:tabs>
        <w:kinsoku/>
        <w:wordWrap/>
        <w:overflowPunct/>
        <w:topLinePunct w:val="0"/>
        <w:autoSpaceDE/>
        <w:autoSpaceDN/>
        <w:bidi w:val="0"/>
        <w:adjustRightInd/>
        <w:snapToGrid/>
        <w:spacing w:line="590" w:lineRule="exact"/>
        <w:ind w:leftChars="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rPr>
        <w:t>十一、其他重要事项情况说明</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lang w:val="en-US" w:eastAsia="zh-CN"/>
        </w:rPr>
        <w:t>9</w:t>
      </w:r>
    </w:p>
    <w:p>
      <w:pPr>
        <w:pStyle w:val="15"/>
        <w:keepNext w:val="0"/>
        <w:keepLines w:val="0"/>
        <w:pageBreakBefore w:val="0"/>
        <w:tabs>
          <w:tab w:val="right" w:leader="dot" w:pos="8306"/>
        </w:tabs>
        <w:kinsoku/>
        <w:wordWrap/>
        <w:overflowPunct/>
        <w:topLinePunct w:val="0"/>
        <w:autoSpaceDE/>
        <w:autoSpaceDN/>
        <w:bidi w:val="0"/>
        <w:adjustRightInd/>
        <w:snapToGrid/>
        <w:spacing w:line="590" w:lineRule="exact"/>
        <w:textAlignment w:val="auto"/>
        <w:rPr>
          <w:rFonts w:hint="eastAsia" w:ascii="黑体" w:hAnsi="ˎ̥" w:eastAsia="宋体"/>
          <w:b w:val="0"/>
          <w:bCs w:val="0"/>
          <w:color w:val="auto"/>
          <w:sz w:val="32"/>
          <w:szCs w:val="32"/>
          <w:lang w:val="en-US" w:eastAsia="zh-CN"/>
        </w:rPr>
      </w:pPr>
      <w:r>
        <w:rPr>
          <w:b w:val="0"/>
          <w:bCs w:val="0"/>
          <w:color w:val="auto"/>
          <w:sz w:val="32"/>
          <w:szCs w:val="32"/>
        </w:rPr>
        <w:fldChar w:fldCharType="begin"/>
      </w:r>
      <w:r>
        <w:rPr>
          <w:b w:val="0"/>
          <w:bCs w:val="0"/>
          <w:color w:val="auto"/>
          <w:sz w:val="32"/>
          <w:szCs w:val="32"/>
        </w:rPr>
        <w:instrText xml:space="preserve"> HYPERLINK \l _Toc15425_WPSOffice_Level1 </w:instrText>
      </w:r>
      <w:r>
        <w:rPr>
          <w:b w:val="0"/>
          <w:bCs w:val="0"/>
          <w:color w:val="auto"/>
          <w:sz w:val="32"/>
          <w:szCs w:val="32"/>
        </w:rPr>
        <w:fldChar w:fldCharType="separate"/>
      </w:r>
      <w:r>
        <w:rPr>
          <w:rFonts w:hint="eastAsia" w:ascii="黑体" w:hAnsi="ˎ̥" w:eastAsia="黑体"/>
          <w:b w:val="0"/>
          <w:bCs w:val="0"/>
          <w:color w:val="auto"/>
          <w:sz w:val="32"/>
          <w:szCs w:val="32"/>
        </w:rPr>
        <w:t>第四部分  名词解释</w:t>
      </w:r>
      <w:r>
        <w:rPr>
          <w:b w:val="0"/>
          <w:bCs w:val="0"/>
          <w:color w:val="auto"/>
          <w:sz w:val="32"/>
          <w:szCs w:val="32"/>
        </w:rPr>
        <w:tab/>
      </w:r>
      <w:bookmarkStart w:id="1" w:name="_Toc15425_WPSOffice_Level1Page"/>
      <w:r>
        <w:rPr>
          <w:b w:val="0"/>
          <w:bCs w:val="0"/>
          <w:color w:val="auto"/>
          <w:sz w:val="32"/>
          <w:szCs w:val="32"/>
        </w:rPr>
        <w:t>1</w:t>
      </w:r>
      <w:bookmarkEnd w:id="1"/>
      <w:r>
        <w:rPr>
          <w:b w:val="0"/>
          <w:bCs w:val="0"/>
          <w:color w:val="auto"/>
          <w:sz w:val="32"/>
          <w:szCs w:val="32"/>
        </w:rPr>
        <w:fldChar w:fldCharType="end"/>
      </w:r>
      <w:bookmarkEnd w:id="0"/>
      <w:bookmarkStart w:id="2" w:name="_Toc10049_WPSOffice_Level1"/>
      <w:bookmarkStart w:id="3" w:name="_Toc32433_WPSOffice_Level1"/>
      <w:bookmarkStart w:id="4" w:name="_Toc23465_WPSOffice_Level1"/>
      <w:bookmarkStart w:id="5" w:name="_Toc1704_WPSOffice_Level1"/>
      <w:bookmarkStart w:id="6" w:name="_Toc10720_WPSOffice_Level1"/>
      <w:bookmarkStart w:id="7" w:name="_Toc22941_WPSOffice_Level1"/>
      <w:bookmarkStart w:id="8" w:name="_Toc24238_WPSOffice_Level2"/>
      <w:bookmarkStart w:id="9" w:name="_Toc26580_WPSOffice_Level2"/>
      <w:bookmarkStart w:id="10" w:name="_Toc14159_WPSOffice_Level2"/>
      <w:bookmarkStart w:id="11" w:name="_Toc20274_WPSOffice_Level2"/>
      <w:bookmarkStart w:id="12" w:name="_Toc32622_WPSOffice_Level2"/>
      <w:bookmarkStart w:id="13" w:name="_Toc20205_WPSOffice_Level2"/>
      <w:r>
        <w:rPr>
          <w:rFonts w:hint="eastAsia"/>
          <w:b w:val="0"/>
          <w:bCs w:val="0"/>
          <w:color w:val="auto"/>
          <w:sz w:val="32"/>
          <w:szCs w:val="32"/>
          <w:lang w:val="en-US" w:eastAsia="zh-CN"/>
        </w:rPr>
        <w:t>0</w:t>
      </w:r>
    </w:p>
    <w:p>
      <w:pPr>
        <w:keepNext w:val="0"/>
        <w:keepLines w:val="0"/>
        <w:pageBreakBefore w:val="0"/>
        <w:kinsoku/>
        <w:wordWrap/>
        <w:overflowPunct/>
        <w:topLinePunct w:val="0"/>
        <w:autoSpaceDE/>
        <w:autoSpaceDN/>
        <w:bidi w:val="0"/>
        <w:adjustRightInd/>
        <w:snapToGrid/>
        <w:spacing w:line="590" w:lineRule="exact"/>
        <w:jc w:val="center"/>
        <w:textAlignment w:val="auto"/>
        <w:rPr>
          <w:rFonts w:hint="eastAsia" w:ascii="黑体" w:hAnsi="ˎ̥" w:eastAsia="黑体"/>
          <w:b w:val="0"/>
          <w:bCs w:val="0"/>
          <w:color w:val="auto"/>
          <w:sz w:val="32"/>
          <w:szCs w:val="32"/>
        </w:rPr>
      </w:pPr>
      <w:r>
        <w:rPr>
          <w:rFonts w:hint="eastAsia" w:ascii="黑体" w:hAnsi="ˎ̥" w:eastAsia="黑体"/>
          <w:b w:val="0"/>
          <w:bCs w:val="0"/>
          <w:color w:val="auto"/>
          <w:sz w:val="32"/>
          <w:szCs w:val="32"/>
        </w:rPr>
        <w:t xml:space="preserve">第一部分  </w:t>
      </w:r>
      <w:bookmarkEnd w:id="2"/>
      <w:bookmarkEnd w:id="3"/>
      <w:bookmarkEnd w:id="4"/>
      <w:bookmarkEnd w:id="5"/>
      <w:bookmarkEnd w:id="6"/>
      <w:bookmarkEnd w:id="7"/>
      <w:r>
        <w:rPr>
          <w:rFonts w:hint="eastAsia" w:ascii="黑体" w:hAnsi="ˎ̥" w:eastAsia="黑体"/>
          <w:b w:val="0"/>
          <w:bCs w:val="0"/>
          <w:color w:val="auto"/>
          <w:sz w:val="32"/>
          <w:szCs w:val="32"/>
        </w:rPr>
        <w:t>基本情况</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楷体" w:hAnsi="楷体" w:eastAsia="楷体" w:cs="楷体"/>
          <w:b w:val="0"/>
          <w:bCs w:val="0"/>
          <w:color w:val="auto"/>
          <w:sz w:val="32"/>
          <w:szCs w:val="32"/>
        </w:rPr>
      </w:pPr>
    </w:p>
    <w:bookmarkEnd w:id="8"/>
    <w:p>
      <w:pPr>
        <w:keepNext w:val="0"/>
        <w:keepLines w:val="0"/>
        <w:pageBreakBefore w:val="0"/>
        <w:numPr>
          <w:ilvl w:val="0"/>
          <w:numId w:val="2"/>
        </w:numPr>
        <w:kinsoku/>
        <w:wordWrap/>
        <w:overflowPunct/>
        <w:topLinePunct w:val="0"/>
        <w:autoSpaceDE/>
        <w:autoSpaceDN/>
        <w:bidi w:val="0"/>
        <w:adjustRightInd/>
        <w:snapToGrid/>
        <w:spacing w:line="590" w:lineRule="exact"/>
        <w:ind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单位职责</w:t>
      </w:r>
      <w:bookmarkEnd w:id="9"/>
      <w:bookmarkEnd w:id="10"/>
      <w:bookmarkEnd w:id="11"/>
      <w:bookmarkEnd w:id="12"/>
      <w:bookmarkEnd w:id="13"/>
    </w:p>
    <w:p>
      <w:pPr>
        <w:keepNext w:val="0"/>
        <w:keepLines w:val="0"/>
        <w:pageBreakBefore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 xml:space="preserve"> </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1.认真贯彻执行党和国家的有关法律法规、方针、政策，坚持民主管理，依法办园，执行上级主管</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的指示和决定。</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2.实行保育和教育相结合的原则，对幼儿实施体、智、德、美诸方面全面发展的教育，促进其身心和谐发展。为家长解除后顾之忧，热忱为家长服务。</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3.尊重儿童的人格尊严和基本权利，尊重儿童身心发展的特点和规律，为儿童提供健康、丰富的生活和活动环境。合理组织幼儿一日生活活动和其它活动，促进幼儿体智德美等和谐发展，全面实施素质教育。</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4.严格执行幼儿园安全、卫生保健制度，保证幼儿身心健康和生命安全。</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5.充分利用幼儿和社区的资源优势，面向家长开展多种形式的早期教育宣传、指导等服务，促进家庭教育质量的不断提高。</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黑体" w:hAnsi="黑体" w:eastAsia="黑体" w:cs="黑体"/>
          <w:b w:val="0"/>
          <w:bCs w:val="0"/>
          <w:color w:val="auto"/>
          <w:sz w:val="32"/>
          <w:szCs w:val="32"/>
        </w:rPr>
      </w:pPr>
      <w:r>
        <w:rPr>
          <w:rFonts w:hint="eastAsia" w:ascii="仿宋_GB2312" w:hAnsi="仿宋_GB2312" w:eastAsia="仿宋_GB2312" w:cs="仿宋_GB2312"/>
          <w:b w:val="0"/>
          <w:bCs w:val="0"/>
          <w:color w:val="auto"/>
          <w:sz w:val="32"/>
          <w:szCs w:val="32"/>
        </w:rPr>
        <w:t>6.贯彻幼儿教育法规、传播科学教育理念、开展教育科学研究、培训师资，发挥县示范性幼儿园的示范、辐射作用。</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黑体" w:hAnsi="黑体" w:eastAsia="黑体" w:cs="黑体"/>
          <w:b w:val="0"/>
          <w:bCs w:val="0"/>
          <w:color w:val="auto"/>
          <w:sz w:val="32"/>
          <w:szCs w:val="32"/>
        </w:rPr>
      </w:pPr>
      <w:bookmarkStart w:id="14" w:name="_Toc17796_WPSOffice_Level2"/>
      <w:bookmarkStart w:id="15" w:name="_Toc4833_WPSOffice_Level2"/>
      <w:bookmarkStart w:id="16" w:name="_Toc24059_WPSOffice_Level2"/>
      <w:bookmarkStart w:id="17" w:name="_Toc6572_WPSOffice_Level2"/>
      <w:bookmarkStart w:id="18" w:name="_Toc24474_WPSOffice_Level2"/>
      <w:r>
        <w:rPr>
          <w:rFonts w:hint="eastAsia" w:ascii="黑体" w:hAnsi="黑体" w:eastAsia="黑体" w:cs="黑体"/>
          <w:b w:val="0"/>
          <w:bCs w:val="0"/>
          <w:color w:val="auto"/>
          <w:sz w:val="32"/>
          <w:szCs w:val="32"/>
        </w:rPr>
        <w:t>二、机构设置</w:t>
      </w:r>
      <w:bookmarkEnd w:id="14"/>
      <w:bookmarkEnd w:id="15"/>
      <w:bookmarkEnd w:id="16"/>
      <w:bookmarkEnd w:id="17"/>
      <w:bookmarkEnd w:id="18"/>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屯昌县南坤镇加握幼儿园隶属屯昌县教育局，为财政预算管理事业单位。共有教职工</w:t>
      </w:r>
      <w:r>
        <w:rPr>
          <w:rFonts w:hint="eastAsia" w:ascii="仿宋_GB2312" w:hAnsi="仿宋_GB2312" w:eastAsia="仿宋_GB2312" w:cs="仿宋_GB2312"/>
          <w:b w:val="0"/>
          <w:bCs w:val="0"/>
          <w:color w:val="auto"/>
          <w:sz w:val="32"/>
          <w:szCs w:val="32"/>
          <w:lang w:val="en-US" w:eastAsia="zh-CN"/>
        </w:rPr>
        <w:t>24</w:t>
      </w:r>
      <w:r>
        <w:rPr>
          <w:rFonts w:hint="eastAsia" w:ascii="仿宋_GB2312" w:hAnsi="仿宋_GB2312" w:eastAsia="仿宋_GB2312" w:cs="仿宋_GB2312"/>
          <w:b w:val="0"/>
          <w:bCs w:val="0"/>
          <w:color w:val="auto"/>
          <w:sz w:val="32"/>
          <w:szCs w:val="32"/>
        </w:rPr>
        <w:t>人。事业编制人员</w:t>
      </w:r>
      <w:r>
        <w:rPr>
          <w:rFonts w:hint="eastAsia" w:ascii="仿宋_GB2312" w:hAnsi="仿宋_GB2312" w:eastAsia="仿宋_GB2312" w:cs="仿宋_GB2312"/>
          <w:b w:val="0"/>
          <w:bCs w:val="0"/>
          <w:color w:val="auto"/>
          <w:sz w:val="32"/>
          <w:szCs w:val="32"/>
          <w:lang w:val="en-US" w:eastAsia="zh-CN"/>
        </w:rPr>
        <w:t>6</w:t>
      </w:r>
      <w:r>
        <w:rPr>
          <w:rFonts w:hint="eastAsia" w:ascii="仿宋_GB2312" w:hAnsi="仿宋_GB2312" w:eastAsia="仿宋_GB2312" w:cs="仿宋_GB2312"/>
          <w:b w:val="0"/>
          <w:bCs w:val="0"/>
          <w:color w:val="auto"/>
          <w:sz w:val="32"/>
          <w:szCs w:val="32"/>
        </w:rPr>
        <w:t>人（调</w:t>
      </w:r>
      <w:r>
        <w:rPr>
          <w:rFonts w:hint="eastAsia" w:ascii="仿宋_GB2312" w:hAnsi="仿宋_GB2312" w:eastAsia="仿宋_GB2312" w:cs="仿宋_GB2312"/>
          <w:b w:val="0"/>
          <w:bCs w:val="0"/>
          <w:color w:val="auto"/>
          <w:sz w:val="32"/>
          <w:szCs w:val="32"/>
          <w:lang w:eastAsia="zh-CN"/>
        </w:rPr>
        <w:t>出</w:t>
      </w:r>
      <w:r>
        <w:rPr>
          <w:rFonts w:hint="eastAsia" w:ascii="仿宋_GB2312" w:hAnsi="仿宋_GB2312" w:eastAsia="仿宋_GB2312" w:cs="仿宋_GB2312"/>
          <w:b w:val="0"/>
          <w:bCs w:val="0"/>
          <w:color w:val="auto"/>
          <w:sz w:val="32"/>
          <w:szCs w:val="32"/>
        </w:rPr>
        <w:t>1人），临聘教师</w:t>
      </w:r>
      <w:r>
        <w:rPr>
          <w:rFonts w:hint="eastAsia" w:ascii="仿宋_GB2312" w:hAnsi="仿宋_GB2312" w:eastAsia="仿宋_GB2312" w:cs="仿宋_GB2312"/>
          <w:b w:val="0"/>
          <w:bCs w:val="0"/>
          <w:color w:val="auto"/>
          <w:sz w:val="32"/>
          <w:szCs w:val="32"/>
          <w:lang w:val="en-US" w:eastAsia="zh-CN"/>
        </w:rPr>
        <w:t>7</w:t>
      </w:r>
      <w:r>
        <w:rPr>
          <w:rFonts w:hint="eastAsia" w:ascii="仿宋_GB2312" w:hAnsi="仿宋_GB2312" w:eastAsia="仿宋_GB2312" w:cs="仿宋_GB2312"/>
          <w:b w:val="0"/>
          <w:bCs w:val="0"/>
          <w:color w:val="auto"/>
          <w:sz w:val="32"/>
          <w:szCs w:val="32"/>
        </w:rPr>
        <w:t>人，临聘保育员</w:t>
      </w: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rPr>
        <w:t>人，公益性岗位1人，</w:t>
      </w:r>
      <w:r>
        <w:rPr>
          <w:rFonts w:hint="eastAsia" w:ascii="仿宋_GB2312" w:hAnsi="仿宋_GB2312" w:eastAsia="仿宋_GB2312" w:cs="仿宋_GB2312"/>
          <w:b w:val="0"/>
          <w:bCs w:val="0"/>
          <w:color w:val="auto"/>
          <w:sz w:val="32"/>
          <w:szCs w:val="32"/>
          <w:lang w:eastAsia="zh-CN"/>
        </w:rPr>
        <w:t>后勤</w:t>
      </w:r>
      <w:r>
        <w:rPr>
          <w:rFonts w:hint="eastAsia" w:ascii="仿宋_GB2312" w:hAnsi="仿宋_GB2312" w:eastAsia="仿宋_GB2312" w:cs="仿宋_GB2312"/>
          <w:b w:val="0"/>
          <w:bCs w:val="0"/>
          <w:color w:val="auto"/>
          <w:sz w:val="32"/>
          <w:szCs w:val="32"/>
        </w:rPr>
        <w:t>人员5人。</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2.纳入屯昌县南坤镇加握幼儿园202</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年度</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决算编制范围的二级预算单位包括：</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屯昌县南坤镇加握幼儿园本级</w:t>
      </w:r>
      <w:bookmarkStart w:id="19" w:name="_Toc15521_WPSOffice_Level1"/>
      <w:bookmarkStart w:id="20" w:name="_Toc30690_WPSOffice_Level1"/>
      <w:bookmarkStart w:id="21" w:name="_Toc8164_WPSOffice_Level1"/>
      <w:bookmarkStart w:id="22" w:name="_Toc30451_WPSOffice_Level1"/>
      <w:bookmarkStart w:id="23" w:name="_Toc28253_WPSOffice_Level1"/>
      <w:bookmarkStart w:id="24" w:name="_Toc6234_WPSOffice_Level1"/>
      <w:bookmarkStart w:id="25" w:name="_Toc11518_WPSOffice_Level2"/>
      <w:bookmarkStart w:id="26" w:name="_Toc6211_WPSOffice_Level2"/>
      <w:bookmarkStart w:id="27" w:name="_Toc32472_WPSOffice_Level2"/>
      <w:bookmarkStart w:id="28" w:name="_Toc32695_WPSOffice_Level2"/>
      <w:bookmarkStart w:id="29" w:name="_Toc4029_WPSOffice_Level2"/>
      <w:bookmarkStart w:id="30" w:name="_Toc8867_WPSOffice_Level2"/>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p>
    <w:p>
      <w:pPr>
        <w:keepNext w:val="0"/>
        <w:keepLines w:val="0"/>
        <w:pageBreakBefore w:val="0"/>
        <w:kinsoku/>
        <w:wordWrap/>
        <w:overflowPunct/>
        <w:topLinePunct w:val="0"/>
        <w:autoSpaceDE/>
        <w:autoSpaceDN/>
        <w:bidi w:val="0"/>
        <w:adjustRightInd/>
        <w:snapToGrid/>
        <w:spacing w:line="590" w:lineRule="exact"/>
        <w:jc w:val="center"/>
        <w:textAlignment w:val="auto"/>
        <w:rPr>
          <w:rFonts w:hint="eastAsia" w:ascii="黑体" w:hAnsi="ˎ̥" w:eastAsia="黑体"/>
          <w:b w:val="0"/>
          <w:bCs w:val="0"/>
          <w:color w:val="auto"/>
          <w:sz w:val="32"/>
          <w:szCs w:val="32"/>
        </w:rPr>
      </w:pPr>
      <w:r>
        <w:rPr>
          <w:rFonts w:hint="eastAsia" w:ascii="黑体" w:hAnsi="ˎ̥" w:eastAsia="黑体"/>
          <w:b w:val="0"/>
          <w:bCs w:val="0"/>
          <w:color w:val="auto"/>
          <w:sz w:val="32"/>
          <w:szCs w:val="32"/>
        </w:rPr>
        <w:t xml:space="preserve">第二部分  </w:t>
      </w:r>
      <w:r>
        <w:rPr>
          <w:rFonts w:hint="default" w:ascii="黑体" w:hAnsi="ˎ̥" w:eastAsia="黑体"/>
          <w:b w:val="0"/>
          <w:bCs w:val="0"/>
          <w:color w:val="auto"/>
          <w:sz w:val="32"/>
          <w:szCs w:val="32"/>
          <w:lang w:val="en-US"/>
        </w:rPr>
        <w:t>2024</w:t>
      </w:r>
      <w:r>
        <w:rPr>
          <w:rFonts w:hint="eastAsia" w:ascii="黑体" w:hAnsi="ˎ̥" w:eastAsia="黑体"/>
          <w:b w:val="0"/>
          <w:bCs w:val="0"/>
          <w:color w:val="auto"/>
          <w:sz w:val="32"/>
          <w:szCs w:val="32"/>
        </w:rPr>
        <w:t>年度</w:t>
      </w:r>
      <w:r>
        <w:rPr>
          <w:rFonts w:hint="eastAsia" w:ascii="黑体" w:hAnsi="ˎ̥" w:eastAsia="黑体"/>
          <w:b w:val="0"/>
          <w:bCs w:val="0"/>
          <w:color w:val="auto"/>
          <w:sz w:val="32"/>
          <w:szCs w:val="32"/>
          <w:lang w:eastAsia="zh-CN"/>
        </w:rPr>
        <w:t>单位</w:t>
      </w:r>
      <w:r>
        <w:rPr>
          <w:rFonts w:hint="eastAsia" w:ascii="黑体" w:hAnsi="ˎ̥" w:eastAsia="黑体"/>
          <w:b w:val="0"/>
          <w:bCs w:val="0"/>
          <w:color w:val="auto"/>
          <w:sz w:val="32"/>
          <w:szCs w:val="32"/>
        </w:rPr>
        <w:t>决算公开报表</w:t>
      </w:r>
      <w:bookmarkEnd w:id="19"/>
      <w:bookmarkEnd w:id="20"/>
      <w:bookmarkEnd w:id="21"/>
      <w:bookmarkEnd w:id="22"/>
      <w:bookmarkEnd w:id="23"/>
      <w:bookmarkEnd w:id="24"/>
    </w:p>
    <w:p>
      <w:pPr>
        <w:keepNext w:val="0"/>
        <w:keepLines w:val="0"/>
        <w:pageBreakBefore w:val="0"/>
        <w:kinsoku/>
        <w:wordWrap/>
        <w:overflowPunct/>
        <w:topLinePunct w:val="0"/>
        <w:autoSpaceDE/>
        <w:autoSpaceDN/>
        <w:bidi w:val="0"/>
        <w:adjustRightInd/>
        <w:snapToGrid/>
        <w:spacing w:line="590" w:lineRule="exact"/>
        <w:ind w:firstLine="645"/>
        <w:textAlignment w:val="auto"/>
        <w:rPr>
          <w:rFonts w:hint="eastAsia" w:ascii="黑体" w:hAnsi="黑体" w:eastAsia="黑体" w:cs="黑体"/>
          <w:b w:val="0"/>
          <w:bCs w:val="0"/>
          <w:color w:val="auto"/>
          <w:sz w:val="32"/>
          <w:szCs w:val="32"/>
        </w:rPr>
      </w:pPr>
    </w:p>
    <w:p>
      <w:pPr>
        <w:keepNext w:val="0"/>
        <w:keepLines w:val="0"/>
        <w:pageBreakBefore w:val="0"/>
        <w:kinsoku/>
        <w:wordWrap/>
        <w:overflowPunct/>
        <w:topLinePunct w:val="0"/>
        <w:autoSpaceDE/>
        <w:autoSpaceDN/>
        <w:bidi w:val="0"/>
        <w:adjustRightInd/>
        <w:snapToGrid/>
        <w:spacing w:line="590" w:lineRule="exact"/>
        <w:ind w:firstLine="645"/>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一、收入支出决算公开表</w:t>
      </w:r>
      <w:bookmarkEnd w:id="25"/>
      <w:bookmarkEnd w:id="26"/>
      <w:bookmarkEnd w:id="27"/>
      <w:bookmarkEnd w:id="28"/>
      <w:bookmarkEnd w:id="29"/>
      <w:bookmarkEnd w:id="30"/>
    </w:p>
    <w:p>
      <w:pPr>
        <w:keepNext w:val="0"/>
        <w:keepLines w:val="0"/>
        <w:pageBreakBefore w:val="0"/>
        <w:kinsoku/>
        <w:wordWrap/>
        <w:overflowPunct/>
        <w:topLinePunct w:val="0"/>
        <w:autoSpaceDE/>
        <w:autoSpaceDN/>
        <w:bidi w:val="0"/>
        <w:adjustRightInd/>
        <w:snapToGrid/>
        <w:spacing w:line="590" w:lineRule="exact"/>
        <w:ind w:firstLine="645"/>
        <w:textAlignment w:val="auto"/>
        <w:rPr>
          <w:rFonts w:hint="eastAsia" w:ascii="黑体" w:hAnsi="黑体" w:eastAsia="黑体" w:cs="黑体"/>
          <w:b w:val="0"/>
          <w:bCs w:val="0"/>
          <w:color w:val="auto"/>
          <w:sz w:val="32"/>
          <w:szCs w:val="32"/>
        </w:rPr>
      </w:pPr>
      <w:bookmarkStart w:id="31" w:name="_Toc26621_WPSOffice_Level2"/>
      <w:bookmarkStart w:id="32" w:name="_Toc25608_WPSOffice_Level2"/>
      <w:bookmarkStart w:id="33" w:name="_Toc14349_WPSOffice_Level2"/>
      <w:bookmarkStart w:id="34" w:name="_Toc30334_WPSOffice_Level2"/>
      <w:bookmarkStart w:id="35" w:name="_Toc23139_WPSOffice_Level2"/>
      <w:bookmarkStart w:id="36" w:name="_Toc28622_WPSOffice_Level2"/>
      <w:r>
        <w:rPr>
          <w:rFonts w:hint="eastAsia" w:ascii="黑体" w:hAnsi="黑体" w:eastAsia="黑体" w:cs="黑体"/>
          <w:b w:val="0"/>
          <w:bCs w:val="0"/>
          <w:color w:val="auto"/>
          <w:sz w:val="32"/>
          <w:szCs w:val="32"/>
        </w:rPr>
        <w:t>二、收入决算公开表</w:t>
      </w:r>
      <w:bookmarkEnd w:id="31"/>
      <w:bookmarkEnd w:id="32"/>
      <w:bookmarkEnd w:id="33"/>
      <w:bookmarkEnd w:id="34"/>
      <w:bookmarkEnd w:id="35"/>
      <w:bookmarkEnd w:id="36"/>
      <w:bookmarkStart w:id="37" w:name="_Toc13854_WPSOffice_Level2"/>
      <w:bookmarkStart w:id="38" w:name="_Toc17626_WPSOffice_Level2"/>
      <w:bookmarkStart w:id="39" w:name="_Toc14658_WPSOffice_Level2"/>
      <w:bookmarkStart w:id="40" w:name="_Toc3262_WPSOffice_Level2"/>
      <w:bookmarkStart w:id="41" w:name="_Toc17858_WPSOffice_Level2"/>
      <w:bookmarkStart w:id="42" w:name="_Toc5489_WPSOffice_Level2"/>
    </w:p>
    <w:p>
      <w:pPr>
        <w:keepNext w:val="0"/>
        <w:keepLines w:val="0"/>
        <w:pageBreakBefore w:val="0"/>
        <w:kinsoku/>
        <w:wordWrap/>
        <w:overflowPunct/>
        <w:topLinePunct w:val="0"/>
        <w:autoSpaceDE/>
        <w:autoSpaceDN/>
        <w:bidi w:val="0"/>
        <w:adjustRightInd/>
        <w:snapToGrid/>
        <w:spacing w:line="590" w:lineRule="exact"/>
        <w:ind w:firstLine="645"/>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三、支出决算公开表</w:t>
      </w:r>
      <w:bookmarkEnd w:id="37"/>
      <w:bookmarkEnd w:id="38"/>
      <w:bookmarkEnd w:id="39"/>
      <w:bookmarkEnd w:id="40"/>
      <w:bookmarkEnd w:id="41"/>
      <w:bookmarkEnd w:id="42"/>
      <w:bookmarkStart w:id="43" w:name="_Toc23493_WPSOffice_Level2"/>
      <w:bookmarkStart w:id="44" w:name="_Toc13701_WPSOffice_Level2"/>
      <w:bookmarkStart w:id="45" w:name="_Toc4265_WPSOffice_Level2"/>
      <w:bookmarkStart w:id="46" w:name="_Toc21415_WPSOffice_Level2"/>
      <w:bookmarkStart w:id="47" w:name="_Toc7988_WPSOffice_Level2"/>
      <w:bookmarkStart w:id="48" w:name="_Toc23591_WPSOffice_Level2"/>
    </w:p>
    <w:p>
      <w:pPr>
        <w:keepNext w:val="0"/>
        <w:keepLines w:val="0"/>
        <w:pageBreakBefore w:val="0"/>
        <w:kinsoku/>
        <w:wordWrap/>
        <w:overflowPunct/>
        <w:topLinePunct w:val="0"/>
        <w:autoSpaceDE/>
        <w:autoSpaceDN/>
        <w:bidi w:val="0"/>
        <w:adjustRightInd/>
        <w:snapToGrid/>
        <w:spacing w:line="590" w:lineRule="exact"/>
        <w:ind w:firstLine="645"/>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四、财政拨款收入支出决算公开表</w:t>
      </w:r>
      <w:bookmarkEnd w:id="43"/>
      <w:bookmarkEnd w:id="44"/>
      <w:bookmarkEnd w:id="45"/>
      <w:bookmarkEnd w:id="46"/>
      <w:bookmarkEnd w:id="47"/>
      <w:bookmarkEnd w:id="48"/>
    </w:p>
    <w:p>
      <w:pPr>
        <w:keepNext w:val="0"/>
        <w:keepLines w:val="0"/>
        <w:pageBreakBefore w:val="0"/>
        <w:kinsoku/>
        <w:wordWrap/>
        <w:overflowPunct/>
        <w:topLinePunct w:val="0"/>
        <w:autoSpaceDE/>
        <w:autoSpaceDN/>
        <w:bidi w:val="0"/>
        <w:adjustRightInd/>
        <w:snapToGrid/>
        <w:spacing w:line="590" w:lineRule="exact"/>
        <w:ind w:firstLine="645"/>
        <w:textAlignment w:val="auto"/>
        <w:rPr>
          <w:rFonts w:hint="eastAsia" w:ascii="黑体" w:hAnsi="黑体" w:eastAsia="黑体" w:cs="黑体"/>
          <w:b w:val="0"/>
          <w:bCs w:val="0"/>
          <w:color w:val="auto"/>
          <w:sz w:val="32"/>
          <w:szCs w:val="32"/>
        </w:rPr>
      </w:pPr>
      <w:bookmarkStart w:id="49" w:name="_Toc22783_WPSOffice_Level2"/>
      <w:bookmarkStart w:id="50" w:name="_Toc7879_WPSOffice_Level2"/>
      <w:bookmarkStart w:id="51" w:name="_Toc25166_WPSOffice_Level2"/>
      <w:bookmarkStart w:id="52" w:name="_Toc23829_WPSOffice_Level2"/>
      <w:bookmarkStart w:id="53" w:name="_Toc13516_WPSOffice_Level2"/>
      <w:bookmarkStart w:id="54" w:name="_Toc2158_WPSOffice_Level2"/>
      <w:r>
        <w:rPr>
          <w:rFonts w:hint="eastAsia" w:ascii="黑体" w:hAnsi="黑体" w:eastAsia="黑体" w:cs="黑体"/>
          <w:b w:val="0"/>
          <w:bCs w:val="0"/>
          <w:color w:val="auto"/>
          <w:sz w:val="32"/>
          <w:szCs w:val="32"/>
        </w:rPr>
        <w:t>五、一般公共预算财政拨款收入支出决算</w:t>
      </w:r>
      <w:bookmarkEnd w:id="49"/>
      <w:bookmarkEnd w:id="50"/>
      <w:bookmarkEnd w:id="51"/>
      <w:bookmarkEnd w:id="52"/>
      <w:r>
        <w:rPr>
          <w:rFonts w:hint="eastAsia" w:ascii="黑体" w:hAnsi="黑体" w:eastAsia="黑体" w:cs="黑体"/>
          <w:b w:val="0"/>
          <w:bCs w:val="0"/>
          <w:color w:val="auto"/>
          <w:sz w:val="32"/>
          <w:szCs w:val="32"/>
        </w:rPr>
        <w:t>公开表</w:t>
      </w:r>
      <w:bookmarkEnd w:id="53"/>
      <w:bookmarkEnd w:id="54"/>
      <w:bookmarkStart w:id="55" w:name="_Toc17283_WPSOffice_Level2"/>
      <w:bookmarkStart w:id="56" w:name="_Toc25362_WPSOffice_Level2"/>
      <w:bookmarkStart w:id="57" w:name="_Toc8373_WPSOffice_Level2"/>
      <w:bookmarkStart w:id="58" w:name="_Toc17833_WPSOffice_Level2"/>
      <w:bookmarkStart w:id="59" w:name="_Toc5343_WPSOffice_Level2"/>
      <w:bookmarkStart w:id="60" w:name="_Toc2632_WPSOffice_Level2"/>
    </w:p>
    <w:p>
      <w:pPr>
        <w:keepNext w:val="0"/>
        <w:keepLines w:val="0"/>
        <w:pageBreakBefore w:val="0"/>
        <w:kinsoku/>
        <w:wordWrap/>
        <w:overflowPunct/>
        <w:topLinePunct w:val="0"/>
        <w:autoSpaceDE/>
        <w:autoSpaceDN/>
        <w:bidi w:val="0"/>
        <w:adjustRightInd/>
        <w:snapToGrid/>
        <w:spacing w:line="590" w:lineRule="exact"/>
        <w:ind w:firstLine="645"/>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b w:val="0"/>
          <w:bCs w:val="0"/>
          <w:color w:val="auto"/>
          <w:sz w:val="32"/>
          <w:szCs w:val="32"/>
        </w:rPr>
        <w:t>公开表</w:t>
      </w:r>
    </w:p>
    <w:p>
      <w:pPr>
        <w:keepNext w:val="0"/>
        <w:keepLines w:val="0"/>
        <w:pageBreakBefore w:val="0"/>
        <w:kinsoku/>
        <w:wordWrap/>
        <w:overflowPunct/>
        <w:topLinePunct w:val="0"/>
        <w:autoSpaceDE/>
        <w:autoSpaceDN/>
        <w:bidi w:val="0"/>
        <w:adjustRightInd/>
        <w:snapToGrid/>
        <w:spacing w:line="590" w:lineRule="exact"/>
        <w:ind w:left="1118" w:leftChars="304" w:hanging="480" w:hangingChars="150"/>
        <w:textAlignment w:val="auto"/>
        <w:rPr>
          <w:rFonts w:hint="eastAsia" w:ascii="黑体" w:hAnsi="黑体" w:eastAsia="黑体" w:cs="黑体"/>
          <w:b w:val="0"/>
          <w:bCs w:val="0"/>
          <w:color w:val="auto"/>
          <w:sz w:val="32"/>
          <w:szCs w:val="32"/>
        </w:rPr>
      </w:pPr>
      <w:bookmarkStart w:id="61" w:name="_Toc13345_WPSOffice_Level2"/>
      <w:bookmarkStart w:id="62" w:name="_Toc6020_WPSOffice_Level2"/>
      <w:bookmarkStart w:id="63" w:name="_Toc21310_WPSOffice_Level2"/>
      <w:bookmarkStart w:id="64" w:name="_Toc5594_WPSOffice_Level2"/>
      <w:bookmarkStart w:id="65" w:name="_Toc11799_WPSOffice_Level2"/>
      <w:bookmarkStart w:id="66" w:name="_Toc1533_WPSOffice_Level2"/>
      <w:r>
        <w:rPr>
          <w:rFonts w:hint="eastAsia" w:ascii="黑体" w:hAnsi="黑体" w:eastAsia="黑体" w:cs="黑体"/>
          <w:b w:val="0"/>
          <w:bCs w:val="0"/>
          <w:color w:val="auto"/>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b w:val="0"/>
          <w:bCs w:val="0"/>
          <w:color w:val="auto"/>
          <w:sz w:val="32"/>
          <w:szCs w:val="32"/>
        </w:rPr>
        <w:t>公开表</w:t>
      </w:r>
    </w:p>
    <w:p>
      <w:pPr>
        <w:keepNext w:val="0"/>
        <w:keepLines w:val="0"/>
        <w:pageBreakBefore w:val="0"/>
        <w:kinsoku/>
        <w:wordWrap/>
        <w:overflowPunct/>
        <w:topLinePunct w:val="0"/>
        <w:autoSpaceDE/>
        <w:autoSpaceDN/>
        <w:bidi w:val="0"/>
        <w:adjustRightInd/>
        <w:snapToGrid/>
        <w:spacing w:line="590" w:lineRule="exact"/>
        <w:ind w:left="1118" w:leftChars="304" w:hanging="480" w:hangingChars="15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八、国有资本经营预算财政拨款收入支出决算公开表</w:t>
      </w:r>
    </w:p>
    <w:p>
      <w:pPr>
        <w:keepNext w:val="0"/>
        <w:keepLines w:val="0"/>
        <w:pageBreakBefore w:val="0"/>
        <w:kinsoku/>
        <w:wordWrap/>
        <w:overflowPunct/>
        <w:topLinePunct w:val="0"/>
        <w:autoSpaceDE/>
        <w:autoSpaceDN/>
        <w:bidi w:val="0"/>
        <w:adjustRightInd/>
        <w:snapToGrid/>
        <w:spacing w:line="590" w:lineRule="exact"/>
        <w:ind w:firstLine="640"/>
        <w:textAlignment w:val="auto"/>
        <w:rPr>
          <w:rFonts w:hint="eastAsia" w:ascii="黑体" w:hAnsi="黑体" w:eastAsia="黑体" w:cs="黑体"/>
          <w:b w:val="0"/>
          <w:bCs w:val="0"/>
          <w:color w:val="auto"/>
          <w:sz w:val="32"/>
          <w:szCs w:val="32"/>
        </w:rPr>
      </w:pPr>
      <w:bookmarkStart w:id="67" w:name="_Toc29886_WPSOffice_Level2"/>
      <w:bookmarkStart w:id="68" w:name="_Toc9377_WPSOffice_Level2"/>
      <w:bookmarkStart w:id="69" w:name="_Toc19961_WPSOffice_Level2"/>
      <w:bookmarkStart w:id="70" w:name="_Toc1820_WPSOffice_Level2"/>
      <w:r>
        <w:rPr>
          <w:rFonts w:hint="eastAsia" w:ascii="黑体" w:hAnsi="黑体" w:eastAsia="黑体" w:cs="黑体"/>
          <w:b w:val="0"/>
          <w:bCs w:val="0"/>
          <w:color w:val="auto"/>
          <w:sz w:val="32"/>
          <w:szCs w:val="32"/>
        </w:rPr>
        <w:t>九、财政拨款“三公”经费支出决算</w:t>
      </w:r>
      <w:bookmarkEnd w:id="67"/>
      <w:bookmarkEnd w:id="68"/>
      <w:bookmarkEnd w:id="69"/>
      <w:bookmarkEnd w:id="70"/>
      <w:r>
        <w:rPr>
          <w:rFonts w:hint="eastAsia" w:ascii="黑体" w:hAnsi="黑体" w:eastAsia="黑体" w:cs="黑体"/>
          <w:b w:val="0"/>
          <w:bCs w:val="0"/>
          <w:color w:val="auto"/>
          <w:sz w:val="32"/>
          <w:szCs w:val="32"/>
        </w:rPr>
        <w:t>公开表</w:t>
      </w:r>
    </w:p>
    <w:p>
      <w:pPr>
        <w:keepNext w:val="0"/>
        <w:keepLines w:val="0"/>
        <w:pageBreakBefore w:val="0"/>
        <w:kinsoku/>
        <w:wordWrap/>
        <w:overflowPunct/>
        <w:topLinePunct w:val="0"/>
        <w:autoSpaceDE/>
        <w:autoSpaceDN/>
        <w:bidi w:val="0"/>
        <w:adjustRightInd/>
        <w:snapToGrid/>
        <w:spacing w:line="590" w:lineRule="exact"/>
        <w:ind w:firstLine="640"/>
        <w:textAlignment w:val="auto"/>
        <w:rPr>
          <w:rFonts w:hint="eastAsia" w:ascii="仿宋" w:hAnsi="仿宋" w:eastAsia="仿宋" w:cs="仿宋"/>
          <w:b w:val="0"/>
          <w:bCs w:val="0"/>
          <w:color w:val="auto"/>
          <w:w w:val="100"/>
          <w:sz w:val="32"/>
          <w:szCs w:val="32"/>
        </w:rPr>
      </w:pPr>
      <w:r>
        <w:rPr>
          <w:rFonts w:hint="eastAsia" w:ascii="仿宋" w:hAnsi="仿宋" w:eastAsia="仿宋" w:cs="仿宋"/>
          <w:b w:val="0"/>
          <w:bCs w:val="0"/>
          <w:color w:val="auto"/>
          <w:w w:val="100"/>
          <w:sz w:val="32"/>
          <w:szCs w:val="32"/>
        </w:rPr>
        <w:t xml:space="preserve">以上报表见附件1。   </w:t>
      </w:r>
    </w:p>
    <w:p>
      <w:pPr>
        <w:keepNext w:val="0"/>
        <w:keepLines w:val="0"/>
        <w:pageBreakBefore w:val="0"/>
        <w:kinsoku/>
        <w:wordWrap/>
        <w:overflowPunct/>
        <w:topLinePunct w:val="0"/>
        <w:autoSpaceDE/>
        <w:autoSpaceDN/>
        <w:bidi w:val="0"/>
        <w:adjustRightInd/>
        <w:snapToGrid/>
        <w:spacing w:line="590" w:lineRule="exact"/>
        <w:textAlignment w:val="auto"/>
        <w:rPr>
          <w:rFonts w:hint="eastAsia" w:ascii="黑体" w:hAnsi="黑体" w:eastAsia="黑体" w:cs="黑体"/>
          <w:b w:val="0"/>
          <w:bCs w:val="0"/>
          <w:color w:val="auto"/>
          <w:sz w:val="32"/>
          <w:szCs w:val="32"/>
        </w:rPr>
      </w:pPr>
    </w:p>
    <w:p>
      <w:pPr>
        <w:keepNext w:val="0"/>
        <w:keepLines w:val="0"/>
        <w:pageBreakBefore w:val="0"/>
        <w:kinsoku/>
        <w:wordWrap/>
        <w:overflowPunct/>
        <w:topLinePunct w:val="0"/>
        <w:autoSpaceDE/>
        <w:autoSpaceDN/>
        <w:bidi w:val="0"/>
        <w:adjustRightInd/>
        <w:snapToGrid/>
        <w:spacing w:line="590" w:lineRule="exact"/>
        <w:jc w:val="center"/>
        <w:textAlignment w:val="auto"/>
        <w:rPr>
          <w:rFonts w:hint="eastAsia" w:ascii="黑体" w:hAnsi="ˎ̥" w:eastAsia="黑体"/>
          <w:b w:val="0"/>
          <w:bCs w:val="0"/>
          <w:color w:val="auto"/>
          <w:sz w:val="32"/>
          <w:szCs w:val="32"/>
        </w:rPr>
      </w:pPr>
      <w:bookmarkStart w:id="71" w:name="_Toc28629_WPSOffice_Level1"/>
      <w:bookmarkStart w:id="72" w:name="_Toc27590_WPSOffice_Level1"/>
      <w:bookmarkStart w:id="73" w:name="_Toc29683_WPSOffice_Level1"/>
      <w:bookmarkStart w:id="74" w:name="_Toc4402_WPSOffice_Level1"/>
      <w:bookmarkStart w:id="75" w:name="_Toc16686_WPSOffice_Level1"/>
      <w:bookmarkStart w:id="76" w:name="_Toc31264_WPSOffice_Level1"/>
      <w:r>
        <w:rPr>
          <w:rFonts w:hint="eastAsia" w:ascii="黑体" w:hAnsi="ˎ̥" w:eastAsia="黑体"/>
          <w:b w:val="0"/>
          <w:bCs w:val="0"/>
          <w:color w:val="auto"/>
          <w:sz w:val="32"/>
          <w:szCs w:val="32"/>
        </w:rPr>
        <w:t xml:space="preserve">第三部分  </w:t>
      </w:r>
      <w:r>
        <w:rPr>
          <w:rFonts w:hint="default" w:ascii="黑体" w:hAnsi="ˎ̥" w:eastAsia="黑体"/>
          <w:b w:val="0"/>
          <w:bCs w:val="0"/>
          <w:color w:val="auto"/>
          <w:sz w:val="32"/>
          <w:szCs w:val="32"/>
          <w:lang w:val="en-US"/>
        </w:rPr>
        <w:t>2024</w:t>
      </w:r>
      <w:r>
        <w:rPr>
          <w:rFonts w:hint="eastAsia" w:ascii="黑体" w:hAnsi="ˎ̥" w:eastAsia="黑体"/>
          <w:b w:val="0"/>
          <w:bCs w:val="0"/>
          <w:color w:val="auto"/>
          <w:sz w:val="32"/>
          <w:szCs w:val="32"/>
        </w:rPr>
        <w:t>年度</w:t>
      </w:r>
      <w:r>
        <w:rPr>
          <w:rFonts w:hint="eastAsia" w:ascii="黑体" w:hAnsi="ˎ̥" w:eastAsia="黑体"/>
          <w:b w:val="0"/>
          <w:bCs w:val="0"/>
          <w:color w:val="auto"/>
          <w:sz w:val="32"/>
          <w:szCs w:val="32"/>
          <w:lang w:eastAsia="zh-CN"/>
        </w:rPr>
        <w:t>单位</w:t>
      </w:r>
      <w:r>
        <w:rPr>
          <w:rFonts w:hint="eastAsia" w:ascii="黑体" w:hAnsi="ˎ̥" w:eastAsia="黑体"/>
          <w:b w:val="0"/>
          <w:bCs w:val="0"/>
          <w:color w:val="auto"/>
          <w:sz w:val="32"/>
          <w:szCs w:val="32"/>
        </w:rPr>
        <w:t>决算情况说明</w:t>
      </w:r>
      <w:bookmarkEnd w:id="71"/>
      <w:bookmarkEnd w:id="72"/>
      <w:bookmarkEnd w:id="73"/>
      <w:bookmarkEnd w:id="74"/>
      <w:bookmarkEnd w:id="75"/>
      <w:bookmarkEnd w:id="76"/>
    </w:p>
    <w:p>
      <w:pPr>
        <w:keepNext w:val="0"/>
        <w:keepLines w:val="0"/>
        <w:pageBreakBefore w:val="0"/>
        <w:kinsoku/>
        <w:wordWrap/>
        <w:overflowPunct/>
        <w:topLinePunct w:val="0"/>
        <w:autoSpaceDE/>
        <w:autoSpaceDN/>
        <w:bidi w:val="0"/>
        <w:adjustRightInd/>
        <w:snapToGrid/>
        <w:spacing w:line="590" w:lineRule="exact"/>
        <w:jc w:val="center"/>
        <w:textAlignment w:val="auto"/>
        <w:rPr>
          <w:rFonts w:hint="eastAsia" w:ascii="黑体" w:hAnsi="ˎ̥" w:eastAsia="黑体"/>
          <w:b w:val="0"/>
          <w:bCs w:val="0"/>
          <w:color w:val="auto"/>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lang w:val="en-US" w:eastAsia="zh-CN"/>
        </w:rPr>
      </w:pPr>
      <w:r>
        <w:rPr>
          <w:rFonts w:hint="eastAsia" w:ascii="黑体" w:hAnsi="黑体" w:eastAsia="黑体" w:cs="黑体"/>
          <w:b w:val="0"/>
          <w:bCs w:val="0"/>
          <w:color w:val="auto"/>
          <w:sz w:val="32"/>
          <w:szCs w:val="32"/>
        </w:rPr>
        <w:t>收入支出总体情况说明</w:t>
      </w:r>
      <w:r>
        <w:rPr>
          <w:rFonts w:hint="eastAsia" w:ascii="黑体" w:hAnsi="黑体" w:eastAsia="黑体" w:cs="黑体"/>
          <w:b w:val="0"/>
          <w:bCs w:val="0"/>
          <w:color w:val="auto"/>
          <w:sz w:val="32"/>
          <w:szCs w:val="32"/>
        </w:rPr>
        <w:br w:type="textWrapping"/>
      </w:r>
      <w:r>
        <w:rPr>
          <w:rFonts w:hint="eastAsia" w:ascii="楷体_GB2312" w:hAnsi="ˎ̥" w:eastAsia="楷体_GB2312"/>
          <w:b w:val="0"/>
          <w:bCs w:val="0"/>
          <w:color w:val="auto"/>
          <w:sz w:val="32"/>
          <w:szCs w:val="32"/>
        </w:rPr>
        <w:t xml:space="preserve">    </w:t>
      </w: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年度收入总计</w:t>
      </w:r>
      <w:r>
        <w:rPr>
          <w:rFonts w:hint="default" w:ascii="仿宋_GB2312" w:hAnsi="ˎ̥" w:eastAsia="仿宋_GB2312"/>
          <w:b w:val="0"/>
          <w:bCs w:val="0"/>
          <w:color w:val="auto"/>
          <w:sz w:val="32"/>
          <w:szCs w:val="32"/>
          <w:lang w:val="en-US"/>
        </w:rPr>
        <w:t>230.42</w:t>
      </w:r>
      <w:r>
        <w:rPr>
          <w:rFonts w:hint="eastAsia" w:ascii="仿宋_GB2312" w:hAnsi="ˎ̥" w:eastAsia="仿宋_GB2312"/>
          <w:b w:val="0"/>
          <w:bCs w:val="0"/>
          <w:color w:val="auto"/>
          <w:sz w:val="32"/>
          <w:szCs w:val="32"/>
        </w:rPr>
        <w:t>万元，支出总计</w:t>
      </w:r>
      <w:r>
        <w:rPr>
          <w:rFonts w:hint="default" w:ascii="仿宋_GB2312" w:hAnsi="ˎ̥" w:eastAsia="仿宋_GB2312"/>
          <w:b w:val="0"/>
          <w:bCs w:val="0"/>
          <w:color w:val="auto"/>
          <w:sz w:val="32"/>
          <w:szCs w:val="32"/>
          <w:lang w:val="en-US"/>
        </w:rPr>
        <w:t>230.42</w:t>
      </w:r>
      <w:r>
        <w:rPr>
          <w:rFonts w:hint="eastAsia" w:ascii="仿宋_GB2312" w:hAnsi="ˎ̥" w:eastAsia="仿宋_GB2312"/>
          <w:b w:val="0"/>
          <w:bCs w:val="0"/>
          <w:color w:val="auto"/>
          <w:sz w:val="32"/>
          <w:szCs w:val="32"/>
        </w:rPr>
        <w:t>万元，与</w:t>
      </w:r>
      <w:r>
        <w:rPr>
          <w:rFonts w:hint="default" w:ascii="仿宋_GB2312" w:hAnsi="ˎ̥" w:eastAsia="仿宋_GB2312"/>
          <w:b w:val="0"/>
          <w:bCs w:val="0"/>
          <w:color w:val="auto"/>
          <w:sz w:val="32"/>
          <w:szCs w:val="32"/>
          <w:lang w:val="en-US"/>
        </w:rPr>
        <w:t>2023</w:t>
      </w:r>
      <w:r>
        <w:rPr>
          <w:rFonts w:hint="eastAsia" w:ascii="仿宋_GB2312" w:hAnsi="ˎ̥" w:eastAsia="仿宋_GB2312"/>
          <w:b w:val="0"/>
          <w:bCs w:val="0"/>
          <w:color w:val="auto"/>
          <w:sz w:val="32"/>
          <w:szCs w:val="32"/>
        </w:rPr>
        <w:t>年度相比，收入、支出总计各减少</w:t>
      </w:r>
      <w:r>
        <w:rPr>
          <w:rFonts w:hint="eastAsia" w:ascii="仿宋_GB2312" w:hAnsi="ˎ̥" w:eastAsia="仿宋_GB2312"/>
          <w:b w:val="0"/>
          <w:bCs w:val="0"/>
          <w:color w:val="auto"/>
          <w:sz w:val="32"/>
          <w:szCs w:val="32"/>
          <w:lang w:val="en-US" w:eastAsia="zh-CN"/>
        </w:rPr>
        <w:t>60.67</w:t>
      </w:r>
      <w:r>
        <w:rPr>
          <w:rFonts w:hint="eastAsia" w:ascii="仿宋_GB2312" w:hAnsi="ˎ̥" w:eastAsia="仿宋_GB2312"/>
          <w:b w:val="0"/>
          <w:bCs w:val="0"/>
          <w:color w:val="auto"/>
          <w:sz w:val="32"/>
          <w:szCs w:val="32"/>
        </w:rPr>
        <w:t>万元，下降</w:t>
      </w:r>
      <w:r>
        <w:rPr>
          <w:rFonts w:hint="eastAsia" w:ascii="仿宋_GB2312" w:hAnsi="ˎ̥" w:eastAsia="仿宋_GB2312"/>
          <w:b w:val="0"/>
          <w:bCs w:val="0"/>
          <w:color w:val="auto"/>
          <w:sz w:val="32"/>
          <w:szCs w:val="32"/>
          <w:lang w:val="en-US" w:eastAsia="zh-CN"/>
        </w:rPr>
        <w:t>20.84</w:t>
      </w:r>
      <w:r>
        <w:rPr>
          <w:rFonts w:hint="eastAsia" w:ascii="仿宋_GB2312" w:hAnsi="ˎ̥" w:eastAsia="仿宋_GB2312"/>
          <w:b w:val="0"/>
          <w:bCs w:val="0"/>
          <w:color w:val="auto"/>
          <w:sz w:val="32"/>
          <w:szCs w:val="32"/>
        </w:rPr>
        <w:t>%。主要原因：</w:t>
      </w:r>
      <w:r>
        <w:rPr>
          <w:rFonts w:hint="eastAsia" w:ascii="仿宋_GB2312" w:hAnsi="ˎ̥" w:eastAsia="仿宋_GB2312"/>
          <w:b w:val="0"/>
          <w:bCs w:val="0"/>
          <w:color w:val="auto"/>
          <w:sz w:val="32"/>
          <w:szCs w:val="32"/>
          <w:lang w:eastAsia="zh-CN"/>
        </w:rPr>
        <w:t>一是我单位</w:t>
      </w:r>
      <w:r>
        <w:rPr>
          <w:rFonts w:hint="eastAsia" w:ascii="仿宋_GB2312" w:hAnsi="ˎ̥" w:eastAsia="仿宋_GB2312"/>
          <w:b w:val="0"/>
          <w:bCs w:val="0"/>
          <w:color w:val="auto"/>
          <w:sz w:val="32"/>
          <w:szCs w:val="32"/>
          <w:lang w:val="en-US" w:eastAsia="zh-CN"/>
        </w:rPr>
        <w:t>2024年调出一人，二是2023年我单位由有工程项目，2024年没有工程项目。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ascii="楷体" w:hAnsi="楷体" w:eastAsia="楷体" w:cs="楷体"/>
          <w:b w:val="0"/>
          <w:bCs w:val="0"/>
          <w:color w:val="auto"/>
          <w:sz w:val="32"/>
          <w:szCs w:val="32"/>
        </w:rPr>
      </w:pPr>
      <w:r>
        <w:rPr>
          <w:rFonts w:hint="eastAsia" w:ascii="楷体" w:hAnsi="楷体" w:eastAsia="楷体" w:cs="楷体"/>
          <w:b w:val="0"/>
          <w:bCs w:val="0"/>
          <w:color w:val="auto"/>
          <w:sz w:val="32"/>
          <w:szCs w:val="32"/>
        </w:rPr>
        <w:t>（一</w:t>
      </w:r>
      <w:r>
        <w:rPr>
          <w:rFonts w:ascii="楷体" w:hAnsi="楷体" w:eastAsia="楷体" w:cs="楷体"/>
          <w:b w:val="0"/>
          <w:bCs w:val="0"/>
          <w:color w:val="auto"/>
          <w:sz w:val="32"/>
          <w:szCs w:val="32"/>
        </w:rPr>
        <w:t>）</w:t>
      </w:r>
      <w:r>
        <w:rPr>
          <w:rFonts w:hint="eastAsia" w:ascii="楷体" w:hAnsi="楷体" w:eastAsia="楷体" w:cs="楷体"/>
          <w:b w:val="0"/>
          <w:bCs w:val="0"/>
          <w:color w:val="auto"/>
          <w:sz w:val="32"/>
          <w:szCs w:val="32"/>
        </w:rPr>
        <w:t>收入</w:t>
      </w:r>
      <w:r>
        <w:rPr>
          <w:rFonts w:ascii="楷体" w:hAnsi="楷体" w:eastAsia="楷体" w:cs="楷体"/>
          <w:b w:val="0"/>
          <w:bCs w:val="0"/>
          <w:color w:val="auto"/>
          <w:sz w:val="32"/>
          <w:szCs w:val="32"/>
        </w:rPr>
        <w:t>总计</w:t>
      </w:r>
      <w:r>
        <w:rPr>
          <w:rFonts w:hint="eastAsia" w:ascii="楷体" w:hAnsi="楷体" w:eastAsia="楷体" w:cs="楷体"/>
          <w:b w:val="0"/>
          <w:bCs w:val="0"/>
          <w:color w:val="auto"/>
          <w:sz w:val="32"/>
          <w:szCs w:val="32"/>
        </w:rPr>
        <w:t>主要</w:t>
      </w:r>
      <w:r>
        <w:rPr>
          <w:rFonts w:ascii="楷体" w:hAnsi="楷体" w:eastAsia="楷体" w:cs="楷体"/>
          <w:b w:val="0"/>
          <w:bCs w:val="0"/>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仿宋_GB2312" w:hAnsi="ˎ̥" w:eastAsia="仿宋_GB2312"/>
          <w:b w:val="0"/>
          <w:bCs w:val="0"/>
          <w:color w:val="auto"/>
          <w:sz w:val="32"/>
          <w:szCs w:val="32"/>
        </w:rPr>
      </w:pPr>
      <w:r>
        <w:rPr>
          <w:rFonts w:hint="eastAsia" w:ascii="仿宋_GB2312" w:hAnsi="ˎ̥" w:eastAsia="仿宋_GB2312"/>
          <w:b w:val="0"/>
          <w:bCs w:val="0"/>
          <w:color w:val="auto"/>
          <w:sz w:val="32"/>
          <w:szCs w:val="32"/>
        </w:rPr>
        <w:t>本年</w:t>
      </w:r>
      <w:r>
        <w:rPr>
          <w:rFonts w:ascii="仿宋_GB2312" w:hAnsi="ˎ̥" w:eastAsia="仿宋_GB2312"/>
          <w:b w:val="0"/>
          <w:bCs w:val="0"/>
          <w:color w:val="auto"/>
          <w:sz w:val="32"/>
          <w:szCs w:val="32"/>
        </w:rPr>
        <w:t>收入</w:t>
      </w:r>
      <w:r>
        <w:rPr>
          <w:rFonts w:hint="default" w:ascii="仿宋_GB2312" w:hAnsi="ˎ̥" w:eastAsia="仿宋_GB2312"/>
          <w:b w:val="0"/>
          <w:bCs w:val="0"/>
          <w:color w:val="auto"/>
          <w:sz w:val="32"/>
          <w:szCs w:val="32"/>
          <w:lang w:val="en-US"/>
        </w:rPr>
        <w:t>230.35</w:t>
      </w:r>
      <w:r>
        <w:rPr>
          <w:rFonts w:hint="eastAsia" w:ascii="仿宋_GB2312" w:hAnsi="ˎ̥" w:eastAsia="仿宋_GB2312"/>
          <w:b w:val="0"/>
          <w:bCs w:val="0"/>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仿宋_GB2312" w:hAnsi="ˎ̥" w:eastAsia="仿宋_GB2312"/>
          <w:b w:val="0"/>
          <w:bCs w:val="0"/>
          <w:color w:val="auto"/>
          <w:sz w:val="32"/>
          <w:szCs w:val="32"/>
        </w:rPr>
      </w:pPr>
      <w:r>
        <w:rPr>
          <w:rFonts w:hint="eastAsia" w:ascii="仿宋_GB2312" w:hAnsi="ˎ̥" w:eastAsia="仿宋_GB2312"/>
          <w:b w:val="0"/>
          <w:bCs w:val="0"/>
          <w:color w:val="auto"/>
          <w:sz w:val="32"/>
          <w:szCs w:val="32"/>
        </w:rPr>
        <w:t>使用非财政拨款结余</w:t>
      </w:r>
      <w:r>
        <w:rPr>
          <w:rFonts w:hint="default" w:ascii="仿宋_GB2312" w:hAnsi="ˎ̥" w:eastAsia="仿宋_GB2312"/>
          <w:b w:val="0"/>
          <w:bCs w:val="0"/>
          <w:color w:val="auto"/>
          <w:sz w:val="32"/>
          <w:szCs w:val="32"/>
          <w:lang w:val="en-US"/>
        </w:rPr>
        <w:t>0.06</w:t>
      </w:r>
      <w:r>
        <w:rPr>
          <w:rFonts w:hint="eastAsia" w:ascii="仿宋_GB2312" w:hAnsi="ˎ̥" w:eastAsia="仿宋_GB2312"/>
          <w:b w:val="0"/>
          <w:bCs w:val="0"/>
          <w:color w:val="auto"/>
          <w:sz w:val="32"/>
          <w:szCs w:val="32"/>
        </w:rPr>
        <w:t>万元，较</w:t>
      </w:r>
      <w:r>
        <w:rPr>
          <w:rFonts w:hint="default" w:ascii="仿宋_GB2312" w:hAnsi="ˎ̥" w:eastAsia="仿宋_GB2312"/>
          <w:b w:val="0"/>
          <w:bCs w:val="0"/>
          <w:color w:val="auto"/>
          <w:sz w:val="32"/>
          <w:szCs w:val="32"/>
          <w:lang w:val="en-US"/>
        </w:rPr>
        <w:t>2023</w:t>
      </w:r>
      <w:r>
        <w:rPr>
          <w:rFonts w:hint="eastAsia" w:ascii="仿宋_GB2312" w:hAnsi="ˎ̥" w:eastAsia="仿宋_GB2312"/>
          <w:b w:val="0"/>
          <w:bCs w:val="0"/>
          <w:color w:val="auto"/>
          <w:sz w:val="32"/>
          <w:szCs w:val="32"/>
        </w:rPr>
        <w:t>年度决算数减少</w:t>
      </w:r>
      <w:r>
        <w:rPr>
          <w:rFonts w:hint="eastAsia" w:ascii="仿宋_GB2312" w:hAnsi="ˎ̥" w:eastAsia="仿宋_GB2312"/>
          <w:b w:val="0"/>
          <w:bCs w:val="0"/>
          <w:color w:val="auto"/>
          <w:sz w:val="32"/>
          <w:szCs w:val="32"/>
          <w:lang w:val="en-US" w:eastAsia="zh-CN"/>
        </w:rPr>
        <w:t>0.49</w:t>
      </w:r>
      <w:r>
        <w:rPr>
          <w:rFonts w:hint="eastAsia" w:ascii="仿宋_GB2312" w:hAnsi="ˎ̥" w:eastAsia="仿宋_GB2312"/>
          <w:b w:val="0"/>
          <w:bCs w:val="0"/>
          <w:color w:val="auto"/>
          <w:sz w:val="32"/>
          <w:szCs w:val="32"/>
        </w:rPr>
        <w:t>万元，</w:t>
      </w:r>
      <w:r>
        <w:rPr>
          <w:rFonts w:hint="eastAsia" w:ascii="仿宋_GB2312" w:hAnsi="ˎ̥" w:eastAsia="仿宋_GB2312" w:cs="仿宋_GB2312"/>
          <w:b w:val="0"/>
          <w:bCs w:val="0"/>
          <w:color w:val="auto"/>
          <w:sz w:val="32"/>
          <w:szCs w:val="32"/>
        </w:rPr>
        <w:t>主要原因是</w:t>
      </w:r>
      <w:r>
        <w:rPr>
          <w:rFonts w:hint="eastAsia" w:ascii="仿宋_GB2312" w:hAnsi="ˎ̥" w:eastAsia="仿宋_GB2312"/>
          <w:b w:val="0"/>
          <w:bCs w:val="0"/>
          <w:color w:val="auto"/>
          <w:sz w:val="32"/>
          <w:szCs w:val="32"/>
          <w:shd w:val="clear" w:color="auto" w:fill="FFFFFF"/>
        </w:rPr>
        <w:t>主</w:t>
      </w:r>
      <w:r>
        <w:rPr>
          <w:rFonts w:hint="eastAsia" w:ascii="仿宋_GB2312" w:hAnsi="ˎ̥" w:eastAsia="仿宋_GB2312"/>
          <w:b w:val="0"/>
          <w:bCs w:val="0"/>
          <w:color w:val="auto"/>
          <w:sz w:val="32"/>
          <w:szCs w:val="32"/>
          <w:shd w:val="clear" w:color="auto" w:fill="FFFFFF"/>
          <w:lang w:eastAsia="zh-CN"/>
        </w:rPr>
        <w:t>增加</w:t>
      </w:r>
      <w:r>
        <w:rPr>
          <w:rFonts w:hint="eastAsia" w:ascii="仿宋_GB2312" w:hAnsi="ˎ̥" w:eastAsia="仿宋_GB2312"/>
          <w:b w:val="0"/>
          <w:bCs w:val="0"/>
          <w:color w:val="auto"/>
          <w:sz w:val="32"/>
          <w:szCs w:val="32"/>
          <w:shd w:val="clear" w:color="auto" w:fill="FFFFFF"/>
        </w:rPr>
        <w:t>银行利息收入</w:t>
      </w:r>
      <w:r>
        <w:rPr>
          <w:rFonts w:hint="eastAsia" w:ascii="仿宋_GB2312" w:hAnsi="ˎ̥" w:eastAsia="仿宋_GB2312" w:cs="仿宋_GB2312"/>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仿宋_GB2312" w:hAnsi="ˎ̥" w:eastAsia="仿宋_GB2312"/>
          <w:b w:val="0"/>
          <w:bCs w:val="0"/>
          <w:color w:val="auto"/>
          <w:sz w:val="32"/>
          <w:szCs w:val="32"/>
        </w:rPr>
      </w:pPr>
      <w:r>
        <w:rPr>
          <w:rFonts w:hint="eastAsia" w:ascii="仿宋_GB2312" w:hAnsi="ˎ̥" w:eastAsia="仿宋_GB2312"/>
          <w:b w:val="0"/>
          <w:bCs w:val="0"/>
          <w:color w:val="auto"/>
          <w:sz w:val="32"/>
          <w:szCs w:val="32"/>
        </w:rPr>
        <w:t>年初结转结余</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楷体" w:hAnsi="楷体" w:eastAsia="楷体" w:cs="楷体"/>
          <w:b w:val="0"/>
          <w:bCs w:val="0"/>
          <w:color w:val="auto"/>
          <w:sz w:val="32"/>
          <w:szCs w:val="32"/>
          <w:lang w:eastAsia="zh-CN"/>
        </w:rPr>
      </w:pPr>
      <w:r>
        <w:rPr>
          <w:rFonts w:hint="eastAsia" w:ascii="楷体" w:hAnsi="楷体" w:eastAsia="楷体" w:cs="楷体"/>
          <w:b w:val="0"/>
          <w:bCs w:val="0"/>
          <w:color w:val="auto"/>
          <w:sz w:val="32"/>
          <w:szCs w:val="32"/>
        </w:rPr>
        <w:t>（二</w:t>
      </w:r>
      <w:r>
        <w:rPr>
          <w:rFonts w:ascii="楷体" w:hAnsi="楷体" w:eastAsia="楷体" w:cs="楷体"/>
          <w:b w:val="0"/>
          <w:bCs w:val="0"/>
          <w:color w:val="auto"/>
          <w:sz w:val="32"/>
          <w:szCs w:val="32"/>
        </w:rPr>
        <w:t>）</w:t>
      </w:r>
      <w:r>
        <w:rPr>
          <w:rFonts w:hint="eastAsia" w:ascii="楷体" w:hAnsi="楷体" w:eastAsia="楷体" w:cs="楷体"/>
          <w:b w:val="0"/>
          <w:bCs w:val="0"/>
          <w:color w:val="auto"/>
          <w:sz w:val="32"/>
          <w:szCs w:val="32"/>
        </w:rPr>
        <w:t>支出</w:t>
      </w:r>
      <w:r>
        <w:rPr>
          <w:rFonts w:ascii="楷体" w:hAnsi="楷体" w:eastAsia="楷体" w:cs="楷体"/>
          <w:b w:val="0"/>
          <w:bCs w:val="0"/>
          <w:color w:val="auto"/>
          <w:sz w:val="32"/>
          <w:szCs w:val="32"/>
        </w:rPr>
        <w:t>总计</w:t>
      </w:r>
      <w:r>
        <w:rPr>
          <w:rFonts w:hint="eastAsia" w:ascii="楷体" w:hAnsi="楷体" w:eastAsia="楷体" w:cs="楷体"/>
          <w:b w:val="0"/>
          <w:bCs w:val="0"/>
          <w:color w:val="auto"/>
          <w:sz w:val="32"/>
          <w:szCs w:val="32"/>
        </w:rPr>
        <w:t>主要</w:t>
      </w:r>
      <w:r>
        <w:rPr>
          <w:rFonts w:ascii="楷体" w:hAnsi="楷体" w:eastAsia="楷体" w:cs="楷体"/>
          <w:b w:val="0"/>
          <w:bCs w:val="0"/>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本年支出</w:t>
      </w:r>
      <w:r>
        <w:rPr>
          <w:rFonts w:hint="default" w:ascii="仿宋_GB2312" w:hAnsi="ˎ̥" w:eastAsia="仿宋_GB2312"/>
          <w:b w:val="0"/>
          <w:bCs w:val="0"/>
          <w:color w:val="auto"/>
          <w:sz w:val="32"/>
          <w:szCs w:val="32"/>
          <w:lang w:val="en-US"/>
        </w:rPr>
        <w:t>230.42</w:t>
      </w:r>
      <w:r>
        <w:rPr>
          <w:rFonts w:hint="eastAsia" w:ascii="仿宋_GB2312" w:hAnsi="ˎ̥" w:eastAsia="仿宋_GB2312"/>
          <w:b w:val="0"/>
          <w:bCs w:val="0"/>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仿宋_GB2312" w:hAnsi="ˎ̥" w:eastAsia="仿宋_GB2312"/>
          <w:b w:val="0"/>
          <w:bCs w:val="0"/>
          <w:color w:val="auto"/>
          <w:sz w:val="32"/>
          <w:szCs w:val="32"/>
        </w:rPr>
      </w:pPr>
      <w:r>
        <w:rPr>
          <w:rFonts w:hint="eastAsia" w:ascii="仿宋_GB2312" w:hAnsi="ˎ̥" w:eastAsia="仿宋_GB2312"/>
          <w:b w:val="0"/>
          <w:bCs w:val="0"/>
          <w:color w:val="auto"/>
          <w:sz w:val="32"/>
          <w:szCs w:val="32"/>
        </w:rPr>
        <w:t>结余分配</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年末结转结余</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黑体" w:hAnsi="黑体" w:eastAsia="黑体" w:cs="黑体"/>
          <w:b w:val="0"/>
          <w:bCs w:val="0"/>
          <w:color w:val="auto"/>
          <w:sz w:val="32"/>
          <w:szCs w:val="32"/>
        </w:rPr>
        <w:t>二、收入决算情况说明</w:t>
      </w:r>
      <w:r>
        <w:rPr>
          <w:rFonts w:hint="eastAsia" w:ascii="黑体" w:hAnsi="黑体" w:eastAsia="黑体" w:cs="黑体"/>
          <w:b w:val="0"/>
          <w:bCs w:val="0"/>
          <w:color w:val="auto"/>
          <w:sz w:val="32"/>
          <w:szCs w:val="32"/>
        </w:rPr>
        <w:br w:type="textWrapping"/>
      </w:r>
      <w:r>
        <w:rPr>
          <w:rFonts w:hint="eastAsia" w:ascii="仿宋_GB2312" w:hAnsi="ˎ̥" w:eastAsia="仿宋_GB2312"/>
          <w:b w:val="0"/>
          <w:bCs w:val="0"/>
          <w:color w:val="auto"/>
          <w:sz w:val="32"/>
          <w:szCs w:val="32"/>
        </w:rPr>
        <w:t xml:space="preserve">    本年收入</w:t>
      </w:r>
      <w:r>
        <w:rPr>
          <w:rFonts w:hint="default" w:ascii="仿宋_GB2312" w:hAnsi="ˎ̥" w:eastAsia="仿宋_GB2312"/>
          <w:b w:val="0"/>
          <w:bCs w:val="0"/>
          <w:color w:val="auto"/>
          <w:sz w:val="32"/>
          <w:szCs w:val="32"/>
          <w:lang w:val="en-US"/>
        </w:rPr>
        <w:t>230.35</w:t>
      </w:r>
      <w:r>
        <w:rPr>
          <w:rFonts w:hint="eastAsia" w:ascii="仿宋_GB2312" w:hAnsi="ˎ̥" w:eastAsia="仿宋_GB2312"/>
          <w:b w:val="0"/>
          <w:bCs w:val="0"/>
          <w:color w:val="auto"/>
          <w:sz w:val="32"/>
          <w:szCs w:val="32"/>
        </w:rPr>
        <w:t>万元，其中：财政拨款收入</w:t>
      </w:r>
      <w:r>
        <w:rPr>
          <w:rFonts w:hint="default" w:ascii="仿宋_GB2312" w:hAnsi="ˎ̥" w:eastAsia="仿宋_GB2312"/>
          <w:b w:val="0"/>
          <w:bCs w:val="0"/>
          <w:color w:val="auto"/>
          <w:sz w:val="32"/>
          <w:szCs w:val="32"/>
          <w:lang w:val="en-US"/>
        </w:rPr>
        <w:t>230.35</w:t>
      </w:r>
      <w:r>
        <w:rPr>
          <w:rFonts w:hint="eastAsia" w:ascii="仿宋_GB2312" w:hAnsi="ˎ̥" w:eastAsia="仿宋_GB2312"/>
          <w:b w:val="0"/>
          <w:bCs w:val="0"/>
          <w:color w:val="auto"/>
          <w:sz w:val="32"/>
          <w:szCs w:val="32"/>
        </w:rPr>
        <w:t>万元，占</w:t>
      </w:r>
      <w:r>
        <w:rPr>
          <w:rFonts w:hint="eastAsia" w:ascii="仿宋_GB2312" w:hAnsi="ˎ̥" w:eastAsia="仿宋_GB2312"/>
          <w:b w:val="0"/>
          <w:bCs w:val="0"/>
          <w:color w:val="auto"/>
          <w:sz w:val="32"/>
          <w:szCs w:val="32"/>
          <w:lang w:val="en-US" w:eastAsia="zh-CN"/>
        </w:rPr>
        <w:t>99.97</w:t>
      </w:r>
      <w:r>
        <w:rPr>
          <w:rFonts w:hint="eastAsia" w:ascii="仿宋_GB2312" w:hAnsi="ˎ̥" w:eastAsia="仿宋_GB2312"/>
          <w:b w:val="0"/>
          <w:bCs w:val="0"/>
          <w:color w:val="auto"/>
          <w:sz w:val="32"/>
          <w:szCs w:val="32"/>
        </w:rPr>
        <w:t>%；上级补助收入</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万元，占</w:t>
      </w:r>
      <w:r>
        <w:rPr>
          <w:rFonts w:hint="eastAsia" w:ascii="仿宋_GB2312" w:hAnsi="ˎ̥" w:eastAsia="仿宋_GB2312"/>
          <w:b w:val="0"/>
          <w:bCs w:val="0"/>
          <w:color w:val="auto"/>
          <w:sz w:val="32"/>
          <w:szCs w:val="32"/>
          <w:lang w:val="en-US" w:eastAsia="zh-CN"/>
        </w:rPr>
        <w:t>0</w:t>
      </w:r>
      <w:r>
        <w:rPr>
          <w:rFonts w:hint="eastAsia" w:ascii="仿宋_GB2312" w:hAnsi="ˎ̥" w:eastAsia="仿宋_GB2312"/>
          <w:b w:val="0"/>
          <w:bCs w:val="0"/>
          <w:color w:val="auto"/>
          <w:sz w:val="32"/>
          <w:szCs w:val="32"/>
        </w:rPr>
        <w:t>%；事业收入</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万元，占</w:t>
      </w:r>
      <w:r>
        <w:rPr>
          <w:rFonts w:hint="eastAsia" w:ascii="仿宋_GB2312" w:hAnsi="ˎ̥" w:eastAsia="仿宋_GB2312"/>
          <w:b w:val="0"/>
          <w:bCs w:val="0"/>
          <w:color w:val="auto"/>
          <w:sz w:val="32"/>
          <w:szCs w:val="32"/>
          <w:lang w:val="en-US" w:eastAsia="zh-CN"/>
        </w:rPr>
        <w:t>0</w:t>
      </w:r>
      <w:r>
        <w:rPr>
          <w:rFonts w:hint="eastAsia" w:ascii="仿宋_GB2312" w:hAnsi="ˎ̥" w:eastAsia="仿宋_GB2312"/>
          <w:b w:val="0"/>
          <w:bCs w:val="0"/>
          <w:color w:val="auto"/>
          <w:sz w:val="32"/>
          <w:szCs w:val="32"/>
        </w:rPr>
        <w:t>%；经营收入</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万元，占</w:t>
      </w:r>
      <w:r>
        <w:rPr>
          <w:rFonts w:hint="eastAsia" w:ascii="仿宋_GB2312" w:hAnsi="ˎ̥" w:eastAsia="仿宋_GB2312"/>
          <w:b w:val="0"/>
          <w:bCs w:val="0"/>
          <w:color w:val="auto"/>
          <w:sz w:val="32"/>
          <w:szCs w:val="32"/>
          <w:lang w:val="en-US" w:eastAsia="zh-CN"/>
        </w:rPr>
        <w:t>0</w:t>
      </w:r>
      <w:r>
        <w:rPr>
          <w:rFonts w:hint="eastAsia" w:ascii="仿宋_GB2312" w:hAnsi="ˎ̥" w:eastAsia="仿宋_GB2312"/>
          <w:b w:val="0"/>
          <w:bCs w:val="0"/>
          <w:color w:val="auto"/>
          <w:sz w:val="32"/>
          <w:szCs w:val="32"/>
        </w:rPr>
        <w:t>%；附属单位上缴收入</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万元，占</w:t>
      </w:r>
      <w:r>
        <w:rPr>
          <w:rFonts w:hint="eastAsia" w:ascii="仿宋_GB2312" w:hAnsi="ˎ̥" w:eastAsia="仿宋_GB2312"/>
          <w:b w:val="0"/>
          <w:bCs w:val="0"/>
          <w:color w:val="auto"/>
          <w:sz w:val="32"/>
          <w:szCs w:val="32"/>
          <w:lang w:val="en-US" w:eastAsia="zh-CN"/>
        </w:rPr>
        <w:t>0</w:t>
      </w:r>
      <w:r>
        <w:rPr>
          <w:rFonts w:hint="eastAsia" w:ascii="仿宋_GB2312" w:hAnsi="ˎ̥" w:eastAsia="仿宋_GB2312"/>
          <w:b w:val="0"/>
          <w:bCs w:val="0"/>
          <w:color w:val="auto"/>
          <w:sz w:val="32"/>
          <w:szCs w:val="32"/>
        </w:rPr>
        <w:t>%；其他收入</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万元，占</w:t>
      </w:r>
      <w:r>
        <w:rPr>
          <w:rFonts w:hint="eastAsia" w:ascii="仿宋_GB2312" w:hAnsi="ˎ̥" w:eastAsia="仿宋_GB2312"/>
          <w:b w:val="0"/>
          <w:bCs w:val="0"/>
          <w:color w:val="auto"/>
          <w:sz w:val="32"/>
          <w:szCs w:val="32"/>
          <w:lang w:val="en-US" w:eastAsia="zh-CN"/>
        </w:rPr>
        <w:t>0</w:t>
      </w:r>
      <w:r>
        <w:rPr>
          <w:rFonts w:hint="eastAsia" w:ascii="仿宋_GB2312" w:hAnsi="ˎ̥" w:eastAsia="仿宋_GB2312"/>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firstLine="627" w:firstLineChars="196"/>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本年支出</w:t>
      </w:r>
      <w:r>
        <w:rPr>
          <w:rFonts w:hint="default" w:ascii="仿宋_GB2312" w:hAnsi="ˎ̥" w:eastAsia="仿宋_GB2312"/>
          <w:b w:val="0"/>
          <w:bCs w:val="0"/>
          <w:color w:val="auto"/>
          <w:sz w:val="32"/>
          <w:szCs w:val="32"/>
          <w:lang w:val="en-US"/>
        </w:rPr>
        <w:t>230.42</w:t>
      </w:r>
      <w:r>
        <w:rPr>
          <w:rFonts w:hint="eastAsia" w:ascii="仿宋_GB2312" w:hAnsi="ˎ̥" w:eastAsia="仿宋_GB2312"/>
          <w:b w:val="0"/>
          <w:bCs w:val="0"/>
          <w:color w:val="auto"/>
          <w:sz w:val="32"/>
          <w:szCs w:val="32"/>
        </w:rPr>
        <w:t>万元，其中：基本支出</w:t>
      </w:r>
      <w:r>
        <w:rPr>
          <w:rFonts w:hint="default" w:ascii="仿宋_GB2312" w:hAnsi="ˎ̥" w:eastAsia="仿宋_GB2312"/>
          <w:b w:val="0"/>
          <w:bCs w:val="0"/>
          <w:color w:val="auto"/>
          <w:sz w:val="32"/>
          <w:szCs w:val="32"/>
          <w:lang w:val="en-US"/>
        </w:rPr>
        <w:t>115.73</w:t>
      </w:r>
      <w:r>
        <w:rPr>
          <w:rFonts w:hint="eastAsia" w:ascii="仿宋_GB2312" w:hAnsi="ˎ̥" w:eastAsia="仿宋_GB2312"/>
          <w:b w:val="0"/>
          <w:bCs w:val="0"/>
          <w:color w:val="auto"/>
          <w:sz w:val="32"/>
          <w:szCs w:val="32"/>
        </w:rPr>
        <w:t>万元，占</w:t>
      </w:r>
      <w:r>
        <w:rPr>
          <w:rFonts w:hint="eastAsia" w:ascii="仿宋_GB2312" w:hAnsi="ˎ̥" w:eastAsia="仿宋_GB2312"/>
          <w:b w:val="0"/>
          <w:bCs w:val="0"/>
          <w:color w:val="auto"/>
          <w:sz w:val="32"/>
          <w:szCs w:val="32"/>
          <w:lang w:val="en-US" w:eastAsia="zh-CN"/>
        </w:rPr>
        <w:t>50.23</w:t>
      </w:r>
      <w:r>
        <w:rPr>
          <w:rFonts w:hint="eastAsia" w:ascii="仿宋_GB2312" w:hAnsi="ˎ̥" w:eastAsia="仿宋_GB2312"/>
          <w:b w:val="0"/>
          <w:bCs w:val="0"/>
          <w:color w:val="auto"/>
          <w:sz w:val="32"/>
          <w:szCs w:val="32"/>
        </w:rPr>
        <w:t>%；项目支出</w:t>
      </w:r>
      <w:r>
        <w:rPr>
          <w:rFonts w:hint="default" w:ascii="仿宋_GB2312" w:hAnsi="ˎ̥" w:eastAsia="仿宋_GB2312"/>
          <w:b w:val="0"/>
          <w:bCs w:val="0"/>
          <w:color w:val="auto"/>
          <w:sz w:val="32"/>
          <w:szCs w:val="32"/>
          <w:lang w:val="en-US"/>
        </w:rPr>
        <w:t>114.69</w:t>
      </w:r>
      <w:r>
        <w:rPr>
          <w:rFonts w:hint="eastAsia" w:ascii="仿宋_GB2312" w:hAnsi="ˎ̥" w:eastAsia="仿宋_GB2312"/>
          <w:b w:val="0"/>
          <w:bCs w:val="0"/>
          <w:color w:val="auto"/>
          <w:sz w:val="32"/>
          <w:szCs w:val="32"/>
        </w:rPr>
        <w:t>万元，占</w:t>
      </w:r>
      <w:r>
        <w:rPr>
          <w:rFonts w:hint="eastAsia" w:ascii="仿宋_GB2312" w:hAnsi="ˎ̥" w:eastAsia="仿宋_GB2312"/>
          <w:b w:val="0"/>
          <w:bCs w:val="0"/>
          <w:color w:val="auto"/>
          <w:sz w:val="32"/>
          <w:szCs w:val="32"/>
          <w:lang w:val="en-US" w:eastAsia="zh-CN"/>
        </w:rPr>
        <w:t>49.77</w:t>
      </w:r>
      <w:r>
        <w:rPr>
          <w:rFonts w:hint="eastAsia" w:ascii="仿宋_GB2312" w:hAnsi="ˎ̥" w:eastAsia="仿宋_GB2312"/>
          <w:b w:val="0"/>
          <w:bCs w:val="0"/>
          <w:color w:val="auto"/>
          <w:sz w:val="32"/>
          <w:szCs w:val="32"/>
        </w:rPr>
        <w:t>%；上缴上级支出</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万元，占</w:t>
      </w:r>
      <w:r>
        <w:rPr>
          <w:rFonts w:hint="eastAsia" w:ascii="仿宋_GB2312" w:hAnsi="ˎ̥" w:eastAsia="仿宋_GB2312"/>
          <w:b w:val="0"/>
          <w:bCs w:val="0"/>
          <w:color w:val="auto"/>
          <w:sz w:val="32"/>
          <w:szCs w:val="32"/>
          <w:lang w:val="en-US" w:eastAsia="zh-CN"/>
        </w:rPr>
        <w:t>0</w:t>
      </w:r>
      <w:r>
        <w:rPr>
          <w:rFonts w:hint="eastAsia" w:ascii="仿宋_GB2312" w:hAnsi="ˎ̥" w:eastAsia="仿宋_GB2312"/>
          <w:b w:val="0"/>
          <w:bCs w:val="0"/>
          <w:color w:val="auto"/>
          <w:sz w:val="32"/>
          <w:szCs w:val="32"/>
        </w:rPr>
        <w:t>%；经营支出</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万元，占</w:t>
      </w:r>
      <w:r>
        <w:rPr>
          <w:rFonts w:hint="eastAsia" w:ascii="仿宋_GB2312" w:hAnsi="ˎ̥" w:eastAsia="仿宋_GB2312"/>
          <w:b w:val="0"/>
          <w:bCs w:val="0"/>
          <w:color w:val="auto"/>
          <w:sz w:val="32"/>
          <w:szCs w:val="32"/>
          <w:lang w:val="en-US" w:eastAsia="zh-CN"/>
        </w:rPr>
        <w:t>0</w:t>
      </w:r>
      <w:r>
        <w:rPr>
          <w:rFonts w:hint="eastAsia" w:ascii="仿宋_GB2312" w:hAnsi="ˎ̥" w:eastAsia="仿宋_GB2312"/>
          <w:b w:val="0"/>
          <w:bCs w:val="0"/>
          <w:color w:val="auto"/>
          <w:sz w:val="32"/>
          <w:szCs w:val="32"/>
        </w:rPr>
        <w:t>%；对附属单位补助支出</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万元，占</w:t>
      </w:r>
      <w:r>
        <w:rPr>
          <w:rFonts w:hint="eastAsia" w:ascii="仿宋_GB2312" w:hAnsi="ˎ̥" w:eastAsia="仿宋_GB2312"/>
          <w:b w:val="0"/>
          <w:bCs w:val="0"/>
          <w:color w:val="auto"/>
          <w:sz w:val="32"/>
          <w:szCs w:val="32"/>
          <w:lang w:val="en-US" w:eastAsia="zh-CN"/>
        </w:rPr>
        <w:t>0</w:t>
      </w:r>
      <w:r>
        <w:rPr>
          <w:rFonts w:hint="eastAsia" w:ascii="仿宋_GB2312" w:hAnsi="ˎ̥" w:eastAsia="仿宋_GB2312"/>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firstLine="627" w:firstLineChars="196"/>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年度财政拨款收入</w:t>
      </w:r>
      <w:r>
        <w:rPr>
          <w:rFonts w:hint="default" w:ascii="仿宋_GB2312" w:hAnsi="ˎ̥" w:eastAsia="仿宋_GB2312"/>
          <w:b w:val="0"/>
          <w:bCs w:val="0"/>
          <w:color w:val="auto"/>
          <w:sz w:val="32"/>
          <w:szCs w:val="32"/>
          <w:lang w:val="en-US"/>
        </w:rPr>
        <w:t>230.35</w:t>
      </w:r>
      <w:r>
        <w:rPr>
          <w:rFonts w:hint="eastAsia" w:ascii="仿宋_GB2312" w:hAnsi="ˎ̥" w:eastAsia="仿宋_GB2312"/>
          <w:b w:val="0"/>
          <w:bCs w:val="0"/>
          <w:color w:val="auto"/>
          <w:sz w:val="32"/>
          <w:szCs w:val="32"/>
        </w:rPr>
        <w:t>万元，支出</w:t>
      </w:r>
      <w:r>
        <w:rPr>
          <w:rFonts w:hint="default" w:ascii="仿宋_GB2312" w:hAnsi="ˎ̥" w:eastAsia="仿宋_GB2312"/>
          <w:b w:val="0"/>
          <w:bCs w:val="0"/>
          <w:color w:val="auto"/>
          <w:sz w:val="32"/>
          <w:szCs w:val="32"/>
          <w:lang w:val="en-US"/>
        </w:rPr>
        <w:t>230.35</w:t>
      </w:r>
      <w:r>
        <w:rPr>
          <w:rFonts w:hint="eastAsia" w:ascii="仿宋_GB2312" w:hAnsi="ˎ̥" w:eastAsia="仿宋_GB2312"/>
          <w:b w:val="0"/>
          <w:bCs w:val="0"/>
          <w:color w:val="auto"/>
          <w:sz w:val="32"/>
          <w:szCs w:val="32"/>
        </w:rPr>
        <w:t>万元。与</w:t>
      </w:r>
      <w:r>
        <w:rPr>
          <w:rFonts w:hint="default" w:ascii="仿宋_GB2312" w:hAnsi="ˎ̥" w:eastAsia="仿宋_GB2312"/>
          <w:b w:val="0"/>
          <w:bCs w:val="0"/>
          <w:color w:val="auto"/>
          <w:sz w:val="32"/>
          <w:szCs w:val="32"/>
          <w:lang w:val="en-US"/>
        </w:rPr>
        <w:t>2023</w:t>
      </w:r>
      <w:r>
        <w:rPr>
          <w:rFonts w:hint="eastAsia" w:ascii="仿宋_GB2312" w:hAnsi="ˎ̥" w:eastAsia="仿宋_GB2312"/>
          <w:b w:val="0"/>
          <w:bCs w:val="0"/>
          <w:color w:val="auto"/>
          <w:sz w:val="32"/>
          <w:szCs w:val="32"/>
        </w:rPr>
        <w:t>年度相比，财政拨款收入减少</w:t>
      </w:r>
      <w:r>
        <w:rPr>
          <w:rFonts w:hint="eastAsia" w:ascii="仿宋_GB2312" w:hAnsi="ˎ̥" w:eastAsia="仿宋_GB2312"/>
          <w:b w:val="0"/>
          <w:bCs w:val="0"/>
          <w:color w:val="auto"/>
          <w:sz w:val="32"/>
          <w:szCs w:val="32"/>
          <w:lang w:val="en-US" w:eastAsia="zh-CN"/>
        </w:rPr>
        <w:t>60.17</w:t>
      </w:r>
      <w:r>
        <w:rPr>
          <w:rFonts w:hint="eastAsia" w:ascii="仿宋_GB2312" w:hAnsi="ˎ̥" w:eastAsia="仿宋_GB2312"/>
          <w:b w:val="0"/>
          <w:bCs w:val="0"/>
          <w:color w:val="auto"/>
          <w:sz w:val="32"/>
          <w:szCs w:val="32"/>
        </w:rPr>
        <w:t>万元，下降</w:t>
      </w:r>
      <w:r>
        <w:rPr>
          <w:rFonts w:hint="eastAsia" w:ascii="仿宋_GB2312" w:hAnsi="ˎ̥" w:eastAsia="仿宋_GB2312"/>
          <w:b w:val="0"/>
          <w:bCs w:val="0"/>
          <w:color w:val="auto"/>
          <w:sz w:val="32"/>
          <w:szCs w:val="32"/>
          <w:lang w:val="en-US" w:eastAsia="zh-CN"/>
        </w:rPr>
        <w:t>20.71</w:t>
      </w:r>
      <w:r>
        <w:rPr>
          <w:rFonts w:hint="eastAsia" w:ascii="仿宋_GB2312" w:hAnsi="ˎ̥" w:eastAsia="仿宋_GB2312"/>
          <w:b w:val="0"/>
          <w:bCs w:val="0"/>
          <w:color w:val="auto"/>
          <w:sz w:val="32"/>
          <w:szCs w:val="32"/>
        </w:rPr>
        <w:t>%，主要原因：</w:t>
      </w:r>
      <w:r>
        <w:rPr>
          <w:rFonts w:hint="eastAsia" w:ascii="仿宋_GB2312" w:hAnsi="ˎ̥" w:eastAsia="仿宋_GB2312"/>
          <w:b w:val="0"/>
          <w:bCs w:val="0"/>
          <w:color w:val="auto"/>
          <w:sz w:val="32"/>
          <w:szCs w:val="32"/>
          <w:lang w:eastAsia="zh-CN"/>
        </w:rPr>
        <w:t>一是我单位</w:t>
      </w:r>
      <w:r>
        <w:rPr>
          <w:rFonts w:hint="eastAsia" w:ascii="仿宋_GB2312" w:hAnsi="ˎ̥" w:eastAsia="仿宋_GB2312"/>
          <w:b w:val="0"/>
          <w:bCs w:val="0"/>
          <w:color w:val="auto"/>
          <w:sz w:val="32"/>
          <w:szCs w:val="32"/>
          <w:lang w:val="en-US" w:eastAsia="zh-CN"/>
        </w:rPr>
        <w:t>2024年调出一人；二是2023年我单位由有工程项目，2024年没有工程项目。</w:t>
      </w:r>
      <w:r>
        <w:rPr>
          <w:rFonts w:hint="eastAsia" w:ascii="仿宋_GB2312" w:hAnsi="ˎ̥" w:eastAsia="仿宋_GB2312"/>
          <w:b w:val="0"/>
          <w:bCs w:val="0"/>
          <w:color w:val="auto"/>
          <w:sz w:val="32"/>
          <w:szCs w:val="32"/>
        </w:rPr>
        <w:t>支出减少</w:t>
      </w:r>
      <w:r>
        <w:rPr>
          <w:rFonts w:hint="eastAsia" w:ascii="仿宋_GB2312" w:hAnsi="ˎ̥" w:eastAsia="仿宋_GB2312"/>
          <w:b w:val="0"/>
          <w:bCs w:val="0"/>
          <w:color w:val="auto"/>
          <w:sz w:val="32"/>
          <w:szCs w:val="32"/>
          <w:lang w:val="en-US" w:eastAsia="zh-CN"/>
        </w:rPr>
        <w:t>60.17</w:t>
      </w:r>
      <w:r>
        <w:rPr>
          <w:rFonts w:hint="eastAsia" w:ascii="仿宋_GB2312" w:hAnsi="ˎ̥" w:eastAsia="仿宋_GB2312"/>
          <w:b w:val="0"/>
          <w:bCs w:val="0"/>
          <w:color w:val="auto"/>
          <w:sz w:val="32"/>
          <w:szCs w:val="32"/>
        </w:rPr>
        <w:t>万元，下降</w:t>
      </w:r>
      <w:r>
        <w:rPr>
          <w:rFonts w:hint="eastAsia" w:ascii="仿宋_GB2312" w:hAnsi="ˎ̥" w:eastAsia="仿宋_GB2312"/>
          <w:b w:val="0"/>
          <w:bCs w:val="0"/>
          <w:color w:val="auto"/>
          <w:sz w:val="32"/>
          <w:szCs w:val="32"/>
          <w:lang w:val="en-US" w:eastAsia="zh-CN"/>
        </w:rPr>
        <w:t>20.71</w:t>
      </w:r>
      <w:r>
        <w:rPr>
          <w:rFonts w:hint="eastAsia" w:ascii="仿宋_GB2312" w:hAnsi="ˎ̥" w:eastAsia="仿宋_GB2312"/>
          <w:b w:val="0"/>
          <w:bCs w:val="0"/>
          <w:color w:val="auto"/>
          <w:sz w:val="32"/>
          <w:szCs w:val="32"/>
        </w:rPr>
        <w:t>%，主要原因：</w:t>
      </w:r>
      <w:r>
        <w:rPr>
          <w:rFonts w:hint="eastAsia" w:ascii="仿宋_GB2312" w:hAnsi="ˎ̥" w:eastAsia="仿宋_GB2312"/>
          <w:b w:val="0"/>
          <w:bCs w:val="0"/>
          <w:color w:val="auto"/>
          <w:sz w:val="32"/>
          <w:szCs w:val="32"/>
          <w:lang w:eastAsia="zh-CN"/>
        </w:rPr>
        <w:t>一是我单位</w:t>
      </w:r>
      <w:r>
        <w:rPr>
          <w:rFonts w:hint="eastAsia" w:ascii="仿宋_GB2312" w:hAnsi="ˎ̥" w:eastAsia="仿宋_GB2312"/>
          <w:b w:val="0"/>
          <w:bCs w:val="0"/>
          <w:color w:val="auto"/>
          <w:sz w:val="32"/>
          <w:szCs w:val="32"/>
          <w:lang w:val="en-US" w:eastAsia="zh-CN"/>
        </w:rPr>
        <w:t>2024年调出一人；二是2023年我单位由有工程项目，2024年没有工程项目。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财政拨款年初结转结余</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财政拨款年末结转结余</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90" w:lineRule="exact"/>
        <w:ind w:firstLine="627" w:firstLineChars="196"/>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楷体" w:hAnsi="楷体" w:eastAsia="楷体" w:cs="楷体"/>
          <w:b w:val="0"/>
          <w:bCs w:val="0"/>
          <w:color w:val="auto"/>
          <w:sz w:val="32"/>
          <w:szCs w:val="32"/>
        </w:rPr>
      </w:pPr>
      <w:bookmarkStart w:id="77" w:name="_Toc13694_WPSOffice_Level2"/>
      <w:bookmarkStart w:id="78" w:name="_Toc17398_WPSOffice_Level2"/>
      <w:bookmarkStart w:id="79" w:name="_Toc9989_WPSOffice_Level2"/>
      <w:bookmarkStart w:id="80" w:name="_Toc19665_WPSOffice_Level2"/>
      <w:bookmarkStart w:id="81" w:name="_Toc23005_WPSOffice_Level2"/>
      <w:bookmarkStart w:id="82" w:name="_Toc21737_WPSOffice_Level2"/>
      <w:r>
        <w:rPr>
          <w:rFonts w:hint="eastAsia" w:ascii="楷体" w:hAnsi="楷体" w:eastAsia="楷体" w:cs="楷体"/>
          <w:b w:val="0"/>
          <w:bCs w:val="0"/>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年度一般公共预算财政拨款支出</w:t>
      </w:r>
      <w:r>
        <w:rPr>
          <w:rFonts w:hint="default" w:ascii="仿宋_GB2312" w:hAnsi="ˎ̥" w:eastAsia="仿宋_GB2312"/>
          <w:b w:val="0"/>
          <w:bCs w:val="0"/>
          <w:color w:val="auto"/>
          <w:sz w:val="32"/>
          <w:szCs w:val="32"/>
          <w:lang w:val="en-US"/>
        </w:rPr>
        <w:t>230.35</w:t>
      </w:r>
      <w:r>
        <w:rPr>
          <w:rFonts w:hint="eastAsia" w:ascii="仿宋_GB2312" w:hAnsi="ˎ̥" w:eastAsia="仿宋_GB2312"/>
          <w:b w:val="0"/>
          <w:bCs w:val="0"/>
          <w:color w:val="auto"/>
          <w:sz w:val="32"/>
          <w:szCs w:val="32"/>
        </w:rPr>
        <w:t>万元，占本年支出合计的</w:t>
      </w:r>
      <w:r>
        <w:rPr>
          <w:rFonts w:hint="eastAsia" w:ascii="仿宋_GB2312" w:hAnsi="ˎ̥" w:eastAsia="仿宋_GB2312"/>
          <w:b w:val="0"/>
          <w:bCs w:val="0"/>
          <w:color w:val="auto"/>
          <w:sz w:val="32"/>
          <w:szCs w:val="32"/>
          <w:lang w:val="en-US" w:eastAsia="zh-CN"/>
        </w:rPr>
        <w:t>99.97</w:t>
      </w:r>
      <w:r>
        <w:rPr>
          <w:rFonts w:hint="eastAsia" w:ascii="仿宋_GB2312" w:hAnsi="ˎ̥" w:eastAsia="仿宋_GB2312"/>
          <w:b w:val="0"/>
          <w:bCs w:val="0"/>
          <w:color w:val="auto"/>
          <w:sz w:val="32"/>
          <w:szCs w:val="32"/>
        </w:rPr>
        <w:t>%。与</w:t>
      </w:r>
      <w:r>
        <w:rPr>
          <w:rFonts w:hint="default" w:ascii="仿宋_GB2312" w:hAnsi="ˎ̥" w:eastAsia="仿宋_GB2312"/>
          <w:b w:val="0"/>
          <w:bCs w:val="0"/>
          <w:color w:val="auto"/>
          <w:sz w:val="32"/>
          <w:szCs w:val="32"/>
          <w:lang w:val="en-US"/>
        </w:rPr>
        <w:t>2023</w:t>
      </w:r>
      <w:r>
        <w:rPr>
          <w:rFonts w:hint="eastAsia" w:ascii="仿宋_GB2312" w:hAnsi="ˎ̥" w:eastAsia="仿宋_GB2312"/>
          <w:b w:val="0"/>
          <w:bCs w:val="0"/>
          <w:color w:val="auto"/>
          <w:sz w:val="32"/>
          <w:szCs w:val="32"/>
        </w:rPr>
        <w:t>年度相比，一般公共预算财政拨款支出减少</w:t>
      </w:r>
      <w:r>
        <w:rPr>
          <w:rFonts w:hint="eastAsia" w:ascii="仿宋_GB2312" w:hAnsi="ˎ̥" w:eastAsia="仿宋_GB2312"/>
          <w:b w:val="0"/>
          <w:bCs w:val="0"/>
          <w:color w:val="auto"/>
          <w:sz w:val="32"/>
          <w:szCs w:val="32"/>
          <w:lang w:val="en-US" w:eastAsia="zh-CN"/>
        </w:rPr>
        <w:t>60.17</w:t>
      </w:r>
      <w:r>
        <w:rPr>
          <w:rFonts w:hint="eastAsia" w:ascii="仿宋_GB2312" w:hAnsi="ˎ̥" w:eastAsia="仿宋_GB2312"/>
          <w:b w:val="0"/>
          <w:bCs w:val="0"/>
          <w:color w:val="auto"/>
          <w:sz w:val="32"/>
          <w:szCs w:val="32"/>
        </w:rPr>
        <w:t>万元，下降</w:t>
      </w:r>
      <w:r>
        <w:rPr>
          <w:rFonts w:hint="eastAsia" w:ascii="仿宋_GB2312" w:hAnsi="ˎ̥" w:eastAsia="仿宋_GB2312"/>
          <w:b w:val="0"/>
          <w:bCs w:val="0"/>
          <w:color w:val="auto"/>
          <w:sz w:val="32"/>
          <w:szCs w:val="32"/>
          <w:lang w:val="en-US" w:eastAsia="zh-CN"/>
        </w:rPr>
        <w:t>20.71</w:t>
      </w:r>
      <w:r>
        <w:rPr>
          <w:rFonts w:hint="eastAsia" w:ascii="仿宋_GB2312" w:hAnsi="ˎ̥" w:eastAsia="仿宋_GB2312"/>
          <w:b w:val="0"/>
          <w:bCs w:val="0"/>
          <w:color w:val="auto"/>
          <w:sz w:val="32"/>
          <w:szCs w:val="32"/>
        </w:rPr>
        <w:t>%，主要原因</w:t>
      </w:r>
      <w:r>
        <w:rPr>
          <w:rFonts w:hint="eastAsia" w:ascii="仿宋_GB2312" w:hAnsi="ˎ̥" w:eastAsia="仿宋_GB2312"/>
          <w:b w:val="0"/>
          <w:bCs w:val="0"/>
          <w:color w:val="auto"/>
          <w:sz w:val="32"/>
          <w:szCs w:val="32"/>
          <w:lang w:eastAsia="zh-CN"/>
        </w:rPr>
        <w:t>一是我单位</w:t>
      </w:r>
      <w:r>
        <w:rPr>
          <w:rFonts w:hint="eastAsia" w:ascii="仿宋_GB2312" w:hAnsi="ˎ̥" w:eastAsia="仿宋_GB2312"/>
          <w:b w:val="0"/>
          <w:bCs w:val="0"/>
          <w:color w:val="auto"/>
          <w:sz w:val="32"/>
          <w:szCs w:val="32"/>
          <w:lang w:val="en-US" w:eastAsia="zh-CN"/>
        </w:rPr>
        <w:t>2024年调出一人；二是2023年我单位由有工程项目，2024年没有工程项目</w:t>
      </w:r>
      <w:r>
        <w:rPr>
          <w:rFonts w:hint="eastAsia" w:ascii="仿宋_GB2312" w:hAnsi="ˎ̥" w:eastAsia="仿宋_GB2312"/>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楷体" w:hAnsi="楷体" w:eastAsia="楷体" w:cs="楷体"/>
          <w:b w:val="0"/>
          <w:bCs w:val="0"/>
          <w:color w:val="auto"/>
          <w:sz w:val="32"/>
          <w:szCs w:val="32"/>
        </w:rPr>
      </w:pPr>
      <w:bookmarkStart w:id="83" w:name="_Toc2711_WPSOffice_Level2"/>
      <w:bookmarkStart w:id="84" w:name="_Toc19535_WPSOffice_Level2"/>
      <w:bookmarkStart w:id="85" w:name="_Toc18793_WPSOffice_Level2"/>
      <w:bookmarkStart w:id="86" w:name="_Toc27767_WPSOffice_Level2"/>
      <w:bookmarkStart w:id="87" w:name="_Toc23864_WPSOffice_Level2"/>
      <w:bookmarkStart w:id="88" w:name="_Toc19075_WPSOffice_Level2"/>
      <w:r>
        <w:rPr>
          <w:rFonts w:hint="eastAsia" w:ascii="楷体" w:hAnsi="楷体" w:eastAsia="楷体" w:cs="楷体"/>
          <w:b w:val="0"/>
          <w:bCs w:val="0"/>
          <w:color w:val="auto"/>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年度一般公共预算财政拨款支出</w:t>
      </w:r>
      <w:r>
        <w:rPr>
          <w:rFonts w:hint="default" w:ascii="仿宋_GB2312" w:hAnsi="ˎ̥" w:eastAsia="仿宋_GB2312"/>
          <w:b w:val="0"/>
          <w:bCs w:val="0"/>
          <w:color w:val="auto"/>
          <w:sz w:val="32"/>
          <w:szCs w:val="32"/>
          <w:lang w:val="en-US"/>
        </w:rPr>
        <w:t>230.35</w:t>
      </w:r>
      <w:r>
        <w:rPr>
          <w:rFonts w:hint="eastAsia" w:ascii="仿宋_GB2312" w:hAnsi="ˎ̥" w:eastAsia="仿宋_GB2312"/>
          <w:b w:val="0"/>
          <w:bCs w:val="0"/>
          <w:color w:val="auto"/>
          <w:sz w:val="32"/>
          <w:szCs w:val="32"/>
        </w:rPr>
        <w:t>万元，主要用于以下方面：一般公共服务（类）支出</w:t>
      </w:r>
      <w:r>
        <w:rPr>
          <w:rFonts w:hint="default" w:ascii="仿宋_GB2312" w:hAnsi="ˎ̥" w:eastAsia="仿宋_GB2312"/>
          <w:b w:val="0"/>
          <w:bCs w:val="0"/>
          <w:color w:val="auto"/>
          <w:sz w:val="32"/>
          <w:szCs w:val="32"/>
          <w:lang w:val="en-US"/>
        </w:rPr>
        <w:t>194.63</w:t>
      </w:r>
      <w:r>
        <w:rPr>
          <w:rFonts w:hint="eastAsia" w:ascii="仿宋_GB2312" w:hAnsi="ˎ̥" w:eastAsia="仿宋_GB2312"/>
          <w:b w:val="0"/>
          <w:bCs w:val="0"/>
          <w:color w:val="auto"/>
          <w:sz w:val="32"/>
          <w:szCs w:val="32"/>
        </w:rPr>
        <w:t>万元，占</w:t>
      </w:r>
      <w:r>
        <w:rPr>
          <w:rFonts w:hint="eastAsia" w:ascii="仿宋_GB2312" w:hAnsi="ˎ̥" w:eastAsia="仿宋_GB2312"/>
          <w:b w:val="0"/>
          <w:bCs w:val="0"/>
          <w:color w:val="auto"/>
          <w:sz w:val="32"/>
          <w:szCs w:val="32"/>
          <w:lang w:val="en-US" w:eastAsia="zh-CN"/>
        </w:rPr>
        <w:t>84.49</w:t>
      </w:r>
      <w:r>
        <w:rPr>
          <w:rFonts w:hint="eastAsia" w:ascii="仿宋_GB2312" w:hAnsi="ˎ̥" w:eastAsia="仿宋_GB2312"/>
          <w:b w:val="0"/>
          <w:bCs w:val="0"/>
          <w:color w:val="auto"/>
          <w:sz w:val="32"/>
          <w:szCs w:val="32"/>
        </w:rPr>
        <w:t>%；社会保障和就业（类）支出</w:t>
      </w:r>
      <w:r>
        <w:rPr>
          <w:rFonts w:hint="eastAsia" w:ascii="仿宋_GB2312" w:hAnsi="ˎ̥" w:eastAsia="仿宋_GB2312"/>
          <w:b w:val="0"/>
          <w:bCs w:val="0"/>
          <w:color w:val="auto"/>
          <w:sz w:val="32"/>
          <w:szCs w:val="32"/>
          <w:lang w:val="en-US" w:eastAsia="zh-CN"/>
        </w:rPr>
        <w:t>27.37</w:t>
      </w:r>
      <w:r>
        <w:rPr>
          <w:rFonts w:hint="eastAsia" w:ascii="仿宋_GB2312" w:hAnsi="ˎ̥" w:eastAsia="仿宋_GB2312"/>
          <w:b w:val="0"/>
          <w:bCs w:val="0"/>
          <w:color w:val="auto"/>
          <w:sz w:val="32"/>
          <w:szCs w:val="32"/>
        </w:rPr>
        <w:t>万元，占</w:t>
      </w:r>
      <w:r>
        <w:rPr>
          <w:rFonts w:hint="eastAsia" w:ascii="仿宋_GB2312" w:hAnsi="ˎ̥" w:eastAsia="仿宋_GB2312"/>
          <w:b w:val="0"/>
          <w:bCs w:val="0"/>
          <w:color w:val="auto"/>
          <w:sz w:val="32"/>
          <w:szCs w:val="32"/>
          <w:lang w:val="en-US" w:eastAsia="zh-CN"/>
        </w:rPr>
        <w:t>11.88</w:t>
      </w:r>
      <w:r>
        <w:rPr>
          <w:rFonts w:hint="eastAsia" w:ascii="仿宋_GB2312" w:hAnsi="ˎ̥" w:eastAsia="仿宋_GB2312"/>
          <w:b w:val="0"/>
          <w:bCs w:val="0"/>
          <w:color w:val="auto"/>
          <w:sz w:val="32"/>
          <w:szCs w:val="32"/>
        </w:rPr>
        <w:t>%；住房保障（类）支出</w:t>
      </w:r>
      <w:r>
        <w:rPr>
          <w:rFonts w:hint="default" w:ascii="仿宋_GB2312" w:hAnsi="ˎ̥" w:eastAsia="仿宋_GB2312"/>
          <w:b w:val="0"/>
          <w:bCs w:val="0"/>
          <w:color w:val="auto"/>
          <w:sz w:val="32"/>
          <w:szCs w:val="32"/>
          <w:lang w:val="en-US"/>
        </w:rPr>
        <w:t>8.41</w:t>
      </w:r>
      <w:r>
        <w:rPr>
          <w:rFonts w:hint="eastAsia" w:ascii="仿宋_GB2312" w:hAnsi="ˎ̥" w:eastAsia="仿宋_GB2312"/>
          <w:b w:val="0"/>
          <w:bCs w:val="0"/>
          <w:color w:val="auto"/>
          <w:sz w:val="32"/>
          <w:szCs w:val="32"/>
        </w:rPr>
        <w:t>万元，占</w:t>
      </w:r>
      <w:r>
        <w:rPr>
          <w:rFonts w:hint="eastAsia" w:ascii="仿宋_GB2312" w:hAnsi="ˎ̥" w:eastAsia="仿宋_GB2312"/>
          <w:b w:val="0"/>
          <w:bCs w:val="0"/>
          <w:color w:val="auto"/>
          <w:sz w:val="32"/>
          <w:szCs w:val="32"/>
          <w:lang w:val="en-US" w:eastAsia="zh-CN"/>
        </w:rPr>
        <w:t>3.65</w:t>
      </w:r>
      <w:r>
        <w:rPr>
          <w:rFonts w:hint="eastAsia" w:ascii="仿宋_GB2312" w:hAnsi="ˎ̥" w:eastAsia="仿宋_GB2312"/>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楷体" w:hAnsi="楷体" w:eastAsia="楷体" w:cs="楷体"/>
          <w:b w:val="0"/>
          <w:bCs w:val="0"/>
          <w:color w:val="auto"/>
          <w:sz w:val="32"/>
          <w:szCs w:val="32"/>
        </w:rPr>
      </w:pPr>
      <w:bookmarkStart w:id="89" w:name="_Toc9502_WPSOffice_Level2"/>
      <w:bookmarkStart w:id="90" w:name="_Toc25136_WPSOffice_Level2"/>
      <w:bookmarkStart w:id="91" w:name="_Toc29364_WPSOffice_Level2"/>
      <w:bookmarkStart w:id="92" w:name="_Toc21701_WPSOffice_Level2"/>
      <w:bookmarkStart w:id="93" w:name="_Toc15415_WPSOffice_Level2"/>
      <w:bookmarkStart w:id="94" w:name="_Toc22318_WPSOffice_Level2"/>
      <w:r>
        <w:rPr>
          <w:rFonts w:hint="eastAsia" w:ascii="楷体" w:hAnsi="楷体" w:eastAsia="楷体" w:cs="楷体"/>
          <w:b w:val="0"/>
          <w:bCs w:val="0"/>
          <w:color w:val="auto"/>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年度一般公共预算财政拨款支出年初预算为</w:t>
      </w:r>
      <w:r>
        <w:rPr>
          <w:rFonts w:hint="default" w:ascii="仿宋_GB2312" w:hAnsi="ˎ̥" w:eastAsia="仿宋_GB2312"/>
          <w:b w:val="0"/>
          <w:bCs w:val="0"/>
          <w:color w:val="auto"/>
          <w:sz w:val="32"/>
          <w:szCs w:val="32"/>
          <w:lang w:val="en-US"/>
        </w:rPr>
        <w:t>140.33</w:t>
      </w:r>
      <w:r>
        <w:rPr>
          <w:rFonts w:hint="eastAsia" w:ascii="仿宋_GB2312" w:hAnsi="ˎ̥" w:eastAsia="仿宋_GB2312"/>
          <w:b w:val="0"/>
          <w:bCs w:val="0"/>
          <w:color w:val="auto"/>
          <w:sz w:val="32"/>
          <w:szCs w:val="32"/>
        </w:rPr>
        <w:t>万元，支出决算为</w:t>
      </w:r>
      <w:r>
        <w:rPr>
          <w:rFonts w:hint="default" w:ascii="仿宋_GB2312" w:hAnsi="ˎ̥" w:eastAsia="仿宋_GB2312"/>
          <w:b w:val="0"/>
          <w:bCs w:val="0"/>
          <w:color w:val="auto"/>
          <w:sz w:val="32"/>
          <w:szCs w:val="32"/>
          <w:lang w:val="en-US"/>
        </w:rPr>
        <w:t>230.35</w:t>
      </w:r>
      <w:r>
        <w:rPr>
          <w:rFonts w:hint="eastAsia" w:ascii="仿宋_GB2312" w:hAnsi="ˎ̥" w:eastAsia="仿宋_GB2312"/>
          <w:b w:val="0"/>
          <w:bCs w:val="0"/>
          <w:color w:val="auto"/>
          <w:sz w:val="32"/>
          <w:szCs w:val="32"/>
        </w:rPr>
        <w:t>万元，完成年初预算的</w:t>
      </w:r>
      <w:r>
        <w:rPr>
          <w:rFonts w:hint="eastAsia" w:ascii="仿宋_GB2312" w:hAnsi="ˎ̥" w:eastAsia="仿宋_GB2312"/>
          <w:b w:val="0"/>
          <w:bCs w:val="0"/>
          <w:color w:val="auto"/>
          <w:sz w:val="32"/>
          <w:szCs w:val="32"/>
          <w:lang w:val="en-US" w:eastAsia="zh-CN"/>
        </w:rPr>
        <w:t>164.15</w:t>
      </w:r>
      <w:r>
        <w:rPr>
          <w:rFonts w:hint="eastAsia" w:ascii="仿宋_GB2312" w:hAnsi="ˎ̥" w:eastAsia="仿宋_GB2312"/>
          <w:b w:val="0"/>
          <w:bCs w:val="0"/>
          <w:color w:val="auto"/>
          <w:sz w:val="32"/>
          <w:szCs w:val="32"/>
        </w:rPr>
        <w:t>%。其中：</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1.教育支出（类）</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年初预算为98.95万元，支出决算为194.57万元，完成年初预算的</w:t>
      </w:r>
      <w:r>
        <w:rPr>
          <w:rFonts w:hint="eastAsia" w:ascii="仿宋_GB2312" w:hAnsi="仿宋_GB2312" w:eastAsia="仿宋_GB2312" w:cs="仿宋_GB2312"/>
          <w:b w:val="0"/>
          <w:bCs w:val="0"/>
          <w:color w:val="auto"/>
          <w:sz w:val="32"/>
          <w:szCs w:val="32"/>
          <w:lang w:val="en-US" w:eastAsia="zh-CN"/>
        </w:rPr>
        <w:t>196.61</w:t>
      </w:r>
      <w:r>
        <w:rPr>
          <w:rFonts w:hint="eastAsia" w:ascii="仿宋_GB2312" w:hAnsi="仿宋_GB2312" w:eastAsia="仿宋_GB2312" w:cs="仿宋_GB2312"/>
          <w:b w:val="0"/>
          <w:bCs w:val="0"/>
          <w:color w:val="auto"/>
          <w:sz w:val="32"/>
          <w:szCs w:val="32"/>
        </w:rPr>
        <w:t>%。</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2.社会保障和就业（类）</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年初预算为17万元，支出决算为</w:t>
      </w:r>
      <w:r>
        <w:rPr>
          <w:rFonts w:hint="eastAsia" w:ascii="仿宋_GB2312" w:hAnsi="仿宋_GB2312" w:eastAsia="仿宋_GB2312" w:cs="仿宋_GB2312"/>
          <w:b w:val="0"/>
          <w:bCs w:val="0"/>
          <w:color w:val="auto"/>
          <w:sz w:val="32"/>
          <w:szCs w:val="32"/>
          <w:lang w:val="en-US" w:eastAsia="zh-CN"/>
        </w:rPr>
        <w:t>14.87</w:t>
      </w:r>
      <w:r>
        <w:rPr>
          <w:rFonts w:hint="eastAsia" w:ascii="仿宋_GB2312" w:hAnsi="仿宋_GB2312" w:eastAsia="仿宋_GB2312" w:cs="仿宋_GB2312"/>
          <w:b w:val="0"/>
          <w:bCs w:val="0"/>
          <w:color w:val="auto"/>
          <w:sz w:val="32"/>
          <w:szCs w:val="32"/>
        </w:rPr>
        <w:t>元，完成年初预算的</w:t>
      </w:r>
      <w:r>
        <w:rPr>
          <w:rFonts w:hint="eastAsia" w:ascii="仿宋_GB2312" w:hAnsi="仿宋_GB2312" w:eastAsia="仿宋_GB2312" w:cs="仿宋_GB2312"/>
          <w:b w:val="0"/>
          <w:bCs w:val="0"/>
          <w:color w:val="auto"/>
          <w:sz w:val="32"/>
          <w:szCs w:val="32"/>
          <w:lang w:val="en-US" w:eastAsia="zh-CN"/>
        </w:rPr>
        <w:t>87.47</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3.卫生健康支出（类）</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年初预算为14万元，支出决算为12.5万元，完成年初预算的</w:t>
      </w:r>
      <w:r>
        <w:rPr>
          <w:rFonts w:hint="eastAsia" w:ascii="仿宋_GB2312" w:hAnsi="仿宋_GB2312" w:eastAsia="仿宋_GB2312" w:cs="仿宋_GB2312"/>
          <w:b w:val="0"/>
          <w:bCs w:val="0"/>
          <w:color w:val="auto"/>
          <w:sz w:val="32"/>
          <w:szCs w:val="32"/>
          <w:lang w:val="en-US" w:eastAsia="zh-CN"/>
        </w:rPr>
        <w:t>89.27</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4.住房保障（类）</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年</w:t>
      </w:r>
      <w:r>
        <w:rPr>
          <w:rFonts w:hint="eastAsia" w:ascii="仿宋_GB2312" w:hAnsi="仿宋_GB2312" w:eastAsia="仿宋_GB2312" w:cs="仿宋_GB2312"/>
          <w:b w:val="0"/>
          <w:bCs w:val="0"/>
          <w:color w:val="auto"/>
          <w:sz w:val="32"/>
          <w:szCs w:val="32"/>
          <w:lang w:val="en-US" w:eastAsia="zh-CN"/>
        </w:rPr>
        <w:t>初预算为10.38万元，支出决算为8.41万元，完成年初预算的81.02%。</w:t>
      </w:r>
    </w:p>
    <w:p>
      <w:pPr>
        <w:keepNext w:val="0"/>
        <w:keepLines w:val="0"/>
        <w:pageBreakBefore w:val="0"/>
        <w:widowControl w:val="0"/>
        <w:kinsoku/>
        <w:wordWrap/>
        <w:overflowPunct/>
        <w:topLinePunct w:val="0"/>
        <w:autoSpaceDE/>
        <w:autoSpaceDN/>
        <w:bidi w:val="0"/>
        <w:adjustRightInd/>
        <w:snapToGrid/>
        <w:spacing w:line="590" w:lineRule="exact"/>
        <w:ind w:firstLine="627" w:firstLineChars="196"/>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年度财政拨款基本支出</w:t>
      </w:r>
      <w:r>
        <w:rPr>
          <w:rFonts w:hint="eastAsia" w:ascii="仿宋_GB2312" w:hAnsi="ˎ̥" w:eastAsia="仿宋_GB2312"/>
          <w:b w:val="0"/>
          <w:bCs w:val="0"/>
          <w:color w:val="auto"/>
          <w:sz w:val="32"/>
          <w:szCs w:val="32"/>
          <w:lang w:val="en-US" w:eastAsia="zh-CN"/>
        </w:rPr>
        <w:t>115.67</w:t>
      </w:r>
      <w:r>
        <w:rPr>
          <w:rFonts w:hint="eastAsia" w:ascii="仿宋_GB2312" w:hAnsi="ˎ̥" w:eastAsia="仿宋_GB2312"/>
          <w:b w:val="0"/>
          <w:bCs w:val="0"/>
          <w:color w:val="auto"/>
          <w:sz w:val="32"/>
          <w:szCs w:val="32"/>
        </w:rPr>
        <w:t>万元，其中：人员经费</w:t>
      </w:r>
      <w:r>
        <w:rPr>
          <w:rFonts w:ascii="仿宋_GB2312" w:hAnsi="ˎ̥" w:eastAsia="仿宋_GB2312"/>
          <w:b w:val="0"/>
          <w:bCs w:val="0"/>
          <w:color w:val="auto"/>
          <w:sz w:val="32"/>
          <w:szCs w:val="32"/>
          <w:lang w:val="en-US"/>
        </w:rPr>
        <w:t>113.91</w:t>
      </w:r>
      <w:r>
        <w:rPr>
          <w:rFonts w:hint="eastAsia" w:ascii="仿宋_GB2312" w:hAnsi="ˎ̥" w:eastAsia="仿宋_GB2312"/>
          <w:b w:val="0"/>
          <w:bCs w:val="0"/>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b w:val="0"/>
          <w:bCs w:val="0"/>
          <w:color w:val="auto"/>
          <w:sz w:val="32"/>
          <w:szCs w:val="32"/>
          <w:lang w:val="en-US"/>
        </w:rPr>
        <w:t>1.76</w:t>
      </w:r>
      <w:r>
        <w:rPr>
          <w:rFonts w:hint="eastAsia" w:ascii="仿宋_GB2312" w:hAnsi="ˎ̥" w:eastAsia="仿宋_GB2312"/>
          <w:b w:val="0"/>
          <w:bCs w:val="0"/>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b w:val="0"/>
          <w:bCs w:val="0"/>
          <w:color w:val="auto"/>
          <w:sz w:val="32"/>
          <w:szCs w:val="32"/>
          <w:lang w:val="en-US" w:eastAsia="zh-CN"/>
        </w:rPr>
        <w:t>购</w:t>
      </w:r>
      <w:r>
        <w:rPr>
          <w:rFonts w:hint="eastAsia" w:ascii="仿宋_GB2312" w:hAnsi="ˎ̥" w:eastAsia="仿宋_GB2312"/>
          <w:b w:val="0"/>
          <w:bCs w:val="0"/>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90" w:lineRule="exact"/>
        <w:ind w:firstLine="627" w:firstLineChars="196"/>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楷体" w:hAnsi="楷体" w:eastAsia="楷体" w:cs="楷体"/>
          <w:b w:val="0"/>
          <w:bCs w:val="0"/>
          <w:color w:val="auto"/>
          <w:sz w:val="32"/>
          <w:szCs w:val="32"/>
        </w:rPr>
      </w:pPr>
      <w:r>
        <w:rPr>
          <w:rFonts w:hint="eastAsia" w:ascii="楷体" w:hAnsi="楷体" w:eastAsia="楷体" w:cs="楷体"/>
          <w:b w:val="0"/>
          <w:bCs w:val="0"/>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lang w:eastAsia="zh-CN"/>
        </w:rPr>
      </w:pP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年度政府性基金预算财政拨款支出</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w:t>
      </w:r>
      <w:r>
        <w:rPr>
          <w:rFonts w:hint="eastAsia" w:ascii="仿宋_GB2312" w:hAnsi="ˎ̥" w:eastAsia="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楷体" w:hAnsi="楷体" w:eastAsia="楷体" w:cs="楷体"/>
          <w:b w:val="0"/>
          <w:bCs w:val="0"/>
          <w:color w:val="auto"/>
          <w:sz w:val="32"/>
          <w:szCs w:val="32"/>
        </w:rPr>
      </w:pPr>
      <w:r>
        <w:rPr>
          <w:rFonts w:hint="eastAsia" w:ascii="楷体" w:hAnsi="楷体" w:eastAsia="楷体" w:cs="楷体"/>
          <w:b w:val="0"/>
          <w:bCs w:val="0"/>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年度政府性基金预算财政拨款支出</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楷体" w:hAnsi="楷体" w:eastAsia="楷体" w:cs="楷体"/>
          <w:b w:val="0"/>
          <w:bCs w:val="0"/>
          <w:color w:val="auto"/>
          <w:sz w:val="32"/>
          <w:szCs w:val="32"/>
        </w:rPr>
      </w:pPr>
      <w:r>
        <w:rPr>
          <w:rFonts w:hint="eastAsia" w:ascii="楷体" w:hAnsi="楷体" w:eastAsia="楷体" w:cs="楷体"/>
          <w:b w:val="0"/>
          <w:bCs w:val="0"/>
          <w:color w:val="auto"/>
          <w:sz w:val="32"/>
          <w:szCs w:val="32"/>
        </w:rPr>
        <w:t>（三）政府性基金预算财政拨款支出决算具体情况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lang w:eastAsia="zh-CN"/>
        </w:rPr>
      </w:pP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年度政府性基金预算财政拨款支出年初预算为</w:t>
      </w:r>
      <w:r>
        <w:rPr>
          <w:rFonts w:hint="eastAsia" w:ascii="仿宋_GB2312" w:hAnsi="ˎ̥" w:eastAsia="仿宋_GB2312"/>
          <w:b w:val="0"/>
          <w:bCs w:val="0"/>
          <w:color w:val="auto"/>
          <w:sz w:val="32"/>
          <w:szCs w:val="32"/>
          <w:lang w:val="en-US" w:eastAsia="zh-CN"/>
        </w:rPr>
        <w:t>0</w:t>
      </w:r>
      <w:r>
        <w:rPr>
          <w:rFonts w:hint="eastAsia" w:ascii="仿宋_GB2312" w:hAnsi="ˎ̥" w:eastAsia="仿宋_GB2312"/>
          <w:b w:val="0"/>
          <w:bCs w:val="0"/>
          <w:color w:val="auto"/>
          <w:sz w:val="32"/>
          <w:szCs w:val="32"/>
        </w:rPr>
        <w:t>万元</w:t>
      </w:r>
      <w:r>
        <w:rPr>
          <w:rFonts w:hint="eastAsia" w:ascii="仿宋_GB2312" w:hAnsi="ˎ̥" w:eastAsia="仿宋_GB2312"/>
          <w:b w:val="0"/>
          <w:bCs w:val="0"/>
          <w:color w:val="auto"/>
          <w:sz w:val="32"/>
          <w:szCs w:val="32"/>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90" w:lineRule="exact"/>
        <w:ind w:firstLine="627" w:firstLineChars="196"/>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楷体" w:hAnsi="楷体" w:eastAsia="楷体" w:cs="楷体"/>
          <w:b w:val="0"/>
          <w:bCs w:val="0"/>
          <w:color w:val="auto"/>
          <w:sz w:val="32"/>
          <w:szCs w:val="32"/>
        </w:rPr>
      </w:pPr>
      <w:r>
        <w:rPr>
          <w:rFonts w:hint="eastAsia" w:ascii="楷体" w:hAnsi="楷体" w:eastAsia="楷体" w:cs="楷体"/>
          <w:b w:val="0"/>
          <w:bCs w:val="0"/>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年度国有资本经营预算财政拨款支出</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楷体" w:hAnsi="楷体" w:eastAsia="楷体" w:cs="楷体"/>
          <w:b w:val="0"/>
          <w:bCs w:val="0"/>
          <w:color w:val="auto"/>
          <w:sz w:val="32"/>
          <w:szCs w:val="32"/>
        </w:rPr>
      </w:pPr>
      <w:r>
        <w:rPr>
          <w:rFonts w:hint="eastAsia" w:ascii="楷体" w:hAnsi="楷体" w:eastAsia="楷体" w:cs="楷体"/>
          <w:b w:val="0"/>
          <w:bCs w:val="0"/>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年度国有资本经营预算财政拨款支出</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楷体" w:hAnsi="楷体" w:eastAsia="楷体" w:cs="楷体"/>
          <w:b w:val="0"/>
          <w:bCs w:val="0"/>
          <w:color w:val="auto"/>
          <w:sz w:val="32"/>
          <w:szCs w:val="32"/>
        </w:rPr>
      </w:pPr>
      <w:r>
        <w:rPr>
          <w:rFonts w:hint="eastAsia" w:ascii="楷体" w:hAnsi="楷体" w:eastAsia="楷体" w:cs="楷体"/>
          <w:b w:val="0"/>
          <w:bCs w:val="0"/>
          <w:color w:val="auto"/>
          <w:sz w:val="32"/>
          <w:szCs w:val="32"/>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lang w:eastAsia="zh-CN"/>
        </w:rPr>
      </w:pP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年度国有资本经营预算财政拨款支出年初预算为</w:t>
      </w:r>
      <w:r>
        <w:rPr>
          <w:rFonts w:hint="eastAsia" w:ascii="仿宋_GB2312" w:hAnsi="ˎ̥" w:eastAsia="仿宋_GB2312"/>
          <w:b w:val="0"/>
          <w:bCs w:val="0"/>
          <w:color w:val="auto"/>
          <w:sz w:val="32"/>
          <w:szCs w:val="32"/>
          <w:lang w:val="en-US" w:eastAsia="zh-CN"/>
        </w:rPr>
        <w:t>0</w:t>
      </w:r>
      <w:r>
        <w:rPr>
          <w:rFonts w:hint="eastAsia" w:ascii="仿宋_GB2312" w:hAnsi="ˎ̥" w:eastAsia="仿宋_GB2312"/>
          <w:b w:val="0"/>
          <w:bCs w:val="0"/>
          <w:color w:val="auto"/>
          <w:sz w:val="32"/>
          <w:szCs w:val="32"/>
        </w:rPr>
        <w:t>万元</w:t>
      </w:r>
      <w:r>
        <w:rPr>
          <w:rFonts w:hint="eastAsia" w:ascii="仿宋_GB2312" w:hAnsi="ˎ̥" w:eastAsia="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27" w:firstLineChars="196"/>
        <w:textAlignment w:val="auto"/>
        <w:rPr>
          <w:rFonts w:hint="eastAsia" w:ascii="仿宋_GB2312" w:hAnsi="ˎ̥" w:eastAsia="楷体_GB2312"/>
          <w:b w:val="0"/>
          <w:bCs w:val="0"/>
          <w:color w:val="auto"/>
          <w:sz w:val="32"/>
          <w:szCs w:val="32"/>
        </w:rPr>
      </w:pPr>
      <w:r>
        <w:rPr>
          <w:rFonts w:hint="eastAsia" w:ascii="黑体" w:hAnsi="黑体" w:eastAsia="黑体" w:cs="黑体"/>
          <w:b w:val="0"/>
          <w:bCs w:val="0"/>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楷体" w:hAnsi="楷体" w:eastAsia="楷体" w:cs="楷体"/>
          <w:b w:val="0"/>
          <w:bCs w:val="0"/>
          <w:color w:val="auto"/>
          <w:sz w:val="32"/>
          <w:szCs w:val="32"/>
        </w:rPr>
      </w:pPr>
      <w:r>
        <w:rPr>
          <w:rFonts w:hint="eastAsia" w:ascii="楷体" w:hAnsi="楷体" w:eastAsia="楷体" w:cs="楷体"/>
          <w:b w:val="0"/>
          <w:bCs w:val="0"/>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 xml:space="preserve">    </w:t>
      </w: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年度财政拨款“三公”经费支出预算为</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楷体" w:hAnsi="楷体" w:eastAsia="楷体" w:cs="楷体"/>
          <w:b w:val="0"/>
          <w:bCs w:val="0"/>
          <w:color w:val="auto"/>
          <w:sz w:val="32"/>
          <w:szCs w:val="32"/>
        </w:rPr>
      </w:pPr>
      <w:r>
        <w:rPr>
          <w:rFonts w:hint="eastAsia" w:ascii="楷体" w:hAnsi="楷体" w:eastAsia="楷体" w:cs="楷体"/>
          <w:b w:val="0"/>
          <w:bCs w:val="0"/>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年度财政拨款“三公”经费支出决算中，因公出国（境）费支出决算</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961" w:leftChars="0"/>
        <w:textAlignment w:val="auto"/>
        <w:rPr>
          <w:rFonts w:hint="eastAsia" w:ascii="仿宋_GB2312" w:hAnsi="ˎ̥" w:eastAsia="仿宋_GB2312" w:cs="Times New Roman"/>
          <w:b w:val="0"/>
          <w:bCs w:val="0"/>
          <w:color w:val="auto"/>
          <w:sz w:val="32"/>
          <w:szCs w:val="32"/>
        </w:rPr>
      </w:pPr>
      <w:r>
        <w:rPr>
          <w:rFonts w:hint="eastAsia" w:ascii="仿宋_GB2312" w:hAnsi="ˎ̥" w:eastAsia="仿宋_GB2312"/>
          <w:b w:val="0"/>
          <w:bCs w:val="0"/>
          <w:color w:val="auto"/>
          <w:sz w:val="32"/>
          <w:szCs w:val="32"/>
          <w:lang w:val="en-US" w:eastAsia="zh-CN"/>
        </w:rPr>
        <w:t>1.</w:t>
      </w:r>
      <w:r>
        <w:rPr>
          <w:rFonts w:hint="eastAsia" w:ascii="仿宋_GB2312" w:hAnsi="ˎ̥" w:eastAsia="仿宋_GB2312"/>
          <w:b w:val="0"/>
          <w:bCs w:val="0"/>
          <w:color w:val="auto"/>
          <w:sz w:val="32"/>
          <w:szCs w:val="32"/>
        </w:rPr>
        <w:t>因公出国（境）费支</w:t>
      </w:r>
      <w:r>
        <w:rPr>
          <w:rFonts w:hint="eastAsia" w:ascii="仿宋_GB2312" w:hAnsi="ˎ̥" w:eastAsia="仿宋_GB2312" w:cs="Times New Roman"/>
          <w:b w:val="0"/>
          <w:bCs w:val="0"/>
          <w:color w:val="auto"/>
          <w:sz w:val="32"/>
          <w:szCs w:val="32"/>
        </w:rPr>
        <w:t>出0.00万元。</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961" w:leftChars="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2.公务用车购置及运行维护费支出</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lang w:eastAsia="zh-CN"/>
        </w:rPr>
      </w:pPr>
      <w:r>
        <w:rPr>
          <w:rFonts w:hint="eastAsia" w:ascii="仿宋_GB2312" w:hAnsi="ˎ̥" w:eastAsia="仿宋_GB2312"/>
          <w:b w:val="0"/>
          <w:bCs w:val="0"/>
          <w:color w:val="auto"/>
          <w:sz w:val="32"/>
          <w:szCs w:val="32"/>
        </w:rPr>
        <w:t xml:space="preserve">  3.公务接待费支出</w:t>
      </w:r>
      <w:r>
        <w:rPr>
          <w:rFonts w:hint="default" w:ascii="仿宋_GB2312" w:hAnsi="ˎ̥" w:eastAsia="仿宋_GB2312"/>
          <w:b w:val="0"/>
          <w:bCs w:val="0"/>
          <w:color w:val="auto"/>
          <w:sz w:val="32"/>
          <w:szCs w:val="32"/>
          <w:lang w:val="en-US"/>
        </w:rPr>
        <w:t>0.00</w:t>
      </w:r>
      <w:r>
        <w:rPr>
          <w:rFonts w:hint="eastAsia" w:ascii="仿宋_GB2312" w:hAnsi="ˎ̥" w:eastAsia="仿宋_GB2312"/>
          <w:b w:val="0"/>
          <w:bCs w:val="0"/>
          <w:color w:val="auto"/>
          <w:sz w:val="32"/>
          <w:szCs w:val="32"/>
        </w:rPr>
        <w:t>万元</w:t>
      </w:r>
      <w:r>
        <w:rPr>
          <w:rFonts w:hint="eastAsia" w:ascii="仿宋_GB2312" w:hAnsi="ˎ̥" w:eastAsia="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十、预算绩效情况说明</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b w:val="0"/>
          <w:bCs w:val="0"/>
          <w:color w:val="auto"/>
          <w:sz w:val="32"/>
          <w:szCs w:val="32"/>
        </w:rPr>
      </w:pPr>
      <w:r>
        <w:rPr>
          <w:rFonts w:hint="eastAsia" w:ascii="楷体_GB2312" w:hAnsi="楷体_GB2312" w:eastAsia="楷体_GB2312" w:cs="楷体_GB2312"/>
          <w:b w:val="0"/>
          <w:bCs w:val="0"/>
          <w:color w:val="auto"/>
          <w:sz w:val="32"/>
          <w:szCs w:val="32"/>
        </w:rPr>
        <w:t>（一）绩效管理工作开展情况</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b w:val="0"/>
          <w:bCs w:val="0"/>
          <w:color w:val="auto"/>
          <w:sz w:val="32"/>
          <w:szCs w:val="32"/>
          <w:lang w:eastAsia="zh-CN"/>
        </w:rPr>
      </w:pPr>
      <w:r>
        <w:rPr>
          <w:rFonts w:hint="eastAsia" w:ascii="楷体_GB2312" w:hAnsi="楷体_GB2312" w:eastAsia="楷体_GB2312" w:cs="楷体_GB2312"/>
          <w:b w:val="0"/>
          <w:bCs w:val="0"/>
          <w:color w:val="auto"/>
          <w:sz w:val="32"/>
          <w:szCs w:val="32"/>
        </w:rPr>
        <w:t>我单位组织</w:t>
      </w:r>
      <w:r>
        <w:rPr>
          <w:rFonts w:hint="eastAsia" w:ascii="楷体_GB2312" w:hAnsi="楷体_GB2312" w:eastAsia="楷体_GB2312" w:cs="楷体_GB2312"/>
          <w:b w:val="0"/>
          <w:bCs w:val="0"/>
          <w:color w:val="auto"/>
          <w:sz w:val="32"/>
          <w:szCs w:val="32"/>
          <w:lang w:eastAsia="zh-CN"/>
        </w:rPr>
        <w:t>没有对</w:t>
      </w:r>
      <w:r>
        <w:rPr>
          <w:rFonts w:hint="eastAsia" w:ascii="楷体_GB2312" w:hAnsi="楷体_GB2312" w:eastAsia="楷体_GB2312" w:cs="楷体_GB2312"/>
          <w:b w:val="0"/>
          <w:bCs w:val="0"/>
          <w:color w:val="auto"/>
          <w:sz w:val="32"/>
          <w:szCs w:val="32"/>
          <w:lang w:val="en-US"/>
        </w:rPr>
        <w:t>202</w:t>
      </w:r>
      <w:r>
        <w:rPr>
          <w:rFonts w:hint="eastAsia" w:ascii="楷体_GB2312" w:hAnsi="楷体_GB2312" w:eastAsia="楷体_GB2312" w:cs="楷体_GB2312"/>
          <w:b w:val="0"/>
          <w:bCs w:val="0"/>
          <w:color w:val="auto"/>
          <w:sz w:val="32"/>
          <w:szCs w:val="32"/>
          <w:lang w:val="en-US" w:eastAsia="zh-CN"/>
        </w:rPr>
        <w:t>3</w:t>
      </w:r>
      <w:r>
        <w:rPr>
          <w:rFonts w:hint="eastAsia" w:ascii="楷体_GB2312" w:hAnsi="楷体_GB2312" w:eastAsia="楷体_GB2312" w:cs="楷体_GB2312"/>
          <w:b w:val="0"/>
          <w:bCs w:val="0"/>
          <w:color w:val="auto"/>
          <w:sz w:val="32"/>
          <w:szCs w:val="32"/>
        </w:rPr>
        <w:t>年度一般公共预算项目支出全面开展绩效自评</w:t>
      </w:r>
      <w:r>
        <w:rPr>
          <w:rFonts w:hint="eastAsia" w:ascii="楷体_GB2312" w:hAnsi="楷体_GB2312" w:eastAsia="楷体_GB2312" w:cs="楷体_GB2312"/>
          <w:b w:val="0"/>
          <w:bCs w:val="0"/>
          <w:color w:val="auto"/>
          <w:sz w:val="32"/>
          <w:szCs w:val="32"/>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rPr>
        <w:t>（二）</w:t>
      </w:r>
      <w:r>
        <w:rPr>
          <w:rFonts w:hint="eastAsia" w:ascii="楷体_GB2312" w:hAnsi="楷体_GB2312" w:eastAsia="楷体_GB2312" w:cs="楷体_GB2312"/>
          <w:b w:val="0"/>
          <w:bCs w:val="0"/>
          <w:color w:val="auto"/>
          <w:sz w:val="32"/>
          <w:szCs w:val="32"/>
          <w:lang w:eastAsia="zh-CN"/>
        </w:rPr>
        <w:t>单位</w:t>
      </w:r>
      <w:r>
        <w:rPr>
          <w:rFonts w:hint="eastAsia" w:ascii="楷体_GB2312" w:hAnsi="楷体_GB2312" w:eastAsia="楷体_GB2312" w:cs="楷体_GB2312"/>
          <w:b w:val="0"/>
          <w:bCs w:val="0"/>
          <w:color w:val="auto"/>
          <w:sz w:val="32"/>
          <w:szCs w:val="32"/>
        </w:rPr>
        <w:t>决算中项目绩效自评结果（</w:t>
      </w:r>
      <w:r>
        <w:rPr>
          <w:rFonts w:hint="eastAsia" w:ascii="楷体_GB2312" w:hAnsi="楷体_GB2312" w:eastAsia="楷体_GB2312" w:cs="楷体_GB2312"/>
          <w:b w:val="0"/>
          <w:bCs w:val="0"/>
          <w:color w:val="auto"/>
          <w:sz w:val="32"/>
          <w:szCs w:val="32"/>
          <w:lang w:eastAsia="zh-CN"/>
        </w:rPr>
        <w:t>无</w:t>
      </w:r>
      <w:r>
        <w:rPr>
          <w:rFonts w:hint="eastAsia" w:ascii="楷体_GB2312" w:hAnsi="楷体_GB2312" w:eastAsia="楷体_GB2312" w:cs="楷体_GB2312"/>
          <w:b w:val="0"/>
          <w:bCs w:val="0"/>
          <w:color w:val="auto"/>
          <w:sz w:val="32"/>
          <w:szCs w:val="32"/>
        </w:rPr>
        <w:t>）。</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b w:val="0"/>
          <w:bCs w:val="0"/>
          <w:color w:val="auto"/>
          <w:sz w:val="32"/>
          <w:szCs w:val="32"/>
          <w:lang w:val="en-US"/>
        </w:rPr>
      </w:pPr>
      <w:r>
        <w:rPr>
          <w:rFonts w:hint="eastAsia" w:ascii="楷体_GB2312" w:hAnsi="楷体_GB2312" w:eastAsia="楷体_GB2312" w:cs="楷体_GB2312"/>
          <w:b w:val="0"/>
          <w:bCs w:val="0"/>
          <w:color w:val="auto"/>
          <w:sz w:val="32"/>
          <w:szCs w:val="32"/>
        </w:rPr>
        <w:t>（三）</w:t>
      </w:r>
      <w:r>
        <w:rPr>
          <w:rFonts w:hint="eastAsia" w:ascii="楷体_GB2312" w:hAnsi="楷体_GB2312" w:eastAsia="楷体_GB2312" w:cs="楷体_GB2312"/>
          <w:b w:val="0"/>
          <w:bCs w:val="0"/>
          <w:color w:val="auto"/>
          <w:sz w:val="32"/>
          <w:szCs w:val="32"/>
          <w:lang w:eastAsia="zh-CN"/>
        </w:rPr>
        <w:t>单位</w:t>
      </w:r>
      <w:r>
        <w:rPr>
          <w:rFonts w:hint="eastAsia" w:ascii="楷体_GB2312" w:hAnsi="楷体_GB2312" w:eastAsia="楷体_GB2312" w:cs="楷体_GB2312"/>
          <w:b w:val="0"/>
          <w:bCs w:val="0"/>
          <w:color w:val="auto"/>
          <w:sz w:val="32"/>
          <w:szCs w:val="32"/>
        </w:rPr>
        <w:t>评价结果（</w:t>
      </w:r>
      <w:r>
        <w:rPr>
          <w:rFonts w:hint="eastAsia" w:ascii="楷体_GB2312" w:hAnsi="楷体_GB2312" w:eastAsia="楷体_GB2312" w:cs="楷体_GB2312"/>
          <w:b w:val="0"/>
          <w:bCs w:val="0"/>
          <w:color w:val="auto"/>
          <w:sz w:val="32"/>
          <w:szCs w:val="32"/>
          <w:lang w:eastAsia="zh-CN"/>
        </w:rPr>
        <w:t>无</w:t>
      </w:r>
      <w:r>
        <w:rPr>
          <w:rFonts w:hint="eastAsia" w:ascii="楷体_GB2312" w:hAnsi="楷体_GB2312" w:eastAsia="楷体_GB2312" w:cs="楷体_GB2312"/>
          <w:b w:val="0"/>
          <w:bCs w:val="0"/>
          <w:color w:val="auto"/>
          <w:sz w:val="32"/>
          <w:szCs w:val="32"/>
        </w:rPr>
        <w:t>）。</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rPr>
        <w:t>（四）财政评价结果（</w:t>
      </w:r>
      <w:r>
        <w:rPr>
          <w:rFonts w:hint="eastAsia" w:ascii="楷体_GB2312" w:hAnsi="楷体_GB2312" w:eastAsia="楷体_GB2312" w:cs="楷体_GB2312"/>
          <w:b w:val="0"/>
          <w:bCs w:val="0"/>
          <w:color w:val="auto"/>
          <w:sz w:val="32"/>
          <w:szCs w:val="32"/>
          <w:lang w:eastAsia="zh-CN"/>
        </w:rPr>
        <w:t>无</w:t>
      </w:r>
      <w:r>
        <w:rPr>
          <w:rFonts w:hint="eastAsia" w:ascii="楷体_GB2312" w:hAnsi="楷体_GB2312" w:eastAsia="楷体_GB2312" w:cs="楷体_GB2312"/>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b w:val="0"/>
          <w:bCs w:val="0"/>
          <w:color w:val="auto"/>
          <w:sz w:val="32"/>
          <w:szCs w:val="32"/>
        </w:rPr>
      </w:pPr>
      <w:bookmarkStart w:id="95" w:name="_Toc5978_WPSOffice_Level2"/>
      <w:bookmarkStart w:id="96" w:name="_Toc23598_WPSOffice_Level2"/>
      <w:bookmarkStart w:id="97" w:name="_Toc15262_WPSOffice_Level2"/>
      <w:bookmarkStart w:id="98" w:name="_Toc18325_WPSOffice_Level2"/>
      <w:bookmarkStart w:id="99" w:name="_Toc15565_WPSOffice_Level2"/>
      <w:bookmarkStart w:id="100" w:name="_Toc32639_WPSOffice_Level2"/>
      <w:r>
        <w:rPr>
          <w:rFonts w:hint="eastAsia" w:ascii="仿宋_GB2312" w:hAnsi="仿宋_GB2312" w:eastAsia="仿宋_GB2312" w:cs="仿宋_GB2312"/>
          <w:b w:val="0"/>
          <w:bCs w:val="0"/>
          <w:color w:val="auto"/>
          <w:sz w:val="32"/>
          <w:szCs w:val="32"/>
        </w:rPr>
        <w:t>（一）机关运行经费支出情况</w:t>
      </w:r>
      <w:bookmarkEnd w:id="95"/>
      <w:bookmarkEnd w:id="96"/>
      <w:bookmarkEnd w:id="97"/>
      <w:bookmarkEnd w:id="98"/>
      <w:bookmarkEnd w:id="99"/>
      <w:bookmarkEnd w:id="100"/>
    </w:p>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590" w:lineRule="exact"/>
        <w:ind w:left="0" w:right="0" w:firstLine="640" w:firstLineChars="200"/>
        <w:textAlignment w:val="auto"/>
        <w:rPr>
          <w:rFonts w:hint="eastAsia" w:ascii="仿宋_GB2312" w:hAnsi="ˎ̥" w:eastAsia="仿宋_GB2312" w:cs="仿宋_GB2312"/>
          <w:b w:val="0"/>
          <w:bCs w:val="0"/>
          <w:color w:val="auto"/>
          <w:sz w:val="32"/>
          <w:szCs w:val="32"/>
          <w:lang w:val="en-US"/>
        </w:rPr>
      </w:pP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年度</w:t>
      </w:r>
      <w:r>
        <w:rPr>
          <w:rFonts w:hint="eastAsia" w:ascii="仿宋_GB2312" w:hAnsi="ˎ̥" w:eastAsia="仿宋_GB2312" w:cs="仿宋_GB2312"/>
          <w:b w:val="0"/>
          <w:bCs w:val="0"/>
          <w:color w:val="auto"/>
          <w:sz w:val="32"/>
          <w:szCs w:val="32"/>
          <w:lang w:val="en-US"/>
        </w:rPr>
        <w:t>屯昌县南坤镇加握幼儿园机关运行经费0万元</w:t>
      </w:r>
      <w:bookmarkStart w:id="101" w:name="_Toc3131_WPSOffice_Level2"/>
      <w:bookmarkStart w:id="102" w:name="_Toc32689_WPSOffice_Level2"/>
      <w:bookmarkStart w:id="103" w:name="_Toc23966_WPSOffice_Level2"/>
      <w:bookmarkStart w:id="104" w:name="_Toc25333_WPSOffice_Level2"/>
      <w:bookmarkStart w:id="105" w:name="_Toc30383_WPSOffice_Level2"/>
      <w:bookmarkStart w:id="106" w:name="_Toc13084_WPSOffice_Level2"/>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100" w:beforeAutospacing="1" w:after="100" w:afterAutospacing="1" w:line="590" w:lineRule="exact"/>
        <w:ind w:left="0" w:right="0" w:firstLine="640" w:firstLineChars="200"/>
        <w:textAlignment w:val="auto"/>
        <w:rPr>
          <w:rFonts w:hint="eastAsia" w:ascii="楷体" w:hAnsi="楷体" w:eastAsia="楷体" w:cs="楷体"/>
          <w:b w:val="0"/>
          <w:bCs w:val="0"/>
          <w:color w:val="auto"/>
          <w:sz w:val="32"/>
          <w:szCs w:val="32"/>
        </w:rPr>
      </w:pPr>
      <w:r>
        <w:rPr>
          <w:rFonts w:hint="eastAsia" w:ascii="楷体" w:hAnsi="楷体" w:eastAsia="楷体" w:cs="楷体"/>
          <w:b w:val="0"/>
          <w:bCs w:val="0"/>
          <w:color w:val="auto"/>
          <w:sz w:val="32"/>
          <w:szCs w:val="32"/>
        </w:rPr>
        <w:t>政府采购支出情况</w:t>
      </w:r>
      <w:bookmarkEnd w:id="101"/>
      <w:bookmarkEnd w:id="102"/>
      <w:bookmarkEnd w:id="103"/>
      <w:bookmarkEnd w:id="104"/>
      <w:bookmarkEnd w:id="105"/>
      <w:bookmarkEnd w:id="106"/>
    </w:p>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590" w:lineRule="exact"/>
        <w:ind w:left="0" w:right="0" w:firstLine="640" w:firstLineChars="200"/>
        <w:textAlignment w:val="auto"/>
        <w:rPr>
          <w:rFonts w:hint="eastAsia" w:ascii="楷体" w:hAnsi="楷体" w:eastAsia="楷体" w:cs="楷体"/>
          <w:b w:val="0"/>
          <w:bCs w:val="0"/>
          <w:color w:val="auto"/>
          <w:sz w:val="32"/>
          <w:szCs w:val="32"/>
        </w:rPr>
      </w:pPr>
      <w:r>
        <w:rPr>
          <w:rFonts w:hint="eastAsia" w:ascii="仿宋_GB2312" w:hAnsi="ˎ̥" w:eastAsia="仿宋_GB2312" w:cs="仿宋_GB2312"/>
          <w:b w:val="0"/>
          <w:bCs w:val="0"/>
          <w:color w:val="auto"/>
          <w:sz w:val="32"/>
          <w:szCs w:val="32"/>
          <w:lang w:val="en-US"/>
        </w:rPr>
        <w:t>202</w:t>
      </w:r>
      <w:r>
        <w:rPr>
          <w:rFonts w:hint="eastAsia" w:ascii="仿宋_GB2312" w:hAnsi="ˎ̥" w:eastAsia="仿宋_GB2312" w:cs="仿宋_GB2312"/>
          <w:b w:val="0"/>
          <w:bCs w:val="0"/>
          <w:color w:val="auto"/>
          <w:sz w:val="32"/>
          <w:szCs w:val="32"/>
          <w:lang w:val="en-US" w:eastAsia="zh-CN"/>
        </w:rPr>
        <w:t>3</w:t>
      </w:r>
      <w:r>
        <w:rPr>
          <w:rFonts w:hint="eastAsia" w:ascii="仿宋_GB2312" w:hAnsi="ˎ̥" w:eastAsia="仿宋_GB2312" w:cs="仿宋_GB2312"/>
          <w:b w:val="0"/>
          <w:bCs w:val="0"/>
          <w:color w:val="auto"/>
          <w:sz w:val="32"/>
          <w:szCs w:val="32"/>
          <w:lang w:val="en-US"/>
        </w:rPr>
        <w:t>年度屯昌县南坤镇加握幼儿园政府采购支出总额0万元。</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楷体" w:hAnsi="楷体" w:eastAsia="楷体" w:cs="楷体"/>
          <w:b w:val="0"/>
          <w:bCs w:val="0"/>
          <w:color w:val="auto"/>
          <w:sz w:val="32"/>
          <w:szCs w:val="32"/>
        </w:rPr>
      </w:pPr>
      <w:bookmarkStart w:id="107" w:name="_Toc29584_WPSOffice_Level2"/>
      <w:bookmarkStart w:id="108" w:name="_Toc6016_WPSOffice_Level2"/>
      <w:bookmarkStart w:id="109" w:name="_Toc527_WPSOffice_Level2"/>
      <w:bookmarkStart w:id="110" w:name="_Toc10902_WPSOffice_Level2"/>
      <w:bookmarkStart w:id="111" w:name="_Toc19989_WPSOffice_Level2"/>
      <w:bookmarkStart w:id="112" w:name="_Toc15129_WPSOffice_Level2"/>
      <w:r>
        <w:rPr>
          <w:rFonts w:hint="eastAsia" w:ascii="楷体" w:hAnsi="楷体" w:eastAsia="楷体" w:cs="楷体"/>
          <w:b w:val="0"/>
          <w:bCs w:val="0"/>
          <w:color w:val="auto"/>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截至</w:t>
      </w:r>
      <w:r>
        <w:rPr>
          <w:rFonts w:hint="default" w:ascii="仿宋_GB2312" w:hAnsi="ˎ̥" w:eastAsia="仿宋_GB2312"/>
          <w:b w:val="0"/>
          <w:bCs w:val="0"/>
          <w:color w:val="auto"/>
          <w:sz w:val="32"/>
          <w:szCs w:val="32"/>
          <w:lang w:val="en-US"/>
        </w:rPr>
        <w:t>2024</w:t>
      </w:r>
      <w:r>
        <w:rPr>
          <w:rFonts w:hint="eastAsia" w:ascii="仿宋_GB2312" w:hAnsi="ˎ̥" w:eastAsia="仿宋_GB2312"/>
          <w:b w:val="0"/>
          <w:bCs w:val="0"/>
          <w:color w:val="auto"/>
          <w:sz w:val="32"/>
          <w:szCs w:val="32"/>
        </w:rPr>
        <w:t>年12月31日，</w:t>
      </w:r>
      <w:r>
        <w:rPr>
          <w:rFonts w:hint="eastAsia" w:ascii="仿宋_GB2312" w:hAnsi="ˎ̥" w:eastAsia="仿宋_GB2312" w:cs="仿宋_GB2312"/>
          <w:b w:val="0"/>
          <w:bCs w:val="0"/>
          <w:color w:val="auto"/>
          <w:sz w:val="32"/>
          <w:szCs w:val="32"/>
        </w:rPr>
        <w:t>本</w:t>
      </w:r>
      <w:r>
        <w:rPr>
          <w:rFonts w:hint="eastAsia" w:ascii="仿宋_GB2312" w:hAnsi="ˎ̥" w:eastAsia="仿宋_GB2312" w:cs="仿宋_GB2312"/>
          <w:b w:val="0"/>
          <w:bCs w:val="0"/>
          <w:color w:val="auto"/>
          <w:sz w:val="32"/>
          <w:szCs w:val="32"/>
          <w:lang w:eastAsia="zh-CN"/>
        </w:rPr>
        <w:t>单位</w:t>
      </w:r>
      <w:r>
        <w:rPr>
          <w:rFonts w:hint="eastAsia" w:ascii="仿宋_GB2312" w:hAnsi="ˎ̥" w:eastAsia="仿宋_GB2312" w:cs="仿宋_GB2312"/>
          <w:b w:val="0"/>
          <w:bCs w:val="0"/>
          <w:color w:val="auto"/>
          <w:sz w:val="32"/>
          <w:szCs w:val="32"/>
        </w:rPr>
        <w:t>占用房屋面积2481平方米</w:t>
      </w:r>
      <w:r>
        <w:rPr>
          <w:rFonts w:hint="eastAsia" w:ascii="仿宋_GB2312" w:hAnsi="ˎ̥" w:eastAsia="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黑体" w:hAnsi="ˎ̥" w:eastAsia="黑体"/>
          <w:b w:val="0"/>
          <w:bCs w:val="0"/>
          <w:color w:val="auto"/>
          <w:sz w:val="32"/>
          <w:szCs w:val="32"/>
        </w:rPr>
      </w:pPr>
      <w:bookmarkStart w:id="113" w:name="_Toc15425_WPSOffice_Level1"/>
      <w:bookmarkStart w:id="114" w:name="_Toc8874_WPSOffice_Level1"/>
      <w:bookmarkStart w:id="115" w:name="_Toc8808_WPSOffice_Level1"/>
      <w:bookmarkStart w:id="116" w:name="_Toc4398_WPSOffice_Level1"/>
      <w:bookmarkStart w:id="117" w:name="_Toc17580_WPSOffice_Level1"/>
      <w:bookmarkStart w:id="118" w:name="_Toc11039_WPSOffice_Level1"/>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黑体" w:hAnsi="ˎ̥" w:eastAsia="黑体"/>
          <w:b w:val="0"/>
          <w:bCs w:val="0"/>
          <w:color w:val="auto"/>
          <w:sz w:val="32"/>
          <w:szCs w:val="32"/>
        </w:rPr>
      </w:pPr>
      <w:r>
        <w:rPr>
          <w:rFonts w:hint="eastAsia" w:ascii="黑体" w:hAnsi="ˎ̥" w:eastAsia="黑体"/>
          <w:b w:val="0"/>
          <w:bCs w:val="0"/>
          <w:color w:val="auto"/>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黑体" w:hAnsi="ˎ̥" w:eastAsia="黑体"/>
          <w:b w:val="0"/>
          <w:bCs w:val="0"/>
          <w:color w:val="auto"/>
          <w:sz w:val="32"/>
          <w:szCs w:val="32"/>
        </w:rPr>
      </w:pPr>
    </w:p>
    <w:p>
      <w:pPr>
        <w:keepNext w:val="0"/>
        <w:keepLines w:val="0"/>
        <w:pageBreakBefore w:val="0"/>
        <w:widowControl w:val="0"/>
        <w:numPr>
          <w:ilvl w:val="0"/>
          <w:numId w:val="5"/>
        </w:numPr>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财政拨款收入：指同级政府财政</w:t>
      </w:r>
      <w:r>
        <w:rPr>
          <w:rFonts w:hint="eastAsia" w:ascii="仿宋_GB2312" w:hAnsi="ˎ̥" w:eastAsia="仿宋_GB2312"/>
          <w:b w:val="0"/>
          <w:bCs w:val="0"/>
          <w:color w:val="auto"/>
          <w:sz w:val="32"/>
          <w:szCs w:val="32"/>
          <w:lang w:eastAsia="zh-CN"/>
        </w:rPr>
        <w:t>单位</w:t>
      </w:r>
      <w:r>
        <w:rPr>
          <w:rFonts w:hint="eastAsia" w:ascii="仿宋_GB2312" w:hAnsi="ˎ̥" w:eastAsia="仿宋_GB2312"/>
          <w:b w:val="0"/>
          <w:bCs w:val="0"/>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二、上级补助收入：指事业单位从主管</w:t>
      </w:r>
      <w:r>
        <w:rPr>
          <w:rFonts w:hint="eastAsia" w:ascii="仿宋_GB2312" w:hAnsi="ˎ̥" w:eastAsia="仿宋_GB2312"/>
          <w:b w:val="0"/>
          <w:bCs w:val="0"/>
          <w:color w:val="auto"/>
          <w:sz w:val="32"/>
          <w:szCs w:val="32"/>
          <w:lang w:eastAsia="zh-CN"/>
        </w:rPr>
        <w:t>单位</w:t>
      </w:r>
      <w:r>
        <w:rPr>
          <w:rFonts w:hint="eastAsia" w:ascii="仿宋_GB2312" w:hAnsi="ˎ̥" w:eastAsia="仿宋_GB2312"/>
          <w:b w:val="0"/>
          <w:bCs w:val="0"/>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90" w:lineRule="exact"/>
        <w:ind w:firstLine="645"/>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90" w:lineRule="exact"/>
        <w:ind w:firstLine="645"/>
        <w:textAlignment w:val="auto"/>
        <w:rPr>
          <w:rFonts w:ascii="仿宋_GB2312" w:hAnsi="ˎ̥" w:eastAsia="仿宋_GB2312"/>
          <w:b w:val="0"/>
          <w:bCs w:val="0"/>
          <w:color w:val="auto"/>
          <w:sz w:val="32"/>
          <w:szCs w:val="32"/>
        </w:rPr>
      </w:pPr>
      <w:r>
        <w:rPr>
          <w:rFonts w:hint="eastAsia" w:ascii="仿宋_GB2312" w:hAnsi="ˎ̥" w:eastAsia="仿宋_GB2312"/>
          <w:b w:val="0"/>
          <w:bCs w:val="0"/>
          <w:color w:val="auto"/>
          <w:sz w:val="32"/>
          <w:szCs w:val="32"/>
        </w:rPr>
        <w:t>十六、</w:t>
      </w:r>
      <w:r>
        <w:rPr>
          <w:rFonts w:ascii="仿宋_GB2312" w:hAnsi="ˎ̥" w:eastAsia="仿宋_GB2312"/>
          <w:b w:val="0"/>
          <w:bCs w:val="0"/>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90" w:lineRule="exact"/>
        <w:ind w:firstLine="645"/>
        <w:textAlignment w:val="auto"/>
        <w:rPr>
          <w:rFonts w:ascii="仿宋_GB2312" w:hAnsi="ˎ̥" w:eastAsia="仿宋_GB2312"/>
          <w:b w:val="0"/>
          <w:bCs w:val="0"/>
          <w:color w:val="auto"/>
          <w:sz w:val="32"/>
          <w:szCs w:val="32"/>
        </w:rPr>
      </w:pPr>
      <w:r>
        <w:rPr>
          <w:rFonts w:hint="eastAsia" w:ascii="仿宋_GB2312" w:hAnsi="ˎ̥" w:eastAsia="仿宋_GB2312"/>
          <w:b w:val="0"/>
          <w:bCs w:val="0"/>
          <w:color w:val="auto"/>
          <w:sz w:val="32"/>
          <w:szCs w:val="32"/>
        </w:rPr>
        <w:t>XXXX（类）XXXX（款）XXXX（项），</w:t>
      </w:r>
      <w:r>
        <w:rPr>
          <w:rFonts w:ascii="仿宋_GB2312" w:hAnsi="ˎ̥" w:eastAsia="仿宋_GB2312"/>
          <w:b w:val="0"/>
          <w:bCs w:val="0"/>
          <w:color w:val="auto"/>
          <w:sz w:val="32"/>
          <w:szCs w:val="32"/>
        </w:rPr>
        <w:t>……</w:t>
      </w:r>
      <w:r>
        <w:rPr>
          <w:rFonts w:hint="eastAsia" w:ascii="仿宋_GB2312" w:hAnsi="ˎ̥" w:eastAsia="仿宋_GB2312"/>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firstLine="645"/>
        <w:textAlignment w:val="auto"/>
        <w:rPr>
          <w:rFonts w:hint="default" w:ascii="仿宋_GB2312" w:hAnsi="ˎ̥" w:eastAsia="仿宋_GB2312"/>
          <w:b w:val="0"/>
          <w:bCs w:val="0"/>
          <w:color w:val="auto"/>
          <w:sz w:val="32"/>
          <w:szCs w:val="32"/>
          <w:lang w:val="en-US" w:eastAsia="zh-CN"/>
        </w:rPr>
      </w:pPr>
      <w:r>
        <w:rPr>
          <w:rFonts w:hint="eastAsia" w:ascii="仿宋_GB2312" w:hAnsi="ˎ̥" w:eastAsia="仿宋_GB2312"/>
          <w:b w:val="0"/>
          <w:bCs w:val="0"/>
          <w:color w:val="auto"/>
          <w:sz w:val="32"/>
          <w:szCs w:val="32"/>
        </w:rPr>
        <w:t>XXXX（类）XXXX（款）XXXX（项），</w:t>
      </w:r>
      <w:r>
        <w:rPr>
          <w:rFonts w:ascii="仿宋_GB2312" w:hAnsi="ˎ̥" w:eastAsia="仿宋_GB2312"/>
          <w:b w:val="0"/>
          <w:bCs w:val="0"/>
          <w:color w:val="auto"/>
          <w:sz w:val="32"/>
          <w:szCs w:val="32"/>
        </w:rPr>
        <w:t>……</w:t>
      </w:r>
      <w:r>
        <w:rPr>
          <w:rFonts w:hint="eastAsia" w:ascii="仿宋_GB2312" w:hAnsi="ˎ̥" w:eastAsia="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textAlignment w:val="auto"/>
        <w:rPr>
          <w:b w:val="0"/>
          <w:bCs w:val="0"/>
          <w:color w:val="auto"/>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E82017BD"/>
    <w:multiLevelType w:val="singleLevel"/>
    <w:tmpl w:val="E82017BD"/>
    <w:lvl w:ilvl="0" w:tentative="0">
      <w:start w:val="1"/>
      <w:numFmt w:val="chineseCounting"/>
      <w:suff w:val="nothing"/>
      <w:lvlText w:val="%1、"/>
      <w:lvlJc w:val="left"/>
      <w:rPr>
        <w:rFonts w:hint="eastAsia"/>
      </w:rPr>
    </w:lvl>
  </w:abstractNum>
  <w:abstractNum w:abstractNumId="2">
    <w:nsid w:val="31A9D318"/>
    <w:multiLevelType w:val="singleLevel"/>
    <w:tmpl w:val="31A9D318"/>
    <w:lvl w:ilvl="0" w:tentative="0">
      <w:start w:val="2"/>
      <w:numFmt w:val="chineseCounting"/>
      <w:suff w:val="nothing"/>
      <w:lvlText w:val="（%1）"/>
      <w:lvlJc w:val="left"/>
      <w:rPr>
        <w:rFonts w:hint="eastAsia"/>
      </w:rPr>
    </w:lvl>
  </w:abstractNum>
  <w:abstractNum w:abstractNumId="3">
    <w:nsid w:val="44AFA346"/>
    <w:multiLevelType w:val="singleLevel"/>
    <w:tmpl w:val="44AFA346"/>
    <w:lvl w:ilvl="0" w:tentative="0">
      <w:start w:val="1"/>
      <w:numFmt w:val="chineseCounting"/>
      <w:suff w:val="nothing"/>
      <w:lvlText w:val="%1、"/>
      <w:lvlJc w:val="left"/>
      <w:rPr>
        <w:rFonts w:hint="eastAsia"/>
      </w:rPr>
    </w:lvl>
  </w:abstractNum>
  <w:abstractNum w:abstractNumId="4">
    <w:nsid w:val="72109F8D"/>
    <w:multiLevelType w:val="singleLevel"/>
    <w:tmpl w:val="72109F8D"/>
    <w:lvl w:ilvl="0" w:tentative="0">
      <w:start w:val="7"/>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E3630B9"/>
    <w:rsid w:val="21141F85"/>
    <w:rsid w:val="25885CE6"/>
    <w:rsid w:val="26EEC2B5"/>
    <w:rsid w:val="29472309"/>
    <w:rsid w:val="2B406E77"/>
    <w:rsid w:val="2C2A0C43"/>
    <w:rsid w:val="2D1E73A5"/>
    <w:rsid w:val="32717154"/>
    <w:rsid w:val="33C6599E"/>
    <w:rsid w:val="34B63260"/>
    <w:rsid w:val="37FDA7E2"/>
    <w:rsid w:val="3A314D88"/>
    <w:rsid w:val="3A746883"/>
    <w:rsid w:val="3CA15DE9"/>
    <w:rsid w:val="3FD66843"/>
    <w:rsid w:val="3FE61EE5"/>
    <w:rsid w:val="406508EE"/>
    <w:rsid w:val="408D6263"/>
    <w:rsid w:val="41B40CEE"/>
    <w:rsid w:val="48317291"/>
    <w:rsid w:val="485F7024"/>
    <w:rsid w:val="48E70666"/>
    <w:rsid w:val="4C6877E5"/>
    <w:rsid w:val="4D6A468D"/>
    <w:rsid w:val="4EA86137"/>
    <w:rsid w:val="56CA7FD0"/>
    <w:rsid w:val="57430FD1"/>
    <w:rsid w:val="57FA38D1"/>
    <w:rsid w:val="5B3E0AE0"/>
    <w:rsid w:val="5F7D3333"/>
    <w:rsid w:val="61385890"/>
    <w:rsid w:val="687436E1"/>
    <w:rsid w:val="6ADC731B"/>
    <w:rsid w:val="6C225202"/>
    <w:rsid w:val="6DA45C50"/>
    <w:rsid w:val="6E9A7825"/>
    <w:rsid w:val="6F670F9B"/>
    <w:rsid w:val="737450E0"/>
    <w:rsid w:val="74054476"/>
    <w:rsid w:val="742F38C4"/>
    <w:rsid w:val="74AB66DC"/>
    <w:rsid w:val="74C4154C"/>
    <w:rsid w:val="75956FFF"/>
    <w:rsid w:val="77AA2D01"/>
    <w:rsid w:val="797057FE"/>
    <w:rsid w:val="7CDE1DBD"/>
    <w:rsid w:val="7CDE2D02"/>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7197</Words>
  <Characters>8086</Characters>
  <Lines>67</Lines>
  <Paragraphs>18</Paragraphs>
  <TotalTime>8</TotalTime>
  <ScaleCrop>false</ScaleCrop>
  <LinksUpToDate>false</LinksUpToDate>
  <CharactersWithSpaces>8172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2025-10-27T08:50:54Z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eyJoZGlkIjoiMWU4NWQyYTFmZDYxZWE1MTk3ZTBhZmFlMTFmZjNmNjEiLCJ1c2VySWQiOiIyNTE4NDAyMDYifQ==</vt:lpwstr>
  </property>
</Properties>
</file>