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屯昌县南坤镇中坤幼儿园2024年度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br w:type="page"/>
      </w:r>
    </w:p>
    <w:p>
      <w:pPr>
        <w:spacing w:line="578" w:lineRule="exact"/>
        <w:jc w:val="center"/>
        <w:rPr>
          <w:rFonts w:hint="eastAsia" w:ascii="黑体" w:hAnsi="黑体" w:eastAsia="黑体" w:cs="黑体"/>
          <w:color w:val="auto"/>
          <w:sz w:val="44"/>
          <w:szCs w:val="44"/>
        </w:rPr>
      </w:pPr>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w:t>
      </w:r>
      <w:bookmarkStart w:id="121" w:name="_GoBack"/>
      <w:bookmarkEnd w:id="121"/>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10049_WPSOffice_Level1"/>
      <w:bookmarkStart w:id="3" w:name="_Toc10720_WPSOffice_Level1"/>
      <w:bookmarkStart w:id="4" w:name="_Toc23465_WPSOffice_Level1"/>
      <w:bookmarkStart w:id="5" w:name="_Toc22941_WPSOffice_Level1"/>
      <w:bookmarkStart w:id="6" w:name="_Toc32433_WPSOffice_Level1"/>
      <w:bookmarkStart w:id="7" w:name="_Toc1704_WPSOffice_Level1"/>
      <w:bookmarkStart w:id="8" w:name="_Toc24238_WPSOffice_Level2"/>
      <w:bookmarkStart w:id="9" w:name="_Toc14159_WPSOffice_Level2"/>
      <w:bookmarkStart w:id="10" w:name="_Toc26580_WPSOffice_Level2"/>
      <w:bookmarkStart w:id="11" w:name="_Toc20274_WPSOffice_Level2"/>
      <w:bookmarkStart w:id="12" w:name="_Toc20205_WPSOffice_Level2"/>
      <w:bookmarkStart w:id="13" w:name="_Toc32622_WPSOffice_Level2"/>
    </w:p>
    <w:p>
      <w:pPr>
        <w:rPr>
          <w:rFonts w:hint="eastAsia" w:ascii="黑体" w:hAnsi="ˎ̥" w:eastAsia="黑体"/>
          <w:color w:val="auto"/>
          <w:sz w:val="32"/>
          <w:szCs w:val="32"/>
        </w:rPr>
      </w:pPr>
      <w:r>
        <w:rPr>
          <w:rFonts w:hint="eastAsia" w:ascii="黑体" w:hAnsi="ˎ̥" w:eastAsia="黑体"/>
          <w:color w:val="auto"/>
          <w:sz w:val="32"/>
          <w:szCs w:val="32"/>
        </w:rPr>
        <w:br w:type="page"/>
      </w: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一、</w:t>
      </w:r>
      <w:bookmarkEnd w:id="8"/>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spacing w:line="578" w:lineRule="exact"/>
        <w:ind w:firstLine="640" w:firstLineChars="200"/>
        <w:rPr>
          <w:rFonts w:hint="eastAsia" w:ascii="楷体" w:hAnsi="楷体" w:eastAsia="楷体" w:cs="楷体"/>
          <w:color w:val="auto"/>
          <w:sz w:val="32"/>
          <w:szCs w:val="32"/>
        </w:rPr>
      </w:pPr>
      <w:bookmarkStart w:id="14" w:name="_Toc17796_WPSOffice_Level2"/>
      <w:bookmarkStart w:id="15" w:name="_Toc24059_WPSOffice_Level2"/>
      <w:bookmarkStart w:id="16" w:name="_Toc4833_WPSOffice_Level2"/>
      <w:bookmarkStart w:id="17" w:name="_Toc6572_WPSOffice_Level2"/>
      <w:bookmarkStart w:id="18" w:name="_Toc24474_WPSOffice_Level2"/>
      <w:r>
        <w:rPr>
          <w:rFonts w:hint="eastAsia" w:ascii="楷体" w:hAnsi="楷体" w:eastAsia="楷体" w:cs="楷体"/>
          <w:color w:val="auto"/>
          <w:sz w:val="32"/>
          <w:szCs w:val="32"/>
        </w:rPr>
        <w:t>（一）基本职能</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1、认真贯彻执行党和国家的有关法律法规、方针、政策，坚持民主管理，依法办园，执行上级主管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的指示和决定。</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2、实行保育和教育相结合的原则，对幼儿实施体、智、德、美诸方面全面发展的教育，促进其身心和谐发展。为家长解除后顾之忧，热忱为家长服务。</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3、尊重儿童的人格尊严和基本权利，尊重儿童身心发展的特点和规律，为儿童提供健康、丰富的生活和活动环境。合理组织幼儿一日生活活动和其它活动，促进幼儿体智德美等和谐发展，全面实施素质教育。</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4、严格执行幼儿园安全、卫生保健制度，保证幼儿身心健康和生命安全。</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5、充分利用幼儿和社区的资源优势，面向家长开展多种形式的早期教育宣传、指导等服务，促进家庭教育质量的不断提高。</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6、贯彻幼儿教育法规、传播科学教育理念、开展教育科学研究、培训师资，发挥县示范性幼儿园的示范、辐射作用。</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（二）内设机构</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 xml:space="preserve">屯昌县南坤镇中坤幼儿园，共有 </w:t>
      </w:r>
      <w:r>
        <w:rPr>
          <w:rFonts w:hint="eastAsia" w:ascii="仿宋_GB2312" w:hAnsi="ˎ̥" w:eastAsia="仿宋_GB2312"/>
          <w:color w:val="auto"/>
          <w:sz w:val="32"/>
          <w:szCs w:val="32"/>
          <w:lang w:val="en-US" w:eastAsia="zh-CN"/>
        </w:rPr>
        <w:t>25</w:t>
      </w:r>
      <w:r>
        <w:rPr>
          <w:rFonts w:hint="eastAsia" w:ascii="仿宋_GB2312" w:hAnsi="ˎ̥" w:eastAsia="仿宋_GB2312"/>
          <w:color w:val="auto"/>
          <w:sz w:val="32"/>
          <w:szCs w:val="32"/>
        </w:rPr>
        <w:t>人，事业编制人员</w:t>
      </w: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人。临聘教师</w:t>
      </w:r>
      <w:r>
        <w:rPr>
          <w:rFonts w:hint="eastAsia" w:ascii="仿宋_GB2312" w:hAnsi="ˎ̥" w:eastAsia="仿宋_GB2312"/>
          <w:color w:val="auto"/>
          <w:sz w:val="32"/>
          <w:szCs w:val="32"/>
          <w:lang w:val="en-US" w:eastAsia="zh-CN"/>
        </w:rPr>
        <w:t>9</w:t>
      </w:r>
      <w:r>
        <w:rPr>
          <w:rFonts w:hint="eastAsia" w:ascii="仿宋_GB2312" w:hAnsi="ˎ̥" w:eastAsia="仿宋_GB2312"/>
          <w:color w:val="auto"/>
          <w:sz w:val="32"/>
          <w:szCs w:val="32"/>
        </w:rPr>
        <w:t>人，临聘保育</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人，</w:t>
      </w:r>
      <w:r>
        <w:rPr>
          <w:rFonts w:hint="eastAsia" w:ascii="仿宋_GB2312" w:hAnsi="ˎ̥" w:eastAsia="仿宋_GB2312"/>
          <w:color w:val="auto"/>
          <w:sz w:val="32"/>
          <w:szCs w:val="32"/>
          <w:lang w:eastAsia="zh-CN"/>
        </w:rPr>
        <w:t>自聘</w:t>
      </w:r>
      <w:r>
        <w:rPr>
          <w:rFonts w:hint="eastAsia" w:ascii="仿宋_GB2312" w:hAnsi="ˎ̥" w:eastAsia="仿宋_GB2312"/>
          <w:color w:val="auto"/>
          <w:sz w:val="32"/>
          <w:szCs w:val="32"/>
        </w:rPr>
        <w:t>人员</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名。共有</w:t>
      </w: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名园长，一正</w:t>
      </w:r>
      <w:r>
        <w:rPr>
          <w:rFonts w:hint="eastAsia" w:ascii="仿宋_GB2312" w:hAnsi="ˎ̥" w:eastAsia="仿宋_GB2312"/>
          <w:color w:val="auto"/>
          <w:sz w:val="32"/>
          <w:szCs w:val="32"/>
          <w:lang w:eastAsia="zh-CN"/>
        </w:rPr>
        <w:t>一</w:t>
      </w:r>
      <w:r>
        <w:rPr>
          <w:rFonts w:hint="eastAsia" w:ascii="仿宋_GB2312" w:hAnsi="ˎ̥" w:eastAsia="仿宋_GB2312"/>
          <w:color w:val="auto"/>
          <w:sz w:val="32"/>
          <w:szCs w:val="32"/>
        </w:rPr>
        <w:t>副。内设行政组织机构、食品安全组织机构、保健组、保教组、工会。</w:t>
      </w: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eastAsia="zh-CN"/>
        </w:rPr>
        <w:t>屯昌县南坤镇中坤幼儿园</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个，包括：</w:t>
      </w:r>
    </w:p>
    <w:p>
      <w:pPr>
        <w:spacing w:line="578" w:lineRule="exact"/>
        <w:ind w:firstLine="640" w:firstLineChars="200"/>
        <w:rPr>
          <w:rFonts w:hint="eastAsia" w:ascii="方正楷体_GBK" w:hAnsi="方正楷体_GBK" w:eastAsia="方正楷体_GBK" w:cs="方正楷体_GBK"/>
          <w:color w:val="auto"/>
          <w:sz w:val="32"/>
          <w:szCs w:val="32"/>
        </w:rPr>
      </w:pPr>
      <w:bookmarkStart w:id="19" w:name="_Toc24421_WPSOffice_Level2"/>
      <w:bookmarkStart w:id="20" w:name="_Toc25738_WPSOffice_Level2"/>
      <w:r>
        <w:rPr>
          <w:rFonts w:hint="eastAsia" w:ascii="方正楷体_GBK" w:hAnsi="方正楷体_GBK" w:eastAsia="方正楷体_GBK" w:cs="方正楷体_GBK"/>
          <w:color w:val="auto"/>
          <w:sz w:val="32"/>
          <w:szCs w:val="32"/>
        </w:rPr>
        <w:t>（一）屯昌县南坤镇中坤幼儿园</w:t>
      </w:r>
      <w:r>
        <w:rPr>
          <w:rFonts w:hint="eastAsia" w:ascii="方正楷体_GBK" w:hAnsi="方正楷体_GBK" w:eastAsia="方正楷体_GBK" w:cs="方正楷体_GBK"/>
          <w:color w:val="auto"/>
          <w:sz w:val="32"/>
          <w:szCs w:val="32"/>
          <w:lang w:eastAsia="zh-CN"/>
        </w:rPr>
        <w:t>单位</w:t>
      </w:r>
      <w:r>
        <w:rPr>
          <w:rFonts w:hint="eastAsia" w:ascii="方正楷体_GBK" w:hAnsi="方正楷体_GBK" w:eastAsia="方正楷体_GBK" w:cs="方正楷体_GBK"/>
          <w:color w:val="auto"/>
          <w:sz w:val="32"/>
          <w:szCs w:val="32"/>
        </w:rPr>
        <w:t>本级</w:t>
      </w:r>
      <w:bookmarkEnd w:id="19"/>
      <w:bookmarkEnd w:id="20"/>
    </w:p>
    <w:p>
      <w:pPr>
        <w:spacing w:line="578" w:lineRule="exact"/>
        <w:jc w:val="center"/>
        <w:rPr>
          <w:rFonts w:hint="eastAsia" w:ascii="黑体" w:hAnsi="ˎ̥" w:eastAsia="黑体"/>
          <w:color w:val="auto"/>
          <w:sz w:val="32"/>
          <w:szCs w:val="32"/>
        </w:rPr>
      </w:pPr>
      <w:bookmarkStart w:id="21" w:name="_Toc8164_WPSOffice_Level1"/>
      <w:bookmarkStart w:id="22" w:name="_Toc30690_WPSOffice_Level1"/>
      <w:bookmarkStart w:id="23" w:name="_Toc15521_WPSOffice_Level1"/>
      <w:bookmarkStart w:id="24" w:name="_Toc28253_WPSOffice_Level1"/>
      <w:bookmarkStart w:id="25" w:name="_Toc30451_WPSOffice_Level1"/>
      <w:bookmarkStart w:id="26" w:name="_Toc6234_WPSOffice_Level1"/>
      <w:bookmarkStart w:id="27" w:name="_Toc6211_WPSOffice_Level2"/>
      <w:bookmarkStart w:id="28" w:name="_Toc11518_WPSOffice_Level2"/>
      <w:bookmarkStart w:id="29" w:name="_Toc32695_WPSOffice_Level2"/>
      <w:bookmarkStart w:id="30" w:name="_Toc4029_WPSOffice_Level2"/>
      <w:bookmarkStart w:id="31" w:name="_Toc8867_WPSOffice_Level2"/>
      <w:bookmarkStart w:id="32" w:name="_Toc32472_WPSOffice_Level2"/>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rPr>
      </w:pPr>
      <w:bookmarkStart w:id="33" w:name="_Toc30334_WPSOffice_Level2"/>
      <w:bookmarkStart w:id="34" w:name="_Toc28622_WPSOffice_Level2"/>
      <w:bookmarkStart w:id="35" w:name="_Toc23139_WPSOffice_Level2"/>
      <w:bookmarkStart w:id="36" w:name="_Toc25608_WPSOffice_Level2"/>
      <w:bookmarkStart w:id="37" w:name="_Toc26621_WPSOffice_Level2"/>
      <w:bookmarkStart w:id="38" w:name="_Toc14349_WPSOffice_Level2"/>
      <w:r>
        <w:rPr>
          <w:rFonts w:hint="eastAsia" w:ascii="黑体" w:hAnsi="黑体" w:eastAsia="黑体" w:cs="黑体"/>
          <w:color w:val="auto"/>
          <w:sz w:val="32"/>
          <w:szCs w:val="32"/>
        </w:rPr>
        <w:t>二、收入决算公开表</w:t>
      </w:r>
      <w:bookmarkEnd w:id="33"/>
      <w:bookmarkEnd w:id="34"/>
      <w:bookmarkEnd w:id="35"/>
      <w:bookmarkEnd w:id="36"/>
      <w:bookmarkEnd w:id="37"/>
      <w:bookmarkEnd w:id="38"/>
      <w:bookmarkStart w:id="39" w:name="_Toc3262_WPSOffice_Level2"/>
      <w:bookmarkStart w:id="40" w:name="_Toc13854_WPSOffice_Level2"/>
      <w:bookmarkStart w:id="41" w:name="_Toc5489_WPSOffice_Level2"/>
      <w:bookmarkStart w:id="42" w:name="_Toc17858_WPSOffice_Level2"/>
      <w:bookmarkStart w:id="43" w:name="_Toc17626_WPSOffice_Level2"/>
      <w:bookmarkStart w:id="44" w:name="_Toc1465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9"/>
      <w:bookmarkEnd w:id="40"/>
      <w:bookmarkEnd w:id="41"/>
      <w:bookmarkEnd w:id="42"/>
      <w:bookmarkEnd w:id="43"/>
      <w:bookmarkEnd w:id="44"/>
      <w:bookmarkStart w:id="45" w:name="_Toc21415_WPSOffice_Level2"/>
      <w:bookmarkStart w:id="46" w:name="_Toc23493_WPSOffice_Level2"/>
      <w:bookmarkStart w:id="47" w:name="_Toc13701_WPSOffice_Level2"/>
      <w:bookmarkStart w:id="48" w:name="_Toc23591_WPSOffice_Level2"/>
      <w:bookmarkStart w:id="49" w:name="_Toc4265_WPSOffice_Level2"/>
      <w:bookmarkStart w:id="50" w:name="_Toc798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rPr>
      </w:pPr>
      <w:bookmarkStart w:id="51" w:name="_Toc22783_WPSOffice_Level2"/>
      <w:bookmarkStart w:id="52" w:name="_Toc7879_WPSOffice_Level2"/>
      <w:bookmarkStart w:id="53" w:name="_Toc25166_WPSOffice_Level2"/>
      <w:bookmarkStart w:id="54" w:name="_Toc23829_WPSOffice_Level2"/>
      <w:bookmarkStart w:id="55" w:name="_Toc2158_WPSOffice_Level2"/>
      <w:bookmarkStart w:id="56" w:name="_Toc13516_WPSOffice_Level2"/>
      <w:r>
        <w:rPr>
          <w:rFonts w:hint="eastAsia" w:ascii="黑体" w:hAnsi="黑体" w:eastAsia="黑体" w:cs="黑体"/>
          <w:color w:val="auto"/>
          <w:sz w:val="32"/>
          <w:szCs w:val="32"/>
        </w:rPr>
        <w:t>五、一般公共预算财政拨款收入支出决算</w:t>
      </w:r>
      <w:bookmarkEnd w:id="51"/>
      <w:bookmarkEnd w:id="52"/>
      <w:bookmarkEnd w:id="53"/>
      <w:bookmarkEnd w:id="54"/>
      <w:r>
        <w:rPr>
          <w:rFonts w:hint="eastAsia" w:ascii="黑体" w:hAnsi="黑体" w:eastAsia="黑体" w:cs="黑体"/>
          <w:color w:val="auto"/>
          <w:sz w:val="32"/>
          <w:szCs w:val="32"/>
        </w:rPr>
        <w:t>公开表</w:t>
      </w:r>
      <w:bookmarkEnd w:id="55"/>
      <w:bookmarkEnd w:id="56"/>
      <w:bookmarkStart w:id="57" w:name="_Toc25362_WPSOffice_Level2"/>
      <w:bookmarkStart w:id="58" w:name="_Toc17833_WPSOffice_Level2"/>
      <w:bookmarkStart w:id="59" w:name="_Toc2632_WPSOffice_Level2"/>
      <w:bookmarkStart w:id="60" w:name="_Toc8373_WPSOffice_Level2"/>
      <w:bookmarkStart w:id="61" w:name="_Toc5343_WPSOffice_Level2"/>
      <w:bookmarkStart w:id="62"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3" w:name="_Toc11799_WPSOffice_Level2"/>
      <w:bookmarkStart w:id="64" w:name="_Toc21310_WPSOffice_Level2"/>
      <w:bookmarkStart w:id="65" w:name="_Toc1533_WPSOffice_Level2"/>
      <w:bookmarkStart w:id="66" w:name="_Toc13345_WPSOffice_Level2"/>
      <w:bookmarkStart w:id="67" w:name="_Toc6020_WPSOffice_Level2"/>
      <w:bookmarkStart w:id="68" w:name="_Toc5594_WPSOffice_Level2"/>
      <w:r>
        <w:rPr>
          <w:rFonts w:hint="eastAsia" w:ascii="黑体" w:hAnsi="黑体" w:eastAsia="黑体" w:cs="黑体"/>
          <w:color w:val="auto"/>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9" w:name="_Toc29886_WPSOffice_Level2"/>
      <w:bookmarkStart w:id="70" w:name="_Toc1820_WPSOffice_Level2"/>
      <w:bookmarkStart w:id="71" w:name="_Toc19961_WPSOffice_Level2"/>
      <w:bookmarkStart w:id="72" w:name="_Toc9377_WPSOffice_Level2"/>
      <w:r>
        <w:rPr>
          <w:rFonts w:hint="eastAsia" w:ascii="黑体" w:hAnsi="黑体" w:eastAsia="黑体" w:cs="黑体"/>
          <w:color w:val="auto"/>
          <w:sz w:val="32"/>
          <w:szCs w:val="32"/>
        </w:rPr>
        <w:t>九、财政拨款“三公”经费支出决算</w:t>
      </w:r>
      <w:bookmarkEnd w:id="69"/>
      <w:bookmarkEnd w:id="70"/>
      <w:bookmarkEnd w:id="71"/>
      <w:bookmarkEnd w:id="72"/>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rPr>
          <w:rFonts w:hint="eastAsia" w:ascii="黑体" w:hAnsi="ˎ̥" w:eastAsia="黑体"/>
          <w:color w:val="auto"/>
          <w:sz w:val="32"/>
          <w:szCs w:val="32"/>
        </w:rPr>
      </w:pPr>
      <w:bookmarkStart w:id="73" w:name="_Toc27590_WPSOffice_Level1"/>
      <w:bookmarkStart w:id="74" w:name="_Toc16686_WPSOffice_Level1"/>
      <w:bookmarkStart w:id="75" w:name="_Toc4402_WPSOffice_Level1"/>
      <w:bookmarkStart w:id="76" w:name="_Toc28629_WPSOffice_Level1"/>
      <w:bookmarkStart w:id="77" w:name="_Toc31264_WPSOffice_Level1"/>
      <w:bookmarkStart w:id="78" w:name="_Toc29683_WPSOffice_Level1"/>
      <w:r>
        <w:rPr>
          <w:rFonts w:hint="eastAsia" w:ascii="黑体" w:hAnsi="ˎ̥" w:eastAsia="黑体"/>
          <w:color w:val="auto"/>
          <w:sz w:val="32"/>
          <w:szCs w:val="32"/>
        </w:rPr>
        <w:br w:type="page"/>
      </w: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31.81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15</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教育支出支出减少</w:t>
      </w:r>
      <w:r>
        <w:rPr>
          <w:rFonts w:hint="eastAsia" w:ascii="仿宋_GB2312" w:hAnsi="ˎ̥" w:eastAsia="仿宋_GB2312"/>
          <w:color w:val="auto"/>
          <w:sz w:val="32"/>
          <w:szCs w:val="32"/>
          <w:lang w:val="en-US" w:eastAsia="zh-CN"/>
        </w:rPr>
        <w:t>18.08万元</w:t>
      </w:r>
      <w:r>
        <w:rPr>
          <w:rFonts w:hint="eastAsia" w:ascii="仿宋_GB2312" w:hAnsi="ˎ̥" w:eastAsia="仿宋_GB2312"/>
          <w:color w:val="auto"/>
          <w:sz w:val="32"/>
          <w:szCs w:val="32"/>
        </w:rPr>
        <w:t>；二是</w:t>
      </w:r>
      <w:r>
        <w:rPr>
          <w:rFonts w:hint="eastAsia" w:ascii="仿宋_GB2312" w:hAnsi="ˎ̥" w:eastAsia="仿宋_GB2312"/>
          <w:b w:val="0"/>
          <w:bCs w:val="0"/>
          <w:color w:val="auto"/>
          <w:sz w:val="32"/>
          <w:szCs w:val="32"/>
        </w:rPr>
        <w:t>社会保障和就业支出</w:t>
      </w:r>
      <w:r>
        <w:rPr>
          <w:rFonts w:hint="eastAsia" w:ascii="仿宋_GB2312" w:hAnsi="ˎ̥" w:eastAsia="仿宋_GB2312"/>
          <w:b w:val="0"/>
          <w:bCs w:val="0"/>
          <w:color w:val="auto"/>
          <w:sz w:val="32"/>
          <w:szCs w:val="32"/>
          <w:lang w:val="en-US" w:eastAsia="zh-CN"/>
        </w:rPr>
        <w:t>减少2.87万元；三是卫生健康支出减少1.35万元；四是住房保障支出减少1.08万元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88.61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42</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120.27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58</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31.81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15</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教育支出支出减少</w:t>
      </w:r>
      <w:r>
        <w:rPr>
          <w:rFonts w:hint="eastAsia" w:ascii="仿宋_GB2312" w:hAnsi="ˎ̥" w:eastAsia="仿宋_GB2312"/>
          <w:color w:val="auto"/>
          <w:sz w:val="32"/>
          <w:szCs w:val="32"/>
          <w:lang w:val="en-US" w:eastAsia="zh-CN"/>
        </w:rPr>
        <w:t>18.08万元</w:t>
      </w:r>
      <w:r>
        <w:rPr>
          <w:rFonts w:hint="eastAsia" w:ascii="仿宋_GB2312" w:hAnsi="ˎ̥" w:eastAsia="仿宋_GB2312"/>
          <w:color w:val="auto"/>
          <w:sz w:val="32"/>
          <w:szCs w:val="32"/>
        </w:rPr>
        <w:t>；二是</w:t>
      </w:r>
      <w:r>
        <w:rPr>
          <w:rFonts w:hint="eastAsia" w:ascii="仿宋_GB2312" w:hAnsi="ˎ̥" w:eastAsia="仿宋_GB2312"/>
          <w:b w:val="0"/>
          <w:bCs w:val="0"/>
          <w:color w:val="auto"/>
          <w:sz w:val="32"/>
          <w:szCs w:val="32"/>
        </w:rPr>
        <w:t>社会保障和就业支出</w:t>
      </w:r>
      <w:r>
        <w:rPr>
          <w:rFonts w:hint="eastAsia" w:ascii="仿宋_GB2312" w:hAnsi="ˎ̥" w:eastAsia="仿宋_GB2312"/>
          <w:b w:val="0"/>
          <w:bCs w:val="0"/>
          <w:color w:val="auto"/>
          <w:sz w:val="32"/>
          <w:szCs w:val="32"/>
          <w:lang w:val="en-US" w:eastAsia="zh-CN"/>
        </w:rPr>
        <w:t>减少2.87万元；三是卫生健康支出减少1.35万元；四是住房保障支出减少1.08万元</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31.81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15</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教育支出支出减少</w:t>
      </w:r>
      <w:r>
        <w:rPr>
          <w:rFonts w:hint="eastAsia" w:ascii="仿宋_GB2312" w:hAnsi="ˎ̥" w:eastAsia="仿宋_GB2312"/>
          <w:color w:val="auto"/>
          <w:sz w:val="32"/>
          <w:szCs w:val="32"/>
          <w:lang w:val="en-US" w:eastAsia="zh-CN"/>
        </w:rPr>
        <w:t>18.08万元</w:t>
      </w:r>
      <w:r>
        <w:rPr>
          <w:rFonts w:hint="eastAsia" w:ascii="仿宋_GB2312" w:hAnsi="ˎ̥" w:eastAsia="仿宋_GB2312"/>
          <w:color w:val="auto"/>
          <w:sz w:val="32"/>
          <w:szCs w:val="32"/>
        </w:rPr>
        <w:t>；二是</w:t>
      </w:r>
      <w:r>
        <w:rPr>
          <w:rFonts w:hint="eastAsia" w:ascii="仿宋_GB2312" w:hAnsi="ˎ̥" w:eastAsia="仿宋_GB2312"/>
          <w:b w:val="0"/>
          <w:bCs w:val="0"/>
          <w:color w:val="auto"/>
          <w:sz w:val="32"/>
          <w:szCs w:val="32"/>
        </w:rPr>
        <w:t>社会保障和就业支出</w:t>
      </w:r>
      <w:r>
        <w:rPr>
          <w:rFonts w:hint="eastAsia" w:ascii="仿宋_GB2312" w:hAnsi="ˎ̥" w:eastAsia="仿宋_GB2312"/>
          <w:b w:val="0"/>
          <w:bCs w:val="0"/>
          <w:color w:val="auto"/>
          <w:sz w:val="32"/>
          <w:szCs w:val="32"/>
          <w:lang w:val="en-US" w:eastAsia="zh-CN"/>
        </w:rPr>
        <w:t>减少2.87万元；三是卫生健康支出减少1.35万元；四是住房保障支出减少1.08万元</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23005_WPSOffice_Level2"/>
      <w:bookmarkStart w:id="80" w:name="_Toc19665_WPSOffice_Level2"/>
      <w:bookmarkStart w:id="81" w:name="_Toc17398_WPSOffice_Level2"/>
      <w:bookmarkStart w:id="82" w:name="_Toc9989_WPSOffice_Level2"/>
      <w:bookmarkStart w:id="83" w:name="_Toc13694_WPSOffice_Level2"/>
      <w:bookmarkStart w:id="84" w:name="_Toc21737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31.81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15</w:t>
      </w:r>
      <w:r>
        <w:rPr>
          <w:rFonts w:hint="eastAsia" w:ascii="仿宋_GB2312" w:hAnsi="ˎ̥" w:eastAsia="仿宋_GB2312"/>
          <w:color w:val="auto"/>
          <w:sz w:val="32"/>
          <w:szCs w:val="32"/>
        </w:rPr>
        <w:t>%，主要原因是：基本支出</w:t>
      </w:r>
      <w:r>
        <w:rPr>
          <w:rFonts w:hint="default" w:ascii="仿宋_GB2312" w:hAnsi="ˎ̥" w:eastAsia="仿宋_GB2312"/>
          <w:color w:val="auto"/>
          <w:sz w:val="32"/>
          <w:szCs w:val="32"/>
          <w:lang w:val="en-US"/>
        </w:rPr>
        <w:t>88.61</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下降13</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120.27</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下降13</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27767_WPSOffice_Level2"/>
      <w:bookmarkStart w:id="86" w:name="_Toc18793_WPSOffice_Level2"/>
      <w:bookmarkStart w:id="87" w:name="_Toc19075_WPSOffice_Level2"/>
      <w:bookmarkStart w:id="88" w:name="_Toc19535_WPSOffice_Level2"/>
      <w:bookmarkStart w:id="89" w:name="_Toc2711_WPSOffice_Level2"/>
      <w:bookmarkStart w:id="90" w:name="_Toc23864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lang w:val="en-US" w:eastAsia="zh-CN"/>
        </w:rPr>
        <w:t>教育支出</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61.54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29</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11.38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卫生健康支出</w:t>
      </w:r>
      <w:r>
        <w:rPr>
          <w:rFonts w:hint="eastAsia" w:ascii="仿宋_GB2312" w:hAnsi="ˎ̥" w:eastAsia="仿宋_GB2312"/>
          <w:b/>
          <w:bCs/>
          <w:color w:val="auto"/>
          <w:sz w:val="32"/>
          <w:szCs w:val="32"/>
          <w:lang w:eastAsia="zh-CN"/>
        </w:rPr>
        <w:t>（</w:t>
      </w:r>
      <w:r>
        <w:rPr>
          <w:rFonts w:hint="eastAsia" w:ascii="仿宋_GB2312" w:hAnsi="ˎ̥" w:eastAsia="仿宋_GB2312"/>
          <w:b/>
          <w:bCs/>
          <w:color w:val="auto"/>
          <w:sz w:val="32"/>
          <w:szCs w:val="32"/>
          <w:lang w:val="en-US" w:eastAsia="zh-CN"/>
        </w:rPr>
        <w:t>类</w:t>
      </w:r>
      <w:r>
        <w:rPr>
          <w:rFonts w:hint="eastAsia" w:ascii="仿宋_GB2312" w:hAnsi="ˎ̥" w:eastAsia="仿宋_GB2312"/>
          <w:b/>
          <w:bCs/>
          <w:color w:val="auto"/>
          <w:sz w:val="32"/>
          <w:szCs w:val="32"/>
          <w:lang w:eastAsia="zh-CN"/>
        </w:rPr>
        <w:t>）</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8.64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7.06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5136_WPSOffice_Level2"/>
      <w:bookmarkStart w:id="92" w:name="_Toc15415_WPSOffice_Level2"/>
      <w:bookmarkStart w:id="93" w:name="_Toc21701_WPSOffice_Level2"/>
      <w:bookmarkStart w:id="94" w:name="_Toc29364_WPSOffice_Level2"/>
      <w:bookmarkStart w:id="95" w:name="_Toc9502_WPSOffice_Level2"/>
      <w:bookmarkStart w:id="96" w:name="_Toc22318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年度一般公共预算财政拨款支出年初预算为115.93万元，支出决算为</w:t>
      </w:r>
      <w:r>
        <w:rPr>
          <w:rFonts w:hint="default" w:ascii="仿宋_GB2312" w:hAnsi="ˎ̥" w:eastAsia="仿宋_GB2312"/>
          <w:color w:val="auto"/>
          <w:sz w:val="32"/>
          <w:szCs w:val="32"/>
          <w:lang w:val="en-US"/>
        </w:rPr>
        <w:t>208.89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180</w:t>
      </w:r>
      <w:r>
        <w:rPr>
          <w:rFonts w:hint="eastAsia" w:ascii="仿宋_GB2312" w:hAnsi="ˎ̥" w:eastAsia="仿宋_GB2312"/>
          <w:color w:val="auto"/>
          <w:sz w:val="32"/>
          <w:szCs w:val="32"/>
        </w:rPr>
        <w:t>%。其中：</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lang w:eastAsia="zh-CN"/>
        </w:rPr>
        <w:t>教育支出</w:t>
      </w:r>
      <w:r>
        <w:rPr>
          <w:rFonts w:hint="eastAsia" w:ascii="仿宋_GB2312" w:hAnsi="ˎ̥" w:eastAsia="仿宋_GB2312"/>
          <w:b/>
          <w:color w:val="auto"/>
          <w:sz w:val="32"/>
          <w:szCs w:val="32"/>
        </w:rPr>
        <w:t>（类）。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黑体" w:eastAsia="仿宋_GB2312" w:cs="仿宋_GB2312"/>
          <w:color w:val="auto"/>
          <w:sz w:val="32"/>
          <w:szCs w:val="32"/>
        </w:rPr>
        <w:t>82.14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181.82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221</w:t>
      </w:r>
      <w:r>
        <w:rPr>
          <w:rFonts w:hint="eastAsia" w:ascii="仿宋_GB2312" w:hAnsi="ˎ̥" w:eastAsia="仿宋_GB2312"/>
          <w:color w:val="auto"/>
          <w:sz w:val="32"/>
          <w:szCs w:val="32"/>
        </w:rPr>
        <w:t>%。决算数大于预算数的主要原因：一是教育管理</w:t>
      </w:r>
      <w:r>
        <w:rPr>
          <w:rFonts w:hint="eastAsia" w:ascii="仿宋_GB2312" w:hAnsi="ˎ̥" w:eastAsia="仿宋_GB2312"/>
          <w:color w:val="auto"/>
          <w:sz w:val="32"/>
          <w:szCs w:val="32"/>
          <w:lang w:eastAsia="zh-CN"/>
        </w:rPr>
        <w:t>基本支出</w:t>
      </w:r>
      <w:r>
        <w:rPr>
          <w:rFonts w:hint="eastAsia" w:ascii="仿宋_GB2312" w:hAnsi="ˎ̥" w:eastAsia="仿宋_GB2312"/>
          <w:color w:val="auto"/>
          <w:sz w:val="32"/>
          <w:szCs w:val="32"/>
          <w:lang w:val="en-US" w:eastAsia="zh-CN"/>
        </w:rPr>
        <w:t>61.54万元，比预算减少11.74万元，下降16%</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二</w:t>
      </w:r>
      <w:r>
        <w:rPr>
          <w:rFonts w:hint="eastAsia" w:ascii="仿宋_GB2312" w:hAnsi="ˎ̥" w:eastAsia="仿宋_GB2312"/>
          <w:b w:val="0"/>
          <w:bCs w:val="0"/>
          <w:color w:val="auto"/>
          <w:sz w:val="32"/>
          <w:szCs w:val="32"/>
          <w:lang w:val="en-US" w:eastAsia="zh-CN"/>
        </w:rPr>
        <w:t>是</w:t>
      </w:r>
      <w:r>
        <w:rPr>
          <w:rFonts w:hint="eastAsia" w:ascii="仿宋_GB2312" w:hAnsi="ˎ̥" w:eastAsia="仿宋_GB2312"/>
          <w:color w:val="auto"/>
          <w:sz w:val="32"/>
          <w:szCs w:val="32"/>
        </w:rPr>
        <w:t>教育管理</w:t>
      </w:r>
      <w:r>
        <w:rPr>
          <w:rFonts w:hint="eastAsia" w:ascii="仿宋_GB2312" w:hAnsi="ˎ̥" w:eastAsia="仿宋_GB2312"/>
          <w:color w:val="auto"/>
          <w:sz w:val="32"/>
          <w:szCs w:val="32"/>
          <w:lang w:eastAsia="zh-CN"/>
        </w:rPr>
        <w:t>项目</w:t>
      </w:r>
      <w:r>
        <w:rPr>
          <w:rFonts w:hint="eastAsia" w:ascii="仿宋_GB2312" w:hAnsi="ˎ̥" w:eastAsia="仿宋_GB2312"/>
          <w:b w:val="0"/>
          <w:bCs w:val="0"/>
          <w:color w:val="auto"/>
          <w:sz w:val="32"/>
          <w:szCs w:val="32"/>
          <w:lang w:eastAsia="zh-CN"/>
        </w:rPr>
        <w:t>支出</w:t>
      </w:r>
      <w:r>
        <w:rPr>
          <w:rFonts w:hint="eastAsia" w:ascii="仿宋_GB2312" w:hAnsi="ˎ̥" w:eastAsia="仿宋_GB2312"/>
          <w:b w:val="0"/>
          <w:bCs w:val="0"/>
          <w:color w:val="auto"/>
          <w:sz w:val="32"/>
          <w:szCs w:val="32"/>
          <w:lang w:val="en-US" w:eastAsia="zh-CN"/>
        </w:rPr>
        <w:t>120.27万元，</w:t>
      </w:r>
      <w:r>
        <w:rPr>
          <w:rFonts w:hint="eastAsia" w:ascii="仿宋_GB2312" w:hAnsi="ˎ̥" w:eastAsia="仿宋_GB2312"/>
          <w:color w:val="auto"/>
          <w:sz w:val="32"/>
          <w:szCs w:val="32"/>
          <w:lang w:val="en-US" w:eastAsia="zh-CN"/>
        </w:rPr>
        <w:t>比预算增加111.41万元，增长93%</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2.</w:t>
      </w:r>
      <w:r>
        <w:rPr>
          <w:rFonts w:hint="eastAsia" w:ascii="仿宋_GB2312" w:hAnsi="ˎ̥" w:eastAsia="仿宋_GB2312"/>
          <w:b/>
          <w:color w:val="auto"/>
          <w:sz w:val="32"/>
          <w:szCs w:val="32"/>
          <w:lang w:eastAsia="zh-CN"/>
        </w:rPr>
        <w:t>社会保障和就业支出</w:t>
      </w:r>
      <w:r>
        <w:rPr>
          <w:rFonts w:hint="eastAsia" w:ascii="仿宋_GB2312" w:hAnsi="ˎ̥" w:eastAsia="仿宋_GB2312"/>
          <w:b/>
          <w:color w:val="auto"/>
          <w:sz w:val="32"/>
          <w:szCs w:val="32"/>
        </w:rPr>
        <w:t>（类）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14.04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11.38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81</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于预算数的主要原因：一是</w:t>
      </w:r>
      <w:r>
        <w:rPr>
          <w:rFonts w:hint="eastAsia" w:ascii="仿宋_GB2312" w:hAnsi="ˎ̥" w:eastAsia="仿宋_GB2312"/>
          <w:b w:val="0"/>
          <w:bCs w:val="0"/>
          <w:color w:val="auto"/>
          <w:sz w:val="32"/>
          <w:szCs w:val="32"/>
        </w:rPr>
        <w:t>机关事业单位基本养老保险缴费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7.58万元，比预算减少1.78万元，下降19%</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二</w:t>
      </w:r>
      <w:r>
        <w:rPr>
          <w:rFonts w:hint="eastAsia" w:ascii="仿宋_GB2312" w:hAnsi="ˎ̥" w:eastAsia="仿宋_GB2312"/>
          <w:b w:val="0"/>
          <w:bCs w:val="0"/>
          <w:color w:val="auto"/>
          <w:sz w:val="32"/>
          <w:szCs w:val="32"/>
          <w:lang w:val="en-US" w:eastAsia="zh-CN"/>
        </w:rPr>
        <w:t>是</w:t>
      </w:r>
      <w:r>
        <w:rPr>
          <w:rFonts w:hint="eastAsia" w:ascii="仿宋_GB2312" w:hAnsi="ˎ̥" w:eastAsia="仿宋_GB2312"/>
          <w:b w:val="0"/>
          <w:bCs w:val="0"/>
          <w:color w:val="auto"/>
          <w:sz w:val="32"/>
          <w:szCs w:val="32"/>
        </w:rPr>
        <w:t>机关事业单位职业年金缴费支出</w:t>
      </w:r>
      <w:r>
        <w:rPr>
          <w:rFonts w:hint="eastAsia" w:ascii="仿宋_GB2312" w:hAnsi="ˎ̥" w:eastAsia="仿宋_GB2312"/>
          <w:b w:val="0"/>
          <w:bCs w:val="0"/>
          <w:color w:val="auto"/>
          <w:sz w:val="32"/>
          <w:szCs w:val="32"/>
          <w:lang w:val="en-US" w:eastAsia="zh-CN"/>
        </w:rPr>
        <w:t>3.79万元</w:t>
      </w:r>
      <w:r>
        <w:rPr>
          <w:rFonts w:hint="eastAsia" w:ascii="仿宋_GB2312" w:hAnsi="ˎ̥" w:eastAsia="仿宋_GB2312"/>
          <w:color w:val="auto"/>
          <w:sz w:val="32"/>
          <w:szCs w:val="32"/>
          <w:lang w:val="en-US" w:eastAsia="zh-CN"/>
        </w:rPr>
        <w:t>，比预算减少0.89万元，下降19%</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w:t>
      </w:r>
      <w:r>
        <w:rPr>
          <w:rFonts w:hint="eastAsia" w:ascii="仿宋_GB2312" w:hAnsi="ˎ̥" w:eastAsia="仿宋_GB2312"/>
          <w:b/>
          <w:color w:val="auto"/>
          <w:sz w:val="32"/>
          <w:szCs w:val="32"/>
          <w:lang w:eastAsia="zh-CN"/>
        </w:rPr>
        <w:t>卫生健康支出</w:t>
      </w:r>
      <w:r>
        <w:rPr>
          <w:rFonts w:hint="eastAsia" w:ascii="仿宋_GB2312" w:hAnsi="ˎ̥" w:eastAsia="仿宋_GB2312"/>
          <w:b/>
          <w:color w:val="auto"/>
          <w:sz w:val="32"/>
          <w:szCs w:val="32"/>
        </w:rPr>
        <w:t>（类）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年初预算为11.48万元，支出决算为</w:t>
      </w:r>
      <w:r>
        <w:rPr>
          <w:rFonts w:hint="eastAsia" w:ascii="仿宋_GB2312" w:hAnsi="ˎ̥" w:eastAsia="仿宋_GB2312"/>
          <w:color w:val="auto"/>
          <w:sz w:val="32"/>
          <w:szCs w:val="32"/>
          <w:lang w:val="en-US" w:eastAsia="zh-CN"/>
        </w:rPr>
        <w:t>8.64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75</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于预算数的主要原因：一是事业单位医疗支出</w:t>
      </w:r>
      <w:r>
        <w:rPr>
          <w:rFonts w:hint="eastAsia" w:ascii="仿宋_GB2312" w:hAnsi="ˎ̥" w:eastAsia="仿宋_GB2312"/>
          <w:color w:val="auto"/>
          <w:sz w:val="32"/>
          <w:szCs w:val="32"/>
          <w:lang w:val="en-US" w:eastAsia="zh-CN"/>
        </w:rPr>
        <w:t>3万元，比预算减少1.24万元，下降29%</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二</w:t>
      </w:r>
      <w:r>
        <w:rPr>
          <w:rFonts w:hint="eastAsia" w:ascii="仿宋_GB2312" w:hAnsi="ˎ̥" w:eastAsia="仿宋_GB2312"/>
          <w:b w:val="0"/>
          <w:bCs w:val="0"/>
          <w:color w:val="auto"/>
          <w:sz w:val="32"/>
          <w:szCs w:val="32"/>
          <w:lang w:val="en-US" w:eastAsia="zh-CN"/>
        </w:rPr>
        <w:t>是</w:t>
      </w:r>
      <w:r>
        <w:rPr>
          <w:rFonts w:hint="eastAsia" w:ascii="仿宋_GB2312" w:hAnsi="ˎ̥" w:eastAsia="仿宋_GB2312"/>
          <w:b w:val="0"/>
          <w:bCs w:val="0"/>
          <w:color w:val="auto"/>
          <w:sz w:val="32"/>
          <w:szCs w:val="32"/>
        </w:rPr>
        <w:t>公务员医疗补助支出</w:t>
      </w:r>
      <w:r>
        <w:rPr>
          <w:rFonts w:hint="eastAsia" w:ascii="仿宋_GB2312" w:hAnsi="ˎ̥" w:eastAsia="仿宋_GB2312"/>
          <w:b w:val="0"/>
          <w:bCs w:val="0"/>
          <w:color w:val="auto"/>
          <w:sz w:val="32"/>
          <w:szCs w:val="32"/>
          <w:lang w:val="en-US" w:eastAsia="zh-CN"/>
        </w:rPr>
        <w:t>5.42万元</w:t>
      </w:r>
      <w:r>
        <w:rPr>
          <w:rFonts w:hint="eastAsia" w:ascii="仿宋_GB2312" w:hAnsi="ˎ̥" w:eastAsia="仿宋_GB2312"/>
          <w:color w:val="auto"/>
          <w:sz w:val="32"/>
          <w:szCs w:val="32"/>
          <w:lang w:val="en-US" w:eastAsia="zh-CN"/>
        </w:rPr>
        <w:t>，比预算减少1.48万元，下降21%</w:t>
      </w:r>
      <w:r>
        <w:rPr>
          <w:rFonts w:hint="eastAsia" w:ascii="仿宋_GB2312" w:hAnsi="ˎ̥" w:eastAsia="仿宋_GB2312"/>
          <w:b w:val="0"/>
          <w:bCs w:val="0"/>
          <w:color w:val="auto"/>
          <w:sz w:val="32"/>
          <w:szCs w:val="32"/>
          <w:lang w:val="en-US" w:eastAsia="zh-CN"/>
        </w:rPr>
        <w:t>；三是其他社会保障缴费支出0.22万元</w:t>
      </w:r>
      <w:r>
        <w:rPr>
          <w:rFonts w:hint="eastAsia" w:ascii="仿宋_GB2312" w:hAnsi="ˎ̥" w:eastAsia="仿宋_GB2312"/>
          <w:color w:val="auto"/>
          <w:sz w:val="32"/>
          <w:szCs w:val="32"/>
          <w:lang w:val="en-US" w:eastAsia="zh-CN"/>
        </w:rPr>
        <w:t>，比预算减少0.11万元，下降33%</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w:t>
      </w:r>
      <w:r>
        <w:rPr>
          <w:rFonts w:hint="eastAsia" w:ascii="仿宋_GB2312" w:hAnsi="ˎ̥" w:eastAsia="仿宋_GB2312"/>
          <w:b/>
          <w:color w:val="auto"/>
          <w:sz w:val="32"/>
          <w:szCs w:val="32"/>
          <w:lang w:eastAsia="zh-CN"/>
        </w:rPr>
        <w:t>住房保障支出</w:t>
      </w:r>
      <w:r>
        <w:rPr>
          <w:rFonts w:hint="eastAsia" w:ascii="仿宋_GB2312" w:hAnsi="ˎ̥" w:eastAsia="仿宋_GB2312"/>
          <w:b/>
          <w:color w:val="auto"/>
          <w:sz w:val="32"/>
          <w:szCs w:val="32"/>
        </w:rPr>
        <w:t>（类）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8.28</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7.06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85</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于预算数的主要原因：一是住房公积金</w:t>
      </w:r>
      <w:r>
        <w:rPr>
          <w:rFonts w:hint="eastAsia" w:ascii="仿宋_GB2312" w:hAnsi="ˎ̥" w:eastAsia="仿宋_GB2312"/>
          <w:color w:val="auto"/>
          <w:sz w:val="32"/>
          <w:szCs w:val="32"/>
          <w:lang w:eastAsia="zh-CN"/>
        </w:rPr>
        <w:t>支出</w:t>
      </w:r>
      <w:r>
        <w:rPr>
          <w:rFonts w:hint="eastAsia" w:ascii="仿宋_GB2312" w:hAnsi="ˎ̥" w:eastAsia="仿宋_GB2312"/>
          <w:color w:val="auto"/>
          <w:sz w:val="32"/>
          <w:szCs w:val="32"/>
          <w:lang w:val="en-US" w:eastAsia="zh-CN"/>
        </w:rPr>
        <w:t>7.06，比预算减少1.22万元，下降15%</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88.61</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87.28</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1.33</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spacing w:line="578" w:lineRule="exact"/>
        <w:ind w:firstLine="640" w:firstLineChars="200"/>
        <w:jc w:val="left"/>
        <w:rPr>
          <w:rFonts w:hint="eastAsia" w:ascii="仿宋_GB2312" w:hAnsi="ˎ̥" w:eastAsia="仿宋_GB2312" w:cs="Times New Roman"/>
          <w:color w:val="auto"/>
          <w:sz w:val="32"/>
          <w:szCs w:val="32"/>
        </w:rPr>
      </w:pPr>
      <w:r>
        <w:rPr>
          <w:rFonts w:hint="eastAsia" w:ascii="仿宋_GB2312" w:hAnsi="ˎ̥" w:eastAsia="仿宋_GB2312" w:cs="Times New Roman"/>
          <w:color w:val="auto"/>
          <w:sz w:val="32"/>
          <w:szCs w:val="32"/>
          <w:lang w:val="en-US" w:eastAsia="zh-CN"/>
        </w:rPr>
        <w:t>根据财政预算绩效管理要求，屯昌县南坤镇中坤幼儿园对2024年度一般公共预算项目支出开展全面绩效自评。</w:t>
      </w:r>
      <w:r>
        <w:rPr>
          <w:rFonts w:hint="default" w:ascii="仿宋_GB2312" w:hAnsi="ˎ̥" w:eastAsia="仿宋_GB2312" w:cs="Times New Roman"/>
          <w:color w:val="auto"/>
          <w:sz w:val="32"/>
          <w:szCs w:val="32"/>
        </w:rPr>
        <w:t>自评项目0个，共涉及资金0万元，自评覆盖率达到0%</w:t>
      </w:r>
      <w:r>
        <w:rPr>
          <w:rFonts w:hint="eastAsia" w:ascii="仿宋_GB2312" w:hAnsi="ˎ̥"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15262_WPSOffice_Level2"/>
      <w:bookmarkStart w:id="98" w:name="_Toc23598_WPSOffice_Level2"/>
      <w:bookmarkStart w:id="99" w:name="_Toc32639_WPSOffice_Level2"/>
      <w:bookmarkStart w:id="100" w:name="_Toc15565_WPSOffice_Level2"/>
      <w:bookmarkStart w:id="101" w:name="_Toc18325_WPSOffice_Level2"/>
      <w:bookmarkStart w:id="102" w:name="_Toc5978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spacing w:line="578" w:lineRule="exact"/>
        <w:ind w:firstLine="640" w:firstLineChars="200"/>
        <w:rPr>
          <w:rFonts w:hint="eastAsia" w:ascii="仿宋_GB2312" w:hAnsi="ˎ̥" w:eastAsia="仿宋_GB2312" w:cs="仿宋_GB2312"/>
          <w:color w:val="auto"/>
          <w:kern w:val="0"/>
          <w:sz w:val="32"/>
          <w:szCs w:val="32"/>
          <w:shd w:val="clear" w:color="auto" w:fill="FFFFFF"/>
          <w:lang w:eastAsia="zh-CN"/>
        </w:rPr>
      </w:pPr>
      <w:r>
        <w:rPr>
          <w:rFonts w:hint="eastAsia" w:ascii="仿宋_GB2312" w:hAnsi="ˎ̥" w:eastAsia="仿宋_GB2312" w:cs="仿宋_GB2312"/>
          <w:color w:val="auto"/>
          <w:kern w:val="0"/>
          <w:sz w:val="32"/>
          <w:szCs w:val="32"/>
          <w:shd w:val="clear" w:color="auto" w:fill="FFFFFF"/>
          <w:lang w:eastAsia="zh-CN"/>
        </w:rPr>
        <w:t>屯昌县南坤镇中坤幼儿园</w:t>
      </w:r>
      <w:r>
        <w:rPr>
          <w:rFonts w:hint="eastAsia" w:ascii="仿宋_GB2312" w:hAnsi="ˎ̥" w:eastAsia="仿宋_GB2312" w:cs="仿宋_GB2312"/>
          <w:color w:val="auto"/>
          <w:kern w:val="0"/>
          <w:sz w:val="32"/>
          <w:szCs w:val="32"/>
          <w:shd w:val="clear" w:color="auto" w:fill="FFFFFF"/>
        </w:rPr>
        <w:t>属事业单位，事业单位没有机关运行经费支出</w:t>
      </w:r>
      <w:r>
        <w:rPr>
          <w:rFonts w:hint="eastAsia" w:ascii="仿宋_GB2312" w:hAnsi="ˎ̥" w:eastAsia="仿宋_GB2312" w:cs="仿宋_GB2312"/>
          <w:color w:val="auto"/>
          <w:kern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3" w:name="_Toc23966_WPSOffice_Level2"/>
      <w:bookmarkStart w:id="104" w:name="_Toc3131_WPSOffice_Level2"/>
      <w:bookmarkStart w:id="105" w:name="_Toc25333_WPSOffice_Level2"/>
      <w:bookmarkStart w:id="106" w:name="_Toc13084_WPSOffice_Level2"/>
      <w:bookmarkStart w:id="107" w:name="_Toc32689_WPSOffice_Level2"/>
      <w:bookmarkStart w:id="108" w:name="_Toc30383_WPSOffice_Level2"/>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spacing w:line="578" w:lineRule="exact"/>
        <w:ind w:firstLine="640" w:firstLineChars="200"/>
        <w:rPr>
          <w:rFonts w:hint="eastAsia" w:ascii="仿宋_GB2312" w:hAnsi="ˎ̥" w:eastAsia="仿宋_GB2312" w:cs="仿宋_GB2312"/>
          <w:color w:val="auto"/>
          <w:kern w:val="0"/>
          <w:sz w:val="32"/>
          <w:szCs w:val="32"/>
          <w:shd w:val="clear" w:color="auto" w:fill="FFFFFF"/>
          <w:lang w:eastAsia="zh-CN"/>
        </w:rPr>
      </w:pPr>
      <w:r>
        <w:rPr>
          <w:rFonts w:hint="eastAsia" w:ascii="仿宋_GB2312" w:hAnsi="ˎ̥" w:eastAsia="仿宋_GB2312" w:cs="仿宋_GB2312"/>
          <w:color w:val="auto"/>
          <w:kern w:val="0"/>
          <w:sz w:val="32"/>
          <w:szCs w:val="32"/>
          <w:shd w:val="clear" w:color="auto" w:fill="FFFFFF"/>
          <w:lang w:eastAsia="zh-CN"/>
        </w:rPr>
        <w:t>屯昌县南坤镇中坤幼儿园</w:t>
      </w:r>
      <w:r>
        <w:rPr>
          <w:rFonts w:hint="eastAsia" w:ascii="仿宋_GB2312" w:hAnsi="ˎ̥" w:eastAsia="仿宋_GB2312" w:cs="仿宋_GB2312"/>
          <w:color w:val="auto"/>
          <w:kern w:val="0"/>
          <w:sz w:val="32"/>
          <w:szCs w:val="32"/>
          <w:shd w:val="clear" w:color="auto" w:fill="FFFFFF"/>
        </w:rPr>
        <w:t>属事业单位，事业单位没有机关运行经费支出</w:t>
      </w:r>
      <w:r>
        <w:rPr>
          <w:rFonts w:hint="eastAsia" w:ascii="仿宋_GB2312" w:hAnsi="ˎ̥" w:eastAsia="仿宋_GB2312" w:cs="仿宋_GB2312"/>
          <w:color w:val="auto"/>
          <w:kern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19989_WPSOffice_Level2"/>
      <w:bookmarkStart w:id="110" w:name="_Toc6016_WPSOffice_Level2"/>
      <w:bookmarkStart w:id="111" w:name="_Toc10902_WPSOffice_Level2"/>
      <w:bookmarkStart w:id="112" w:name="_Toc15129_WPSOffice_Level2"/>
      <w:bookmarkStart w:id="113" w:name="_Toc29584_WPSOffice_Level2"/>
      <w:bookmarkStart w:id="114" w:name="_Toc527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bCs/>
          <w:color w:val="auto"/>
          <w:sz w:val="32"/>
          <w:szCs w:val="32"/>
        </w:rPr>
        <w:t>截至202</w:t>
      </w:r>
      <w:r>
        <w:rPr>
          <w:rFonts w:hint="eastAsia" w:ascii="仿宋_GB2312" w:hAnsi="ˎ̥" w:eastAsia="仿宋_GB2312"/>
          <w:bCs/>
          <w:color w:val="auto"/>
          <w:sz w:val="32"/>
          <w:szCs w:val="32"/>
          <w:lang w:val="en-US" w:eastAsia="zh-CN"/>
        </w:rPr>
        <w:t>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5" w:name="_Toc8808_WPSOffice_Level1"/>
      <w:bookmarkStart w:id="116" w:name="_Toc4398_WPSOffice_Level1"/>
      <w:bookmarkStart w:id="117" w:name="_Toc11039_WPSOffice_Level1"/>
      <w:bookmarkStart w:id="118" w:name="_Toc8874_WPSOffice_Level1"/>
      <w:bookmarkStart w:id="119" w:name="_Toc15425_WPSOffice_Level1"/>
      <w:bookmarkStart w:id="120"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2000000000000000000"/>
    <w:charset w:val="86"/>
    <w:family w:val="auto"/>
    <w:pitch w:val="default"/>
    <w:sig w:usb0="00000000" w:usb1="00000000" w:usb2="00000016"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B0DE7"/>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A18152F"/>
    <w:rsid w:val="4C6877E5"/>
    <w:rsid w:val="4D6A468D"/>
    <w:rsid w:val="4EA86137"/>
    <w:rsid w:val="56B000F6"/>
    <w:rsid w:val="56CA7FD0"/>
    <w:rsid w:val="57FA38D1"/>
    <w:rsid w:val="59136FEB"/>
    <w:rsid w:val="5F7D3333"/>
    <w:rsid w:val="61385890"/>
    <w:rsid w:val="687436E1"/>
    <w:rsid w:val="6DA45C50"/>
    <w:rsid w:val="6E9A7825"/>
    <w:rsid w:val="6F670F9B"/>
    <w:rsid w:val="737450E0"/>
    <w:rsid w:val="74054476"/>
    <w:rsid w:val="742F38C4"/>
    <w:rsid w:val="74AB66DC"/>
    <w:rsid w:val="74C4154C"/>
    <w:rsid w:val="75956FFF"/>
    <w:rsid w:val="77AA2D01"/>
    <w:rsid w:val="78094083"/>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7580</Words>
  <Characters>8458</Characters>
  <Lines>67</Lines>
  <Paragraphs>18</Paragraphs>
  <TotalTime>1</TotalTime>
  <ScaleCrop>false</ScaleCrop>
  <LinksUpToDate>false</LinksUpToDate>
  <CharactersWithSpaces>8545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2025-10-27T08:04:44Z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eyJoZGlkIjoiMjcyNmZmYWVkNTZhM2MyMTUwNDQ0NWM3ZWNmNjhlMjEiLCJ1c2VySWQiOiIzMzUyOTY1NzYifQ==</vt:lpwstr>
  </property>
</Properties>
</file>