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屯昌县屯城镇中心幼儿园2024年度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eastAsia="zh-CN"/>
        </w:rPr>
        <w:t>单位</w:t>
      </w:r>
      <w:r>
        <w:rPr>
          <w:rFonts w:hint="eastAsia" w:ascii="方正小标宋_GBK" w:hAnsi="方正小标宋_GBK" w:eastAsia="方正小标宋_GBK" w:cs="方正小标宋_GBK"/>
          <w:b w:val="0"/>
          <w:bCs w:val="0"/>
          <w:sz w:val="44"/>
          <w:szCs w:val="44"/>
        </w:rPr>
        <w:t>决算公开报告</w:t>
      </w:r>
    </w:p>
    <w:p>
      <w:pPr>
        <w:spacing w:line="578" w:lineRule="exact"/>
        <w:jc w:val="center"/>
        <w:rPr>
          <w:rFonts w:hint="eastAsia" w:ascii="黑体" w:hAnsi="ˎ̥" w:eastAsia="黑体"/>
          <w:b/>
          <w:sz w:val="32"/>
          <w:szCs w:val="32"/>
        </w:rPr>
      </w:pPr>
      <w:bookmarkStart w:id="121" w:name="_GoBack"/>
      <w:bookmarkEnd w:id="121"/>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eastAsia="zh-CN"/>
        </w:rPr>
        <w:t>单位</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32433_WPSOffice_Level1"/>
      <w:bookmarkStart w:id="3" w:name="_Toc10049_WPSOffice_Level1"/>
      <w:bookmarkStart w:id="4" w:name="_Toc1704_WPSOffice_Level1"/>
      <w:bookmarkStart w:id="5" w:name="_Toc10720_WPSOffice_Level1"/>
      <w:bookmarkStart w:id="6" w:name="_Toc22941_WPSOffice_Level1"/>
      <w:bookmarkStart w:id="7" w:name="_Toc23465_WPSOffice_Level1"/>
      <w:bookmarkStart w:id="8" w:name="_Toc24238_WPSOffice_Level2"/>
      <w:bookmarkStart w:id="9" w:name="_Toc20274_WPSOffice_Level2"/>
      <w:bookmarkStart w:id="10" w:name="_Toc26580_WPSOffice_Level2"/>
      <w:bookmarkStart w:id="11" w:name="_Toc14159_WPSOffice_Level2"/>
      <w:bookmarkStart w:id="12" w:name="_Toc20205_WPSOffice_Level2"/>
      <w:bookmarkStart w:id="13" w:name="_Toc32622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一、</w:t>
      </w:r>
      <w:bookmarkEnd w:id="8"/>
      <w:r>
        <w:rPr>
          <w:rFonts w:hint="eastAsia" w:ascii="黑体" w:hAnsi="黑体" w:eastAsia="黑体" w:cs="黑体"/>
          <w:sz w:val="32"/>
          <w:szCs w:val="32"/>
        </w:rPr>
        <w:t>屯昌县屯城镇中心幼儿园职责</w:t>
      </w:r>
      <w:bookmarkEnd w:id="9"/>
      <w:bookmarkEnd w:id="10"/>
      <w:bookmarkEnd w:id="11"/>
      <w:bookmarkEnd w:id="12"/>
      <w:bookmarkEnd w:id="13"/>
    </w:p>
    <w:p>
      <w:pPr>
        <w:keepNext w:val="0"/>
        <w:keepLines w:val="0"/>
        <w:widowControl/>
        <w:suppressLineNumbers w:val="0"/>
        <w:shd w:val="clear" w:color="auto" w:fill="FFFFFF"/>
        <w:wordWrap w:val="0"/>
        <w:spacing w:line="480" w:lineRule="auto"/>
        <w:ind w:left="0" w:firstLine="640" w:firstLineChars="200"/>
        <w:jc w:val="left"/>
        <w:rPr>
          <w:rFonts w:hint="eastAsia" w:ascii="楷体_GB2312" w:hAnsi="楷体_GB2312" w:eastAsia="楷体_GB2312" w:cs="楷体_GB2312"/>
          <w:kern w:val="0"/>
          <w:sz w:val="32"/>
          <w:szCs w:val="32"/>
          <w:shd w:val="clear" w:color="auto" w:fill="FFFFFF"/>
        </w:rPr>
      </w:pPr>
      <w:bookmarkStart w:id="14" w:name="_Toc15521_WPSOffice_Level1"/>
      <w:bookmarkStart w:id="15" w:name="_Toc8164_WPSOffice_Level1"/>
      <w:bookmarkStart w:id="16" w:name="_Toc6234_WPSOffice_Level1"/>
      <w:bookmarkStart w:id="17" w:name="_Toc30690_WPSOffice_Level1"/>
      <w:bookmarkStart w:id="18" w:name="_Toc28253_WPSOffice_Level1"/>
      <w:bookmarkStart w:id="19" w:name="_Toc30451_WPSOffice_Level1"/>
      <w:bookmarkStart w:id="20" w:name="_Toc8867_WPSOffice_Level2"/>
      <w:bookmarkStart w:id="21" w:name="_Toc32695_WPSOffice_Level2"/>
      <w:bookmarkStart w:id="22" w:name="_Toc6211_WPSOffice_Level2"/>
      <w:bookmarkStart w:id="23" w:name="_Toc11518_WPSOffice_Level2"/>
      <w:bookmarkStart w:id="24" w:name="_Toc32472_WPSOffice_Level2"/>
      <w:bookmarkStart w:id="25" w:name="_Toc4029_WPSOffice_Level2"/>
      <w:r>
        <w:rPr>
          <w:rFonts w:hint="eastAsia" w:ascii="楷体_GB2312" w:hAnsi="楷体_GB2312" w:eastAsia="楷体_GB2312" w:cs="楷体_GB2312"/>
          <w:kern w:val="0"/>
          <w:sz w:val="32"/>
          <w:szCs w:val="32"/>
          <w:shd w:val="clear" w:color="auto" w:fill="FFFFFF"/>
        </w:rPr>
        <w:t>（一）基本职能</w:t>
      </w:r>
    </w:p>
    <w:p>
      <w:pPr>
        <w:keepNext w:val="0"/>
        <w:keepLines w:val="0"/>
        <w:widowControl/>
        <w:suppressLineNumbers w:val="0"/>
        <w:shd w:val="clear" w:color="auto" w:fill="FFFFFF"/>
        <w:wordWrap w:val="0"/>
        <w:spacing w:line="480" w:lineRule="auto"/>
        <w:ind w:left="0" w:firstLine="640" w:firstLineChars="200"/>
        <w:jc w:val="left"/>
        <w:rPr>
          <w:rFonts w:hint="eastAsia" w:ascii="仿宋" w:hAnsi="仿宋" w:eastAsia="仿宋" w:cs="仿宋"/>
          <w:kern w:val="0"/>
          <w:sz w:val="30"/>
          <w:szCs w:val="30"/>
          <w:shd w:val="clear" w:color="auto" w:fill="FFFFFF"/>
        </w:rPr>
      </w:pPr>
      <w:r>
        <w:rPr>
          <w:rFonts w:hint="eastAsia" w:ascii="黑体" w:hAnsi="宋体" w:eastAsia="黑体" w:cs="黑体"/>
          <w:kern w:val="0"/>
          <w:sz w:val="32"/>
          <w:szCs w:val="32"/>
          <w:shd w:val="clear" w:color="auto" w:fill="FFFFFF"/>
        </w:rPr>
        <w:t xml:space="preserve"> </w:t>
      </w:r>
      <w:r>
        <w:rPr>
          <w:rFonts w:hint="eastAsia" w:ascii="仿宋" w:hAnsi="仿宋" w:eastAsia="仿宋" w:cs="仿宋"/>
          <w:kern w:val="0"/>
          <w:sz w:val="30"/>
          <w:szCs w:val="30"/>
          <w:shd w:val="clear" w:color="auto" w:fill="FFFFFF"/>
        </w:rPr>
        <w:t>1.认真贯彻执行党和国家的有关法律法规、方针、政策，</w:t>
      </w:r>
      <w:r>
        <w:rPr>
          <w:rFonts w:hint="eastAsia" w:ascii="仿宋" w:hAnsi="仿宋" w:eastAsia="仿宋" w:cs="仿宋"/>
          <w:spacing w:val="15"/>
          <w:kern w:val="0"/>
          <w:sz w:val="30"/>
          <w:szCs w:val="30"/>
          <w:shd w:val="clear" w:color="auto" w:fill="FFFFFF"/>
        </w:rPr>
        <w:t>坚持民主管理，依法办园，</w:t>
      </w:r>
      <w:r>
        <w:rPr>
          <w:rFonts w:hint="eastAsia" w:ascii="仿宋" w:hAnsi="仿宋" w:eastAsia="仿宋" w:cs="仿宋"/>
          <w:kern w:val="0"/>
          <w:sz w:val="30"/>
          <w:szCs w:val="30"/>
          <w:shd w:val="clear" w:color="auto" w:fill="FFFFFF"/>
        </w:rPr>
        <w:t>执行上级主管</w:t>
      </w:r>
      <w:r>
        <w:rPr>
          <w:rFonts w:hint="eastAsia" w:ascii="仿宋" w:hAnsi="仿宋" w:eastAsia="仿宋" w:cs="仿宋"/>
          <w:kern w:val="0"/>
          <w:sz w:val="30"/>
          <w:szCs w:val="30"/>
          <w:shd w:val="clear" w:color="auto" w:fill="FFFFFF"/>
          <w:lang w:eastAsia="zh-CN"/>
        </w:rPr>
        <w:t>单位</w:t>
      </w:r>
      <w:r>
        <w:rPr>
          <w:rFonts w:hint="eastAsia" w:ascii="仿宋" w:hAnsi="仿宋" w:eastAsia="仿宋" w:cs="仿宋"/>
          <w:kern w:val="0"/>
          <w:sz w:val="30"/>
          <w:szCs w:val="30"/>
          <w:shd w:val="clear" w:color="auto" w:fill="FFFFFF"/>
        </w:rPr>
        <w:t>的指示和决定。</w:t>
      </w:r>
    </w:p>
    <w:p>
      <w:pPr>
        <w:keepNext w:val="0"/>
        <w:keepLines w:val="0"/>
        <w:widowControl/>
        <w:suppressLineNumbers w:val="0"/>
        <w:shd w:val="clear" w:color="auto" w:fill="FFFFFF"/>
        <w:wordWrap w:val="0"/>
        <w:spacing w:line="480" w:lineRule="auto"/>
        <w:ind w:left="0" w:firstLine="600" w:firstLineChars="200"/>
        <w:jc w:val="left"/>
        <w:rPr>
          <w:rFonts w:hint="eastAsia"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2.实行保育和教育相结合的原则，</w:t>
      </w:r>
      <w:r>
        <w:rPr>
          <w:rFonts w:hint="eastAsia" w:ascii="仿宋" w:hAnsi="仿宋" w:eastAsia="仿宋" w:cs="仿宋"/>
          <w:spacing w:val="15"/>
          <w:kern w:val="0"/>
          <w:sz w:val="30"/>
          <w:szCs w:val="30"/>
          <w:shd w:val="clear" w:color="auto" w:fill="FFFFFF"/>
        </w:rPr>
        <w:t>对幼儿实施体、智、德、美诸方面全面发展的教育，促进其身心和谐发展。</w:t>
      </w:r>
      <w:r>
        <w:rPr>
          <w:rFonts w:hint="eastAsia" w:ascii="仿宋" w:hAnsi="仿宋" w:eastAsia="仿宋" w:cs="仿宋"/>
          <w:kern w:val="0"/>
          <w:sz w:val="30"/>
          <w:szCs w:val="30"/>
          <w:shd w:val="clear" w:color="auto" w:fill="FFFFFF"/>
        </w:rPr>
        <w:t>为家长解除后顾之忧，热忱为家长服务。</w:t>
      </w:r>
    </w:p>
    <w:p>
      <w:pPr>
        <w:keepNext w:val="0"/>
        <w:keepLines w:val="0"/>
        <w:widowControl/>
        <w:suppressLineNumbers w:val="0"/>
        <w:shd w:val="clear" w:color="auto" w:fill="FFFFFF"/>
        <w:wordWrap w:val="0"/>
        <w:spacing w:line="480" w:lineRule="auto"/>
        <w:ind w:left="0" w:firstLine="600" w:firstLineChars="200"/>
        <w:jc w:val="left"/>
        <w:rPr>
          <w:rFonts w:hint="eastAsia"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3.尊重儿童的人格尊严和基本权利，尊重儿童身心发展的特点和规律，为儿童提供健康、丰富的生活和活动环境。合理组织幼儿一日生活活动和其它活动，促进幼儿体智德美等和谐发展，全面实施素质教育。</w:t>
      </w:r>
    </w:p>
    <w:p>
      <w:pPr>
        <w:keepNext w:val="0"/>
        <w:keepLines w:val="0"/>
        <w:widowControl/>
        <w:suppressLineNumbers w:val="0"/>
        <w:shd w:val="clear" w:color="auto" w:fill="FFFFFF"/>
        <w:wordWrap w:val="0"/>
        <w:spacing w:line="480" w:lineRule="auto"/>
        <w:ind w:left="0" w:firstLine="600" w:firstLineChars="200"/>
        <w:jc w:val="left"/>
        <w:rPr>
          <w:rFonts w:hint="eastAsia"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4.严格执行幼儿园安全、卫生保健制度，保证幼儿身心健康和生命安全。</w:t>
      </w:r>
    </w:p>
    <w:p>
      <w:pPr>
        <w:keepNext w:val="0"/>
        <w:keepLines w:val="0"/>
        <w:widowControl/>
        <w:suppressLineNumbers w:val="0"/>
        <w:shd w:val="clear" w:color="auto" w:fill="FFFFFF"/>
        <w:wordWrap w:val="0"/>
        <w:spacing w:line="480" w:lineRule="auto"/>
        <w:ind w:left="0" w:firstLine="600" w:firstLineChars="200"/>
        <w:jc w:val="left"/>
        <w:rPr>
          <w:rFonts w:hint="eastAsia"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5.充分利用幼儿和社区的资源优势，面向家长开展多种形式的早期教育宣传、指导等服务，促进家庭教育质量的不断提高。</w:t>
      </w:r>
    </w:p>
    <w:p>
      <w:pPr>
        <w:keepNext w:val="0"/>
        <w:keepLines w:val="0"/>
        <w:widowControl/>
        <w:suppressLineNumbers w:val="0"/>
        <w:spacing w:before="0" w:beforeAutospacing="0" w:after="100" w:afterAutospacing="1"/>
        <w:ind w:leftChars="200" w:right="0" w:rightChars="0"/>
        <w:jc w:val="left"/>
        <w:rPr>
          <w:rFonts w:hint="eastAsia" w:ascii="宋体" w:hAnsi="宋体" w:eastAsia="宋体" w:cs="宋体"/>
          <w:kern w:val="0"/>
          <w:sz w:val="30"/>
          <w:szCs w:val="30"/>
          <w:shd w:val="clear" w:color="auto" w:fill="FFFFFF"/>
        </w:rPr>
      </w:pPr>
      <w:r>
        <w:rPr>
          <w:rFonts w:hint="eastAsia" w:ascii="仿宋" w:hAnsi="仿宋" w:eastAsia="仿宋" w:cs="仿宋"/>
          <w:kern w:val="0"/>
          <w:sz w:val="30"/>
          <w:szCs w:val="30"/>
          <w:shd w:val="clear" w:color="auto" w:fill="FFFFFF"/>
        </w:rPr>
        <w:t>6.贯彻幼儿教育法规、传播科学教育理念、开展教育科学研究、培训师资，发挥县示范性幼儿园的示范、辐射作用</w:t>
      </w:r>
      <w:r>
        <w:rPr>
          <w:rFonts w:hint="eastAsia" w:ascii="宋体" w:hAnsi="宋体" w:eastAsia="宋体" w:cs="宋体"/>
          <w:kern w:val="0"/>
          <w:sz w:val="30"/>
          <w:szCs w:val="30"/>
          <w:shd w:val="clear" w:color="auto" w:fill="FFFFFF"/>
        </w:rPr>
        <w:t>。</w:t>
      </w:r>
    </w:p>
    <w:p>
      <w:pPr>
        <w:keepNext w:val="0"/>
        <w:keepLines w:val="0"/>
        <w:widowControl/>
        <w:suppressLineNumbers w:val="0"/>
        <w:shd w:val="clear" w:color="auto" w:fill="FFFFFF"/>
        <w:wordWrap w:val="0"/>
        <w:spacing w:line="480" w:lineRule="auto"/>
        <w:ind w:left="0" w:firstLine="640" w:firstLineChars="200"/>
        <w:jc w:val="left"/>
        <w:rPr>
          <w:rFonts w:hint="eastAsia" w:ascii="楷体_GB2312" w:hAnsi="楷体_GB2312" w:eastAsia="楷体_GB2312" w:cs="楷体_GB2312"/>
          <w:kern w:val="0"/>
          <w:sz w:val="32"/>
          <w:szCs w:val="32"/>
          <w:shd w:val="clear" w:color="auto" w:fill="FFFFFF"/>
        </w:rPr>
      </w:pPr>
      <w:r>
        <w:rPr>
          <w:rFonts w:hint="eastAsia" w:ascii="楷体_GB2312" w:hAnsi="楷体_GB2312" w:eastAsia="楷体_GB2312" w:cs="楷体_GB2312"/>
          <w:kern w:val="0"/>
          <w:sz w:val="32"/>
          <w:szCs w:val="32"/>
          <w:shd w:val="clear" w:color="auto" w:fill="FFFFFF"/>
        </w:rPr>
        <w:t>（二）内设机构</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屯昌县屯城镇中心幼儿园，共有11</w:t>
      </w:r>
      <w:r>
        <w:rPr>
          <w:rFonts w:hint="eastAsia" w:ascii="仿宋_GB2312" w:hAnsi="ˎ̥" w:eastAsia="仿宋_GB2312"/>
          <w:sz w:val="32"/>
          <w:szCs w:val="32"/>
          <w:lang w:val="en-US" w:eastAsia="zh-CN"/>
        </w:rPr>
        <w:t>2</w:t>
      </w:r>
      <w:r>
        <w:rPr>
          <w:rFonts w:hint="eastAsia" w:ascii="仿宋_GB2312" w:hAnsi="ˎ̥" w:eastAsia="仿宋_GB2312"/>
          <w:sz w:val="32"/>
          <w:szCs w:val="32"/>
        </w:rPr>
        <w:t>人，事业编制人员20人</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临聘</w:t>
      </w:r>
      <w:r>
        <w:rPr>
          <w:rFonts w:hint="eastAsia" w:ascii="仿宋_GB2312" w:hAnsi="ˎ̥" w:eastAsia="仿宋_GB2312"/>
          <w:sz w:val="32"/>
          <w:szCs w:val="32"/>
        </w:rPr>
        <w:t>教师人员2</w:t>
      </w:r>
      <w:r>
        <w:rPr>
          <w:rFonts w:hint="eastAsia" w:ascii="仿宋_GB2312" w:hAnsi="ˎ̥" w:eastAsia="仿宋_GB2312"/>
          <w:sz w:val="32"/>
          <w:szCs w:val="32"/>
          <w:lang w:val="en-US" w:eastAsia="zh-CN"/>
        </w:rPr>
        <w:t>7</w:t>
      </w:r>
      <w:r>
        <w:rPr>
          <w:rFonts w:hint="eastAsia" w:ascii="仿宋_GB2312" w:hAnsi="ˎ̥" w:eastAsia="仿宋_GB2312"/>
          <w:sz w:val="32"/>
          <w:szCs w:val="32"/>
        </w:rPr>
        <w:t>人，保育员26人，</w:t>
      </w:r>
      <w:r>
        <w:rPr>
          <w:rFonts w:hint="eastAsia" w:ascii="仿宋_GB2312" w:hAnsi="ˎ̥" w:eastAsia="仿宋_GB2312"/>
          <w:sz w:val="32"/>
          <w:szCs w:val="32"/>
          <w:lang w:val="en-US" w:eastAsia="zh-CN"/>
        </w:rPr>
        <w:t>后勤人员26人，</w:t>
      </w:r>
      <w:r>
        <w:rPr>
          <w:rFonts w:hint="eastAsia" w:ascii="仿宋_GB2312" w:hAnsi="ˎ̥" w:eastAsia="仿宋_GB2312"/>
          <w:sz w:val="32"/>
          <w:szCs w:val="32"/>
        </w:rPr>
        <w:t>交流人数1</w:t>
      </w:r>
      <w:r>
        <w:rPr>
          <w:rFonts w:hint="eastAsia" w:ascii="仿宋_GB2312" w:hAnsi="ˎ̥" w:eastAsia="仿宋_GB2312"/>
          <w:sz w:val="32"/>
          <w:szCs w:val="32"/>
          <w:lang w:val="en-US" w:eastAsia="zh-CN"/>
        </w:rPr>
        <w:t>3</w:t>
      </w:r>
      <w:r>
        <w:rPr>
          <w:rFonts w:hint="eastAsia" w:ascii="仿宋_GB2312" w:hAnsi="ˎ̥" w:eastAsia="仿宋_GB2312"/>
          <w:sz w:val="32"/>
          <w:szCs w:val="32"/>
        </w:rPr>
        <w:t>人。共有3名园长，一正二副。内设行政组织机构、食品安全组织机构、保健组、保教组、后勤组、党支部、工会、教代会。</w:t>
      </w:r>
    </w:p>
    <w:p>
      <w:pPr>
        <w:spacing w:line="578" w:lineRule="exact"/>
        <w:ind w:left="1118" w:leftChars="304" w:hanging="480" w:hangingChars="150"/>
        <w:rPr>
          <w:rFonts w:hint="eastAsia" w:ascii="黑体" w:hAnsi="黑体" w:eastAsia="黑体" w:cs="黑体"/>
          <w:sz w:val="32"/>
          <w:szCs w:val="32"/>
        </w:rPr>
      </w:pPr>
      <w:bookmarkStart w:id="26" w:name="_Toc24059_WPSOffice_Level2"/>
      <w:bookmarkStart w:id="27" w:name="_Toc4833_WPSOffice_Level2"/>
      <w:bookmarkStart w:id="28" w:name="_Toc17796_WPSOffice_Level2"/>
      <w:bookmarkStart w:id="29" w:name="_Toc24474_WPSOffice_Level2"/>
      <w:bookmarkStart w:id="30" w:name="_Toc6572_WPSOffice_Level2"/>
      <w:r>
        <w:rPr>
          <w:rFonts w:hint="eastAsia" w:ascii="黑体" w:hAnsi="黑体" w:eastAsia="黑体" w:cs="黑体"/>
          <w:sz w:val="32"/>
          <w:szCs w:val="32"/>
        </w:rPr>
        <w:t>二、机构设置</w:t>
      </w:r>
      <w:bookmarkEnd w:id="26"/>
      <w:bookmarkEnd w:id="27"/>
      <w:bookmarkEnd w:id="28"/>
      <w:bookmarkEnd w:id="29"/>
      <w:bookmarkEnd w:id="3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bookmarkStart w:id="31" w:name="_Toc24421_WPSOffice_Level2"/>
      <w:bookmarkStart w:id="32" w:name="_Toc25738_WPSOffice_Level2"/>
      <w:r>
        <w:rPr>
          <w:rFonts w:hint="eastAsia" w:ascii="仿宋_GB2312" w:hAnsi="ˎ̥" w:eastAsia="仿宋_GB2312"/>
          <w:sz w:val="32"/>
          <w:szCs w:val="32"/>
        </w:rPr>
        <w:t>纳入屯昌县屯城镇中心幼儿园</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决算编制范围的单位共</w:t>
      </w:r>
      <w:r>
        <w:rPr>
          <w:rFonts w:hint="eastAsia" w:ascii="仿宋_GB2312" w:hAnsi="ˎ̥" w:eastAsia="仿宋_GB2312"/>
          <w:sz w:val="32"/>
          <w:szCs w:val="32"/>
          <w:lang w:val="en-US" w:eastAsia="zh-CN"/>
        </w:rPr>
        <w:t>1</w:t>
      </w:r>
      <w:r>
        <w:rPr>
          <w:rFonts w:hint="eastAsia" w:ascii="仿宋_GB2312" w:hAnsi="ˎ̥" w:eastAsia="仿宋_GB2312"/>
          <w:sz w:val="32"/>
          <w:szCs w:val="32"/>
        </w:rPr>
        <w:t>个，包括：</w:t>
      </w:r>
    </w:p>
    <w:p>
      <w:pPr>
        <w:numPr>
          <w:ilvl w:val="0"/>
          <w:numId w:val="2"/>
        </w:numPr>
        <w:spacing w:line="578"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屯昌县屯城镇中心幼儿园</w:t>
      </w:r>
      <w:r>
        <w:rPr>
          <w:rFonts w:hint="eastAsia" w:ascii="楷体_GB2312" w:hAnsi="楷体_GB2312" w:eastAsia="楷体_GB2312" w:cs="楷体_GB2312"/>
          <w:sz w:val="32"/>
          <w:szCs w:val="32"/>
          <w:lang w:eastAsia="zh-CN"/>
        </w:rPr>
        <w:t>单位</w:t>
      </w:r>
      <w:r>
        <w:rPr>
          <w:rFonts w:hint="eastAsia" w:ascii="楷体_GB2312" w:hAnsi="楷体_GB2312" w:eastAsia="楷体_GB2312" w:cs="楷体_GB2312"/>
          <w:sz w:val="32"/>
          <w:szCs w:val="32"/>
        </w:rPr>
        <w:t>本级</w:t>
      </w:r>
      <w:bookmarkEnd w:id="31"/>
      <w:bookmarkEnd w:id="3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纳入屯昌县屯城镇中心幼儿园2019年</w:t>
      </w:r>
      <w:r>
        <w:rPr>
          <w:rFonts w:hint="eastAsia" w:ascii="仿宋_GB2312" w:hAnsi="ˎ̥" w:eastAsia="仿宋_GB2312"/>
          <w:sz w:val="32"/>
          <w:szCs w:val="32"/>
          <w:lang w:eastAsia="zh-CN"/>
        </w:rPr>
        <w:t>单位</w:t>
      </w:r>
      <w:r>
        <w:rPr>
          <w:rFonts w:hint="eastAsia" w:ascii="仿宋_GB2312" w:hAnsi="ˎ̥" w:eastAsia="仿宋_GB2312"/>
          <w:sz w:val="32"/>
          <w:szCs w:val="32"/>
        </w:rPr>
        <w:t>预算编制范围的二级预算单位包括：屯昌县屯城镇中心幼儿园。如果是基层预算单位，没有下属单位的，可只说明单位内设机构即可。</w:t>
      </w: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决算公开报表</w:t>
      </w:r>
      <w:bookmarkEnd w:id="14"/>
      <w:bookmarkEnd w:id="15"/>
      <w:bookmarkEnd w:id="16"/>
      <w:bookmarkEnd w:id="17"/>
      <w:bookmarkEnd w:id="18"/>
      <w:bookmarkEnd w:id="19"/>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0"/>
      <w:bookmarkEnd w:id="21"/>
      <w:bookmarkEnd w:id="22"/>
      <w:bookmarkEnd w:id="23"/>
      <w:bookmarkEnd w:id="24"/>
      <w:bookmarkEnd w:id="25"/>
    </w:p>
    <w:p>
      <w:pPr>
        <w:spacing w:line="578" w:lineRule="exact"/>
        <w:ind w:firstLine="645"/>
        <w:rPr>
          <w:rFonts w:hint="eastAsia" w:ascii="黑体" w:hAnsi="黑体" w:eastAsia="黑体" w:cs="黑体"/>
          <w:sz w:val="32"/>
          <w:szCs w:val="32"/>
        </w:rPr>
      </w:pPr>
      <w:bookmarkStart w:id="33" w:name="_Toc23139_WPSOffice_Level2"/>
      <w:bookmarkStart w:id="34" w:name="_Toc25608_WPSOffice_Level2"/>
      <w:bookmarkStart w:id="35" w:name="_Toc26621_WPSOffice_Level2"/>
      <w:bookmarkStart w:id="36" w:name="_Toc28622_WPSOffice_Level2"/>
      <w:bookmarkStart w:id="37" w:name="_Toc14349_WPSOffice_Level2"/>
      <w:bookmarkStart w:id="38" w:name="_Toc30334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14658_WPSOffice_Level2"/>
      <w:bookmarkStart w:id="40" w:name="_Toc17858_WPSOffice_Level2"/>
      <w:bookmarkStart w:id="41" w:name="_Toc13854_WPSOffice_Level2"/>
      <w:bookmarkStart w:id="42" w:name="_Toc3262_WPSOffice_Level2"/>
      <w:bookmarkStart w:id="43" w:name="_Toc17626_WPSOffice_Level2"/>
      <w:bookmarkStart w:id="44" w:name="_Toc5489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21415_WPSOffice_Level2"/>
      <w:bookmarkStart w:id="46" w:name="_Toc23493_WPSOffice_Level2"/>
      <w:bookmarkStart w:id="47" w:name="_Toc13701_WPSOffice_Level2"/>
      <w:bookmarkStart w:id="48" w:name="_Toc7988_WPSOffice_Level2"/>
      <w:bookmarkStart w:id="49" w:name="_Toc23591_WPSOffice_Level2"/>
      <w:bookmarkStart w:id="50" w:name="_Toc4265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sz w:val="32"/>
          <w:szCs w:val="32"/>
        </w:rPr>
      </w:pPr>
      <w:bookmarkStart w:id="51" w:name="_Toc25166_WPSOffice_Level2"/>
      <w:bookmarkStart w:id="52" w:name="_Toc22783_WPSOffice_Level2"/>
      <w:bookmarkStart w:id="53" w:name="_Toc23829_WPSOffice_Level2"/>
      <w:bookmarkStart w:id="54" w:name="_Toc7879_WPSOffice_Level2"/>
      <w:bookmarkStart w:id="55" w:name="_Toc13516_WPSOffice_Level2"/>
      <w:bookmarkStart w:id="56" w:name="_Toc2158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17283_WPSOffice_Level2"/>
      <w:bookmarkStart w:id="58" w:name="_Toc25362_WPSOffice_Level2"/>
      <w:bookmarkStart w:id="59" w:name="_Toc5343_WPSOffice_Level2"/>
      <w:bookmarkStart w:id="60" w:name="_Toc8373_WPSOffice_Level2"/>
      <w:bookmarkStart w:id="61" w:name="_Toc17833_WPSOffice_Level2"/>
      <w:bookmarkStart w:id="62" w:name="_Toc263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3" w:name="_Toc13345_WPSOffice_Level2"/>
      <w:bookmarkStart w:id="64" w:name="_Toc6020_WPSOffice_Level2"/>
      <w:bookmarkStart w:id="65" w:name="_Toc1533_WPSOffice_Level2"/>
      <w:bookmarkStart w:id="66" w:name="_Toc5594_WPSOffice_Level2"/>
      <w:bookmarkStart w:id="67" w:name="_Toc11799_WPSOffice_Level2"/>
      <w:bookmarkStart w:id="68" w:name="_Toc21310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9" w:name="_Toc19961_WPSOffice_Level2"/>
      <w:bookmarkStart w:id="70" w:name="_Toc1820_WPSOffice_Level2"/>
      <w:bookmarkStart w:id="71" w:name="_Toc29886_WPSOffice_Level2"/>
      <w:bookmarkStart w:id="72" w:name="_Toc9377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3" w:name="_Toc31264_WPSOffice_Level1"/>
      <w:bookmarkStart w:id="74" w:name="_Toc28629_WPSOffice_Level1"/>
      <w:bookmarkStart w:id="75" w:name="_Toc29683_WPSOffice_Level1"/>
      <w:bookmarkStart w:id="76" w:name="_Toc27590_WPSOffice_Level1"/>
      <w:bookmarkStart w:id="77" w:name="_Toc16686_WPSOffice_Level1"/>
      <w:bookmarkStart w:id="78" w:name="_Toc4402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bookmarkEnd w:id="73"/>
      <w:bookmarkEnd w:id="74"/>
      <w:bookmarkEnd w:id="75"/>
      <w:bookmarkEnd w:id="76"/>
      <w:bookmarkEnd w:id="77"/>
      <w:bookmarkEnd w:id="78"/>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sz w:val="32"/>
          <w:szCs w:val="32"/>
          <w:lang w:val="en-US"/>
        </w:rPr>
        <w:t>1,038.87</w:t>
      </w:r>
      <w:r>
        <w:rPr>
          <w:rFonts w:hint="eastAsia" w:ascii="仿宋_GB2312" w:hAnsi="ˎ̥" w:eastAsia="仿宋_GB2312"/>
          <w:sz w:val="32"/>
          <w:szCs w:val="32"/>
        </w:rPr>
        <w:t>万元，支出总计</w:t>
      </w:r>
      <w:r>
        <w:rPr>
          <w:rFonts w:hint="default" w:ascii="仿宋_GB2312" w:hAnsi="ˎ̥" w:eastAsia="仿宋_GB2312"/>
          <w:sz w:val="32"/>
          <w:szCs w:val="32"/>
          <w:lang w:val="en-US"/>
        </w:rPr>
        <w:t>1,038.87</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年度相比，收入、支出总计增加</w:t>
      </w:r>
      <w:r>
        <w:rPr>
          <w:rFonts w:hint="eastAsia" w:ascii="仿宋_GB2312" w:hAnsi="ˎ̥" w:eastAsia="仿宋_GB2312"/>
          <w:sz w:val="32"/>
          <w:szCs w:val="32"/>
          <w:lang w:val="en-US" w:eastAsia="zh-CN"/>
        </w:rPr>
        <w:t>144.24</w:t>
      </w:r>
      <w:r>
        <w:rPr>
          <w:rFonts w:hint="eastAsia" w:ascii="仿宋_GB2312" w:hAnsi="ˎ̥" w:eastAsia="仿宋_GB2312"/>
          <w:sz w:val="32"/>
          <w:szCs w:val="32"/>
        </w:rPr>
        <w:t>万元，增长</w:t>
      </w:r>
      <w:r>
        <w:rPr>
          <w:rFonts w:hint="eastAsia" w:ascii="仿宋_GB2312" w:hAnsi="ˎ̥" w:eastAsia="仿宋_GB2312"/>
          <w:sz w:val="32"/>
          <w:szCs w:val="32"/>
          <w:lang w:val="en-US" w:eastAsia="zh-CN"/>
        </w:rPr>
        <w:t>13.88</w:t>
      </w:r>
      <w:r>
        <w:rPr>
          <w:rFonts w:hint="eastAsia" w:ascii="仿宋_GB2312" w:hAnsi="ˎ̥" w:eastAsia="仿宋_GB2312"/>
          <w:sz w:val="32"/>
          <w:szCs w:val="32"/>
        </w:rPr>
        <w:t>。主要原因：一是</w:t>
      </w:r>
      <w:r>
        <w:rPr>
          <w:rFonts w:hint="eastAsia" w:ascii="仿宋_GB2312" w:hAnsi="ˎ̥" w:eastAsia="仿宋_GB2312"/>
          <w:color w:val="auto"/>
          <w:sz w:val="32"/>
          <w:szCs w:val="32"/>
          <w:lang w:val="en-US" w:eastAsia="zh-CN"/>
        </w:rPr>
        <w:t>项目经费：室内外改造项目、外立面改造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（一）收入总计主要构成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本年收入</w:t>
      </w:r>
      <w:r>
        <w:rPr>
          <w:rFonts w:hint="default" w:ascii="仿宋_GB2312" w:hAnsi="ˎ̥" w:eastAsia="仿宋_GB2312"/>
          <w:sz w:val="32"/>
          <w:szCs w:val="32"/>
          <w:lang w:val="en-US"/>
        </w:rPr>
        <w:t>1,038.87</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w:t>
      </w:r>
      <w:r>
        <w:rPr>
          <w:rFonts w:hint="eastAsia" w:ascii="仿宋_GB2312" w:hAnsi="ˎ̥" w:eastAsia="仿宋_GB2312"/>
          <w:sz w:val="32"/>
          <w:szCs w:val="32"/>
          <w:lang w:eastAsia="zh-CN"/>
        </w:rPr>
        <w:t>持平</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w:t>
      </w:r>
      <w:r>
        <w:rPr>
          <w:rFonts w:hint="eastAsia" w:ascii="仿宋_GB2312" w:hAnsi="ˎ̥" w:eastAsia="仿宋_GB2312"/>
          <w:sz w:val="32"/>
          <w:szCs w:val="32"/>
          <w:lang w:eastAsia="zh-CN"/>
        </w:rPr>
        <w:t>持平</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sz w:val="32"/>
          <w:szCs w:val="32"/>
          <w:lang w:val="en-US"/>
        </w:rPr>
        <w:t>1,038.87</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持平</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持平</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w:t>
      </w:r>
      <w:r>
        <w:rPr>
          <w:rFonts w:hint="eastAsia" w:ascii="仿宋_GB2312" w:hAnsi="ˎ̥" w:eastAsia="仿宋_GB2312"/>
          <w:sz w:val="32"/>
          <w:szCs w:val="32"/>
          <w:lang w:val="en-US"/>
        </w:rPr>
        <w:t>本年收入</w:t>
      </w:r>
      <w:r>
        <w:rPr>
          <w:rFonts w:hint="default" w:ascii="仿宋_GB2312" w:hAnsi="ˎ̥" w:eastAsia="仿宋_GB2312"/>
          <w:sz w:val="32"/>
          <w:szCs w:val="32"/>
          <w:lang w:val="en-US"/>
        </w:rPr>
        <w:t>1,038.87</w:t>
      </w:r>
      <w:r>
        <w:rPr>
          <w:rFonts w:hint="eastAsia" w:ascii="仿宋_GB2312" w:hAnsi="ˎ̥" w:eastAsia="仿宋_GB2312"/>
          <w:sz w:val="32"/>
          <w:szCs w:val="32"/>
          <w:lang w:val="en-US"/>
        </w:rPr>
        <w:t>万元，其中：财政拨款收入</w:t>
      </w:r>
      <w:r>
        <w:rPr>
          <w:rFonts w:hint="default" w:ascii="仿宋_GB2312" w:hAnsi="ˎ̥" w:eastAsia="仿宋_GB2312"/>
          <w:sz w:val="32"/>
          <w:szCs w:val="32"/>
          <w:lang w:val="en-US"/>
        </w:rPr>
        <w:t>1,038.87</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100</w:t>
      </w:r>
      <w:r>
        <w:rPr>
          <w:rFonts w:hint="eastAsia" w:ascii="仿宋_GB2312" w:hAnsi="ˎ̥" w:eastAsia="仿宋_GB2312"/>
          <w:sz w:val="32"/>
          <w:szCs w:val="32"/>
          <w:lang w:val="en-US"/>
        </w:rPr>
        <w:t>%；上级补助收入</w:t>
      </w:r>
      <w:r>
        <w:rPr>
          <w:rFonts w:hint="default" w:ascii="仿宋_GB2312" w:hAnsi="ˎ̥" w:eastAsia="仿宋_GB2312"/>
          <w:sz w:val="32"/>
          <w:szCs w:val="32"/>
          <w:lang w:val="en-US"/>
        </w:rPr>
        <w:t>0.00</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%；事业收入</w:t>
      </w:r>
      <w:r>
        <w:rPr>
          <w:rFonts w:hint="default" w:ascii="仿宋_GB2312" w:hAnsi="ˎ̥" w:eastAsia="仿宋_GB2312"/>
          <w:sz w:val="32"/>
          <w:szCs w:val="32"/>
          <w:lang w:val="en-US"/>
        </w:rPr>
        <w:t>0.00</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%；经营收入</w:t>
      </w:r>
      <w:r>
        <w:rPr>
          <w:rFonts w:hint="default" w:ascii="仿宋_GB2312" w:hAnsi="ˎ̥" w:eastAsia="仿宋_GB2312"/>
          <w:sz w:val="32"/>
          <w:szCs w:val="32"/>
          <w:lang w:val="en-US"/>
        </w:rPr>
        <w:t>0.00</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%；附属单位上缴收入</w:t>
      </w:r>
      <w:r>
        <w:rPr>
          <w:rFonts w:hint="default" w:ascii="仿宋_GB2312" w:hAnsi="ˎ̥" w:eastAsia="仿宋_GB2312"/>
          <w:sz w:val="32"/>
          <w:szCs w:val="32"/>
          <w:lang w:val="en-US"/>
        </w:rPr>
        <w:t>0.00</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%；其他收入</w:t>
      </w:r>
      <w:r>
        <w:rPr>
          <w:rFonts w:hint="default" w:ascii="仿宋_GB2312" w:hAnsi="ˎ̥" w:eastAsia="仿宋_GB2312"/>
          <w:sz w:val="32"/>
          <w:szCs w:val="32"/>
          <w:lang w:val="en-US"/>
        </w:rPr>
        <w:t>0.00</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rPr>
      </w:pPr>
      <w:r>
        <w:rPr>
          <w:rFonts w:hint="eastAsia" w:ascii="仿宋_GB2312" w:hAnsi="ˎ̥" w:eastAsia="仿宋_GB2312"/>
          <w:sz w:val="32"/>
          <w:szCs w:val="32"/>
          <w:lang w:val="en-US"/>
        </w:rPr>
        <w:t>本年支出</w:t>
      </w:r>
      <w:r>
        <w:rPr>
          <w:rFonts w:hint="default" w:ascii="仿宋_GB2312" w:hAnsi="ˎ̥" w:eastAsia="仿宋_GB2312"/>
          <w:sz w:val="32"/>
          <w:szCs w:val="32"/>
          <w:lang w:val="en-US"/>
        </w:rPr>
        <w:t>1,038.87</w:t>
      </w:r>
      <w:r>
        <w:rPr>
          <w:rFonts w:hint="eastAsia" w:ascii="仿宋_GB2312" w:hAnsi="ˎ̥" w:eastAsia="仿宋_GB2312"/>
          <w:sz w:val="32"/>
          <w:szCs w:val="32"/>
          <w:lang w:val="en-US"/>
        </w:rPr>
        <w:t>万元，其中：基本支出</w:t>
      </w:r>
      <w:r>
        <w:rPr>
          <w:rFonts w:hint="default" w:ascii="仿宋_GB2312" w:hAnsi="ˎ̥" w:eastAsia="仿宋_GB2312"/>
          <w:sz w:val="32"/>
          <w:szCs w:val="32"/>
          <w:lang w:val="en-US"/>
        </w:rPr>
        <w:t>339.97</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32.72</w:t>
      </w:r>
      <w:r>
        <w:rPr>
          <w:rFonts w:hint="eastAsia" w:ascii="仿宋_GB2312" w:hAnsi="ˎ̥" w:eastAsia="仿宋_GB2312"/>
          <w:sz w:val="32"/>
          <w:szCs w:val="32"/>
          <w:lang w:val="en-US"/>
        </w:rPr>
        <w:t>%；项目支出</w:t>
      </w:r>
      <w:r>
        <w:rPr>
          <w:rFonts w:hint="default" w:ascii="仿宋_GB2312" w:hAnsi="ˎ̥" w:eastAsia="仿宋_GB2312"/>
          <w:sz w:val="32"/>
          <w:szCs w:val="32"/>
          <w:lang w:val="en-US"/>
        </w:rPr>
        <w:t>698.89</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67.27</w:t>
      </w:r>
      <w:r>
        <w:rPr>
          <w:rFonts w:hint="eastAsia" w:ascii="仿宋_GB2312" w:hAnsi="ˎ̥" w:eastAsia="仿宋_GB2312"/>
          <w:sz w:val="32"/>
          <w:szCs w:val="32"/>
          <w:lang w:val="en-US"/>
        </w:rPr>
        <w:t>%；上缴上级支出</w:t>
      </w:r>
      <w:r>
        <w:rPr>
          <w:rFonts w:hint="default" w:ascii="仿宋_GB2312" w:hAnsi="ˎ̥" w:eastAsia="仿宋_GB2312"/>
          <w:sz w:val="32"/>
          <w:szCs w:val="32"/>
          <w:lang w:val="en-US"/>
        </w:rPr>
        <w:t>0.00</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%；经营支出</w:t>
      </w:r>
      <w:r>
        <w:rPr>
          <w:rFonts w:hint="default" w:ascii="仿宋_GB2312" w:hAnsi="ˎ̥" w:eastAsia="仿宋_GB2312"/>
          <w:sz w:val="32"/>
          <w:szCs w:val="32"/>
          <w:lang w:val="en-US"/>
        </w:rPr>
        <w:t>0.00</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%；对附属单位补助支出</w:t>
      </w:r>
      <w:r>
        <w:rPr>
          <w:rFonts w:hint="default" w:ascii="仿宋_GB2312" w:hAnsi="ˎ̥" w:eastAsia="仿宋_GB2312"/>
          <w:sz w:val="32"/>
          <w:szCs w:val="32"/>
          <w:lang w:val="en-US"/>
        </w:rPr>
        <w:t>0.00</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w:t>
      </w:r>
      <w:r>
        <w:rPr>
          <w:rFonts w:hint="eastAsia" w:ascii="仿宋_GB2312" w:hAnsi="ˎ̥" w:eastAsia="仿宋_GB2312"/>
          <w:sz w:val="32"/>
          <w:szCs w:val="32"/>
          <w:lang w:val="en-US"/>
        </w:rPr>
        <w:t>收入</w:t>
      </w:r>
      <w:r>
        <w:rPr>
          <w:rFonts w:hint="default" w:ascii="仿宋_GB2312" w:hAnsi="ˎ̥" w:eastAsia="仿宋_GB2312"/>
          <w:sz w:val="32"/>
          <w:szCs w:val="32"/>
          <w:lang w:val="en-US"/>
        </w:rPr>
        <w:t>1,038.87</w:t>
      </w:r>
      <w:r>
        <w:rPr>
          <w:rFonts w:hint="eastAsia" w:ascii="仿宋_GB2312" w:hAnsi="ˎ̥" w:eastAsia="仿宋_GB2312"/>
          <w:sz w:val="32"/>
          <w:szCs w:val="32"/>
          <w:lang w:val="en-US"/>
        </w:rPr>
        <w:t>万元，支出</w:t>
      </w:r>
      <w:r>
        <w:rPr>
          <w:rFonts w:hint="default" w:ascii="仿宋_GB2312" w:hAnsi="ˎ̥" w:eastAsia="仿宋_GB2312"/>
          <w:sz w:val="32"/>
          <w:szCs w:val="32"/>
          <w:lang w:val="en-US"/>
        </w:rPr>
        <w:t>1,038.87</w:t>
      </w:r>
      <w:r>
        <w:rPr>
          <w:rFonts w:hint="eastAsia" w:ascii="仿宋_GB2312" w:hAnsi="ˎ̥" w:eastAsia="仿宋_GB2312"/>
          <w:sz w:val="32"/>
          <w:szCs w:val="32"/>
          <w:lang w:val="en-US"/>
        </w:rPr>
        <w:t>万</w:t>
      </w:r>
      <w:r>
        <w:rPr>
          <w:rFonts w:hint="eastAsia" w:ascii="仿宋_GB2312" w:hAnsi="ˎ̥" w:eastAsia="仿宋_GB2312"/>
          <w:sz w:val="32"/>
          <w:szCs w:val="32"/>
        </w:rPr>
        <w:t>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sz w:val="32"/>
          <w:szCs w:val="32"/>
          <w:lang w:val="en-US" w:eastAsia="zh-CN"/>
        </w:rPr>
        <w:t>144.24</w:t>
      </w:r>
      <w:r>
        <w:rPr>
          <w:rFonts w:hint="eastAsia" w:ascii="仿宋_GB2312" w:hAnsi="ˎ̥" w:eastAsia="仿宋_GB2312"/>
          <w:sz w:val="32"/>
          <w:szCs w:val="32"/>
        </w:rPr>
        <w:t>万元，主要原因：</w:t>
      </w:r>
      <w:r>
        <w:rPr>
          <w:rFonts w:hint="eastAsia" w:ascii="仿宋_GB2312" w:hAnsi="ˎ̥" w:eastAsia="仿宋_GB2312"/>
          <w:sz w:val="32"/>
          <w:szCs w:val="32"/>
          <w:lang w:val="en-US" w:eastAsia="zh-CN"/>
        </w:rPr>
        <w:t>一</w:t>
      </w:r>
      <w:r>
        <w:rPr>
          <w:rFonts w:hint="eastAsia" w:ascii="仿宋_GB2312" w:hAnsi="ˎ̥" w:eastAsia="仿宋_GB2312"/>
          <w:sz w:val="32"/>
          <w:szCs w:val="32"/>
        </w:rPr>
        <w:t>是</w:t>
      </w:r>
      <w:r>
        <w:rPr>
          <w:rFonts w:hint="eastAsia" w:ascii="仿宋_GB2312" w:hAnsi="ˎ̥" w:eastAsia="仿宋_GB2312"/>
          <w:color w:val="auto"/>
          <w:sz w:val="32"/>
          <w:szCs w:val="32"/>
          <w:lang w:val="en-US" w:eastAsia="zh-CN"/>
        </w:rPr>
        <w:t>项目经费：室内外改造项目、外立面改造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w:t>
      </w:r>
      <w:r>
        <w:rPr>
          <w:rFonts w:hint="eastAsia" w:ascii="仿宋_GB2312" w:hAnsi="ˎ̥" w:eastAsia="仿宋_GB2312"/>
          <w:sz w:val="32"/>
          <w:szCs w:val="32"/>
          <w:lang w:eastAsia="zh-CN"/>
        </w:rPr>
        <w:t>持平</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w:t>
      </w:r>
      <w:r>
        <w:rPr>
          <w:rFonts w:hint="eastAsia" w:ascii="仿宋_GB2312" w:hAnsi="ˎ̥" w:eastAsia="仿宋_GB2312"/>
          <w:sz w:val="32"/>
          <w:szCs w:val="32"/>
          <w:lang w:eastAsia="zh-CN"/>
        </w:rPr>
        <w:t>持平</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9" w:name="_Toc13694_WPSOffice_Level2"/>
      <w:bookmarkStart w:id="80" w:name="_Toc23005_WPSOffice_Level2"/>
      <w:bookmarkStart w:id="81" w:name="_Toc19665_WPSOffice_Level2"/>
      <w:bookmarkStart w:id="82" w:name="_Toc17398_WPSOffice_Level2"/>
      <w:bookmarkStart w:id="83" w:name="_Toc21737_WPSOffice_Level2"/>
      <w:bookmarkStart w:id="84" w:name="_Toc9989_WPSOffice_Level2"/>
      <w:r>
        <w:rPr>
          <w:rFonts w:hint="eastAsia" w:ascii="楷体" w:hAnsi="楷体" w:eastAsia="楷体" w:cs="楷体"/>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sz w:val="32"/>
          <w:szCs w:val="32"/>
          <w:lang w:val="en-US"/>
        </w:rPr>
        <w:t>1,038.87</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w:t>
      </w:r>
      <w:r>
        <w:rPr>
          <w:rFonts w:hint="eastAsia" w:ascii="仿宋_GB2312" w:hAnsi="ˎ̥" w:eastAsia="仿宋_GB2312"/>
          <w:sz w:val="32"/>
          <w:szCs w:val="32"/>
          <w:lang w:val="en-US" w:eastAsia="zh-CN"/>
        </w:rPr>
        <w:t>144.25</w:t>
      </w:r>
      <w:r>
        <w:rPr>
          <w:rFonts w:hint="eastAsia" w:ascii="仿宋_GB2312" w:hAnsi="ˎ̥" w:eastAsia="仿宋_GB2312"/>
          <w:sz w:val="32"/>
          <w:szCs w:val="32"/>
        </w:rPr>
        <w:t>万元，增长</w:t>
      </w:r>
      <w:r>
        <w:rPr>
          <w:rFonts w:hint="eastAsia" w:ascii="仿宋_GB2312" w:hAnsi="ˎ̥" w:eastAsia="仿宋_GB2312"/>
          <w:sz w:val="32"/>
          <w:szCs w:val="32"/>
          <w:lang w:val="en-US" w:eastAsia="zh-CN"/>
        </w:rPr>
        <w:t>13.88</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一</w:t>
      </w:r>
      <w:r>
        <w:rPr>
          <w:rFonts w:hint="eastAsia" w:ascii="仿宋_GB2312" w:hAnsi="ˎ̥" w:eastAsia="仿宋_GB2312"/>
          <w:sz w:val="32"/>
          <w:szCs w:val="32"/>
        </w:rPr>
        <w:t>是</w:t>
      </w:r>
      <w:r>
        <w:rPr>
          <w:rFonts w:hint="eastAsia" w:ascii="仿宋_GB2312" w:hAnsi="ˎ̥" w:eastAsia="仿宋_GB2312"/>
          <w:color w:val="auto"/>
          <w:sz w:val="32"/>
          <w:szCs w:val="32"/>
          <w:lang w:val="en-US" w:eastAsia="zh-CN"/>
        </w:rPr>
        <w:t>项目经费：室内外改造项目、外立面改造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5" w:name="_Toc2711_WPSOffice_Level2"/>
      <w:bookmarkStart w:id="86" w:name="_Toc18793_WPSOffice_Level2"/>
      <w:bookmarkStart w:id="87" w:name="_Toc19535_WPSOffice_Level2"/>
      <w:bookmarkStart w:id="88" w:name="_Toc27767_WPSOffice_Level2"/>
      <w:bookmarkStart w:id="89" w:name="_Toc19075_WPSOffice_Level2"/>
      <w:bookmarkStart w:id="90" w:name="_Toc23864_WPSOffice_Level2"/>
      <w:r>
        <w:rPr>
          <w:rFonts w:hint="eastAsia" w:ascii="楷体" w:hAnsi="楷体" w:eastAsia="楷体" w:cs="楷体"/>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w:t>
      </w:r>
      <w:r>
        <w:rPr>
          <w:rFonts w:hint="eastAsia" w:ascii="仿宋_GB2312" w:hAnsi="ˎ̥" w:eastAsia="仿宋_GB2312"/>
          <w:sz w:val="32"/>
          <w:szCs w:val="32"/>
          <w:lang w:val="en-US"/>
        </w:rPr>
        <w:t>支出</w:t>
      </w:r>
      <w:r>
        <w:rPr>
          <w:rFonts w:hint="default" w:ascii="仿宋_GB2312" w:hAnsi="ˎ̥" w:eastAsia="仿宋_GB2312"/>
          <w:sz w:val="32"/>
          <w:szCs w:val="32"/>
          <w:lang w:val="en-US"/>
        </w:rPr>
        <w:t>1,038.87</w:t>
      </w:r>
      <w:r>
        <w:rPr>
          <w:rFonts w:hint="eastAsia" w:ascii="仿宋_GB2312" w:hAnsi="ˎ̥" w:eastAsia="仿宋_GB2312"/>
          <w:sz w:val="32"/>
          <w:szCs w:val="32"/>
          <w:lang w:val="en-US"/>
        </w:rPr>
        <w:t>万元，</w:t>
      </w:r>
      <w:r>
        <w:rPr>
          <w:rFonts w:hint="eastAsia" w:ascii="仿宋_GB2312" w:hAnsi="ˎ̥" w:eastAsia="仿宋_GB2312"/>
          <w:sz w:val="32"/>
          <w:szCs w:val="32"/>
        </w:rPr>
        <w:t>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lang w:val="en-US"/>
        </w:rPr>
        <w:t>支出</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w:t>
      </w:r>
      <w:r>
        <w:rPr>
          <w:rFonts w:hint="eastAsia" w:ascii="仿宋_GB2312" w:hAnsi="ˎ̥" w:eastAsia="仿宋_GB2312"/>
          <w:sz w:val="32"/>
          <w:szCs w:val="32"/>
        </w:rPr>
        <w:t>；</w:t>
      </w:r>
      <w:r>
        <w:rPr>
          <w:rFonts w:hint="eastAsia" w:ascii="仿宋_GB2312" w:hAnsi="ˎ̥" w:eastAsia="仿宋_GB2312"/>
          <w:b/>
          <w:sz w:val="32"/>
          <w:szCs w:val="32"/>
        </w:rPr>
        <w:t>教育支出</w:t>
      </w:r>
      <w:r>
        <w:rPr>
          <w:rFonts w:hint="eastAsia" w:ascii="仿宋_GB2312" w:hAnsi="ˎ̥" w:eastAsia="仿宋_GB2312"/>
          <w:sz w:val="32"/>
          <w:szCs w:val="32"/>
        </w:rPr>
        <w:t>93</w:t>
      </w:r>
      <w:r>
        <w:rPr>
          <w:rFonts w:hint="eastAsia" w:ascii="仿宋_GB2312" w:hAnsi="ˎ̥" w:eastAsia="仿宋_GB2312"/>
          <w:sz w:val="32"/>
          <w:szCs w:val="32"/>
          <w:lang w:val="en-US"/>
        </w:rPr>
        <w:t>5.39万元，占</w:t>
      </w:r>
      <w:r>
        <w:rPr>
          <w:rFonts w:hint="eastAsia" w:ascii="仿宋_GB2312" w:hAnsi="ˎ̥" w:eastAsia="仿宋_GB2312"/>
          <w:sz w:val="32"/>
          <w:szCs w:val="32"/>
          <w:lang w:val="en-US" w:eastAsia="zh-CN"/>
        </w:rPr>
        <w:t>90.04</w:t>
      </w:r>
      <w:r>
        <w:rPr>
          <w:rFonts w:hint="eastAsia" w:ascii="仿宋_GB2312" w:hAnsi="ˎ̥" w:eastAsia="仿宋_GB2312"/>
          <w:sz w:val="32"/>
          <w:szCs w:val="32"/>
          <w:lang w:val="en-US"/>
        </w:rPr>
        <w:t>%</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lang w:val="en-US"/>
        </w:rPr>
        <w:t>支出</w:t>
      </w:r>
      <w:r>
        <w:rPr>
          <w:rFonts w:hint="default" w:ascii="仿宋_GB2312" w:hAnsi="ˎ̥" w:eastAsia="仿宋_GB2312"/>
          <w:sz w:val="32"/>
          <w:szCs w:val="32"/>
          <w:lang w:val="en-US"/>
        </w:rPr>
        <w:t>44.71</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4.3</w:t>
      </w:r>
      <w:r>
        <w:rPr>
          <w:rFonts w:hint="eastAsia" w:ascii="仿宋_GB2312" w:hAnsi="ˎ̥" w:eastAsia="仿宋_GB2312"/>
          <w:sz w:val="32"/>
          <w:szCs w:val="32"/>
          <w:lang w:val="en-US"/>
        </w:rPr>
        <w:t>%；</w:t>
      </w:r>
      <w:r>
        <w:rPr>
          <w:rFonts w:hint="eastAsia" w:ascii="仿宋_GB2312" w:hAnsi="ˎ̥" w:eastAsia="仿宋_GB2312"/>
          <w:b/>
          <w:sz w:val="32"/>
          <w:szCs w:val="32"/>
        </w:rPr>
        <w:t>卫生健康支出</w:t>
      </w:r>
      <w:r>
        <w:rPr>
          <w:rFonts w:hint="eastAsia" w:ascii="仿宋_GB2312" w:hAnsi="ˎ̥" w:eastAsia="仿宋_GB2312"/>
          <w:sz w:val="32"/>
          <w:szCs w:val="32"/>
          <w:lang w:val="en-US"/>
        </w:rPr>
        <w:t>34.10万元，占</w:t>
      </w:r>
      <w:r>
        <w:rPr>
          <w:rFonts w:hint="eastAsia" w:ascii="仿宋_GB2312" w:hAnsi="ˎ̥" w:eastAsia="仿宋_GB2312"/>
          <w:sz w:val="32"/>
          <w:szCs w:val="32"/>
          <w:lang w:val="en-US" w:eastAsia="zh-CN"/>
        </w:rPr>
        <w:t>3.28</w:t>
      </w:r>
      <w:r>
        <w:rPr>
          <w:rFonts w:hint="eastAsia" w:ascii="仿宋_GB2312" w:hAnsi="ˎ̥" w:eastAsia="仿宋_GB2312"/>
          <w:sz w:val="32"/>
          <w:szCs w:val="32"/>
          <w:lang w:val="en-US"/>
        </w:rPr>
        <w:t>%</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lang w:val="en-US"/>
        </w:rPr>
        <w:t>支出</w:t>
      </w:r>
      <w:r>
        <w:rPr>
          <w:rFonts w:hint="default" w:ascii="仿宋_GB2312" w:hAnsi="ˎ̥" w:eastAsia="仿宋_GB2312"/>
          <w:sz w:val="32"/>
          <w:szCs w:val="32"/>
          <w:lang w:val="en-US"/>
        </w:rPr>
        <w:t>24.66</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2.37</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1" w:name="_Toc9502_WPSOffice_Level2"/>
      <w:bookmarkStart w:id="92" w:name="_Toc21701_WPSOffice_Level2"/>
      <w:bookmarkStart w:id="93" w:name="_Toc25136_WPSOffice_Level2"/>
      <w:bookmarkStart w:id="94" w:name="_Toc15415_WPSOffice_Level2"/>
      <w:bookmarkStart w:id="95" w:name="_Toc22318_WPSOffice_Level2"/>
      <w:bookmarkStart w:id="96" w:name="_Toc29364_WPSOffice_Level2"/>
      <w:r>
        <w:rPr>
          <w:rFonts w:hint="eastAsia" w:ascii="楷体" w:hAnsi="楷体" w:eastAsia="楷体" w:cs="楷体"/>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default" w:ascii="仿宋_GB2312" w:hAnsi="ˎ̥" w:eastAsia="仿宋_GB2312"/>
          <w:sz w:val="32"/>
          <w:szCs w:val="32"/>
          <w:lang w:val="en-US"/>
        </w:rPr>
        <w:t>365.52</w:t>
      </w:r>
      <w:r>
        <w:rPr>
          <w:rFonts w:hint="eastAsia" w:ascii="仿宋_GB2312" w:hAnsi="ˎ̥" w:eastAsia="仿宋_GB2312"/>
          <w:sz w:val="32"/>
          <w:szCs w:val="32"/>
        </w:rPr>
        <w:t>万元，支出决算为</w:t>
      </w:r>
      <w:r>
        <w:rPr>
          <w:rFonts w:hint="default" w:ascii="仿宋_GB2312" w:hAnsi="ˎ̥" w:eastAsia="仿宋_GB2312"/>
          <w:sz w:val="32"/>
          <w:szCs w:val="32"/>
          <w:lang w:val="en-US"/>
        </w:rPr>
        <w:t>1,038.87</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一般公共服务（类）人大事务（款）行政运行（项）。</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ˎ̥" w:eastAsia="仿宋_GB2312"/>
          <w:color w:val="auto"/>
          <w:sz w:val="32"/>
          <w:szCs w:val="32"/>
        </w:rPr>
      </w:pPr>
      <w:r>
        <w:rPr>
          <w:rFonts w:hint="eastAsia" w:ascii="仿宋_GB2312" w:hAnsi="ˎ̥" w:eastAsia="仿宋_GB2312"/>
          <w:sz w:val="32"/>
          <w:szCs w:val="32"/>
        </w:rPr>
        <w:t>年初预算为</w:t>
      </w:r>
      <w:r>
        <w:rPr>
          <w:rFonts w:hint="default" w:ascii="仿宋_GB2312" w:hAnsi="ˎ̥" w:eastAsia="仿宋_GB2312"/>
          <w:sz w:val="32"/>
          <w:szCs w:val="32"/>
          <w:lang w:val="en-US"/>
        </w:rPr>
        <w:t>365.52</w:t>
      </w:r>
      <w:r>
        <w:rPr>
          <w:rFonts w:hint="eastAsia" w:ascii="仿宋_GB2312" w:hAnsi="ˎ̥" w:eastAsia="仿宋_GB2312"/>
          <w:sz w:val="32"/>
          <w:szCs w:val="32"/>
        </w:rPr>
        <w:t>万元，支出决算为</w:t>
      </w:r>
      <w:r>
        <w:rPr>
          <w:rFonts w:hint="default" w:ascii="仿宋_GB2312" w:hAnsi="ˎ̥" w:eastAsia="仿宋_GB2312"/>
          <w:sz w:val="32"/>
          <w:szCs w:val="32"/>
          <w:lang w:val="en-US"/>
        </w:rPr>
        <w:t>1,038.87</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%。决算数大于预算数的主要原因：</w:t>
      </w:r>
      <w:r>
        <w:rPr>
          <w:rFonts w:hint="eastAsia" w:ascii="仿宋_GB2312" w:hAnsi="ˎ̥" w:eastAsia="仿宋_GB2312"/>
          <w:color w:val="auto"/>
          <w:sz w:val="32"/>
          <w:szCs w:val="32"/>
          <w:lang w:val="en-US" w:eastAsia="zh-CN"/>
        </w:rPr>
        <w:t>一</w:t>
      </w:r>
      <w:r>
        <w:rPr>
          <w:rFonts w:hint="eastAsia" w:ascii="仿宋_GB2312" w:hAnsi="ˎ̥" w:eastAsia="仿宋_GB2312"/>
          <w:color w:val="auto"/>
          <w:sz w:val="32"/>
          <w:szCs w:val="32"/>
        </w:rPr>
        <w:t>是</w:t>
      </w:r>
      <w:r>
        <w:rPr>
          <w:rFonts w:hint="eastAsia" w:ascii="仿宋_GB2312" w:hAnsi="ˎ̥" w:eastAsia="仿宋_GB2312"/>
          <w:color w:val="auto"/>
          <w:sz w:val="32"/>
          <w:szCs w:val="32"/>
          <w:lang w:val="en-US" w:eastAsia="zh-CN"/>
        </w:rPr>
        <w:t>项目经费：室内外改造项目、外立面改造</w:t>
      </w:r>
      <w:r>
        <w:rPr>
          <w:rFonts w:hint="eastAsia" w:ascii="仿宋_GB2312" w:hAnsi="ˎ̥" w:eastAsia="仿宋_GB2312"/>
          <w:color w:val="auto"/>
          <w:sz w:val="32"/>
          <w:szCs w:val="32"/>
        </w:rPr>
        <w:t>。</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right="0" w:rightChars="0" w:firstLine="643" w:firstLineChars="200"/>
        <w:jc w:val="both"/>
        <w:textAlignment w:val="auto"/>
        <w:outlineLvl w:val="9"/>
        <w:rPr>
          <w:rFonts w:hint="eastAsia" w:ascii="仿宋_GB2312" w:hAnsi="ˎ̥" w:eastAsia="仿宋_GB2312"/>
          <w:b/>
          <w:sz w:val="32"/>
          <w:szCs w:val="32"/>
        </w:rPr>
      </w:pPr>
      <w:r>
        <w:rPr>
          <w:rFonts w:hint="eastAsia" w:ascii="仿宋_GB2312" w:hAnsi="ˎ̥" w:eastAsia="仿宋_GB2312"/>
          <w:b/>
          <w:sz w:val="32"/>
          <w:szCs w:val="32"/>
        </w:rPr>
        <w:t>教育支出</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ˎ̥" w:eastAsia="仿宋_GB2312"/>
          <w:b/>
          <w:sz w:val="32"/>
          <w:szCs w:val="32"/>
        </w:rPr>
      </w:pPr>
      <w:r>
        <w:rPr>
          <w:rFonts w:hint="eastAsia" w:ascii="仿宋_GB2312" w:hAnsi="ˎ̥" w:eastAsia="仿宋_GB2312"/>
          <w:color w:val="auto"/>
          <w:sz w:val="32"/>
          <w:szCs w:val="32"/>
        </w:rPr>
        <w:t>年初预算为</w:t>
      </w:r>
      <w:r>
        <w:rPr>
          <w:rFonts w:hint="default" w:ascii="仿宋_GB2312" w:hAnsi="ˎ̥" w:eastAsia="仿宋_GB2312"/>
          <w:color w:val="auto"/>
          <w:sz w:val="32"/>
          <w:szCs w:val="32"/>
          <w:lang w:val="en-US"/>
        </w:rPr>
        <w:t>263.58</w:t>
      </w:r>
      <w:r>
        <w:rPr>
          <w:rFonts w:hint="eastAsia" w:ascii="仿宋_GB2312" w:hAnsi="ˎ̥" w:eastAsia="仿宋_GB2312"/>
          <w:color w:val="auto"/>
          <w:sz w:val="32"/>
          <w:szCs w:val="32"/>
        </w:rPr>
        <w:t>万元，支出决算为</w:t>
      </w:r>
      <w:r>
        <w:rPr>
          <w:rFonts w:hint="eastAsia" w:ascii="仿宋_GB2312" w:hAnsi="ˎ̥" w:eastAsia="仿宋_GB2312"/>
          <w:sz w:val="32"/>
          <w:szCs w:val="32"/>
        </w:rPr>
        <w:t>93</w:t>
      </w:r>
      <w:r>
        <w:rPr>
          <w:rFonts w:hint="eastAsia" w:ascii="仿宋_GB2312" w:hAnsi="ˎ̥" w:eastAsia="仿宋_GB2312"/>
          <w:sz w:val="32"/>
          <w:szCs w:val="32"/>
          <w:lang w:val="en-US"/>
        </w:rPr>
        <w:t>5.39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%。决算数大于预算数的主要原因：</w:t>
      </w:r>
      <w:r>
        <w:rPr>
          <w:rFonts w:hint="eastAsia" w:ascii="仿宋_GB2312" w:hAnsi="ˎ̥" w:eastAsia="仿宋_GB2312"/>
          <w:color w:val="auto"/>
          <w:sz w:val="32"/>
          <w:szCs w:val="32"/>
          <w:lang w:val="en-US" w:eastAsia="zh-CN"/>
        </w:rPr>
        <w:t>一</w:t>
      </w:r>
      <w:r>
        <w:rPr>
          <w:rFonts w:hint="eastAsia" w:ascii="仿宋_GB2312" w:hAnsi="ˎ̥" w:eastAsia="仿宋_GB2312"/>
          <w:color w:val="auto"/>
          <w:sz w:val="32"/>
          <w:szCs w:val="32"/>
        </w:rPr>
        <w:t>是</w:t>
      </w:r>
      <w:r>
        <w:rPr>
          <w:rFonts w:hint="eastAsia" w:ascii="仿宋_GB2312" w:hAnsi="ˎ̥" w:eastAsia="仿宋_GB2312"/>
          <w:color w:val="auto"/>
          <w:sz w:val="32"/>
          <w:szCs w:val="32"/>
          <w:lang w:val="en-US" w:eastAsia="zh-CN"/>
        </w:rPr>
        <w:t>项目经费：室内外改造项目、外立面改造</w:t>
      </w:r>
      <w:r>
        <w:rPr>
          <w:rFonts w:hint="eastAsia" w:ascii="仿宋_GB2312" w:hAnsi="ˎ̥" w:eastAsia="仿宋_GB2312"/>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3" w:firstLineChars="200"/>
        <w:jc w:val="both"/>
        <w:textAlignment w:val="auto"/>
        <w:outlineLvl w:val="9"/>
        <w:rPr>
          <w:rFonts w:hint="eastAsia" w:ascii="仿宋_GB2312" w:hAnsi="ˎ̥" w:eastAsia="仿宋_GB2312"/>
          <w:b/>
          <w:sz w:val="32"/>
          <w:szCs w:val="32"/>
          <w:lang w:eastAsia="zh-CN"/>
        </w:rPr>
      </w:pPr>
      <w:r>
        <w:rPr>
          <w:rFonts w:hint="eastAsia" w:ascii="仿宋_GB2312" w:hAnsi="ˎ̥" w:eastAsia="仿宋_GB2312"/>
          <w:b/>
          <w:sz w:val="32"/>
          <w:szCs w:val="32"/>
          <w:lang w:val="en-US" w:eastAsia="zh-CN"/>
        </w:rPr>
        <w:t>3.</w:t>
      </w:r>
      <w:r>
        <w:rPr>
          <w:rFonts w:hint="eastAsia" w:ascii="仿宋_GB2312" w:hAnsi="ˎ̥" w:eastAsia="仿宋_GB2312"/>
          <w:b/>
          <w:sz w:val="32"/>
          <w:szCs w:val="32"/>
        </w:rPr>
        <w:t>社会保障和就业支出</w:t>
      </w:r>
      <w:r>
        <w:rPr>
          <w:rFonts w:hint="eastAsia" w:ascii="仿宋_GB2312" w:hAnsi="ˎ̥" w:eastAsia="仿宋_GB2312"/>
          <w:b/>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ˎ̥" w:eastAsia="仿宋_GB2312"/>
          <w:b/>
          <w:color w:val="auto"/>
          <w:sz w:val="32"/>
          <w:szCs w:val="32"/>
          <w:lang w:eastAsia="zh-CN"/>
        </w:rPr>
      </w:pPr>
      <w:r>
        <w:rPr>
          <w:rFonts w:hint="eastAsia" w:ascii="仿宋_GB2312" w:hAnsi="ˎ̥" w:eastAsia="仿宋_GB2312"/>
          <w:color w:val="auto"/>
          <w:sz w:val="32"/>
          <w:szCs w:val="32"/>
        </w:rPr>
        <w:t>年初预算为</w:t>
      </w:r>
      <w:r>
        <w:rPr>
          <w:rFonts w:hint="default" w:ascii="仿宋_GB2312" w:hAnsi="ˎ̥" w:eastAsia="仿宋_GB2312"/>
          <w:color w:val="auto"/>
          <w:sz w:val="32"/>
          <w:szCs w:val="32"/>
          <w:lang w:val="en-US"/>
        </w:rPr>
        <w:t>50.44</w:t>
      </w:r>
      <w:r>
        <w:rPr>
          <w:rFonts w:hint="eastAsia" w:ascii="仿宋_GB2312" w:hAnsi="ˎ̥" w:eastAsia="仿宋_GB2312"/>
          <w:color w:val="auto"/>
          <w:sz w:val="32"/>
          <w:szCs w:val="32"/>
        </w:rPr>
        <w:t>万元，支出决算为</w:t>
      </w:r>
      <w:r>
        <w:rPr>
          <w:rFonts w:hint="default" w:ascii="仿宋_GB2312" w:hAnsi="ˎ̥" w:eastAsia="仿宋_GB2312"/>
          <w:sz w:val="32"/>
          <w:szCs w:val="32"/>
          <w:lang w:val="en-US"/>
        </w:rPr>
        <w:t>44.71</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88.64</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小</w:t>
      </w:r>
      <w:r>
        <w:rPr>
          <w:rFonts w:hint="eastAsia" w:ascii="仿宋_GB2312" w:hAnsi="ˎ̥" w:eastAsia="仿宋_GB2312"/>
          <w:color w:val="auto"/>
          <w:sz w:val="32"/>
          <w:szCs w:val="32"/>
        </w:rPr>
        <w:t>于预算数的主要原因：</w:t>
      </w:r>
      <w:r>
        <w:rPr>
          <w:rFonts w:hint="eastAsia" w:ascii="仿宋_GB2312" w:hAnsi="ˎ̥" w:eastAsia="仿宋_GB2312"/>
          <w:color w:val="auto"/>
          <w:sz w:val="32"/>
          <w:szCs w:val="32"/>
          <w:lang w:val="en-US" w:eastAsia="zh-CN"/>
        </w:rPr>
        <w:t>一</w:t>
      </w:r>
      <w:r>
        <w:rPr>
          <w:rFonts w:hint="eastAsia" w:ascii="仿宋_GB2312" w:hAnsi="ˎ̥" w:eastAsia="仿宋_GB2312"/>
          <w:color w:val="auto"/>
          <w:sz w:val="32"/>
          <w:szCs w:val="32"/>
        </w:rPr>
        <w:t>是</w:t>
      </w:r>
      <w:r>
        <w:rPr>
          <w:rFonts w:hint="eastAsia" w:ascii="仿宋_GB2312" w:hAnsi="ˎ̥" w:eastAsia="仿宋_GB2312"/>
          <w:color w:val="auto"/>
          <w:sz w:val="32"/>
          <w:szCs w:val="32"/>
          <w:lang w:eastAsia="zh-CN"/>
        </w:rPr>
        <w:t>社保基数</w:t>
      </w:r>
      <w:r>
        <w:rPr>
          <w:rFonts w:hint="eastAsia" w:ascii="仿宋_GB2312" w:hAnsi="ˎ̥" w:eastAsia="仿宋_GB2312"/>
          <w:color w:val="auto"/>
          <w:sz w:val="32"/>
          <w:szCs w:val="32"/>
          <w:lang w:val="en-US" w:eastAsia="zh-CN"/>
        </w:rPr>
        <w:t>变动不大</w:t>
      </w:r>
      <w:r>
        <w:rPr>
          <w:rFonts w:hint="eastAsia" w:ascii="仿宋_GB2312" w:hAnsi="ˎ̥" w:eastAsia="仿宋_GB2312"/>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3" w:firstLineChars="200"/>
        <w:jc w:val="both"/>
        <w:textAlignment w:val="auto"/>
        <w:outlineLvl w:val="9"/>
        <w:rPr>
          <w:rFonts w:hint="eastAsia" w:ascii="仿宋_GB2312" w:hAnsi="ˎ̥" w:eastAsia="仿宋_GB2312"/>
          <w:b/>
          <w:sz w:val="32"/>
          <w:szCs w:val="32"/>
          <w:lang w:eastAsia="zh-CN"/>
        </w:rPr>
      </w:pPr>
      <w:r>
        <w:rPr>
          <w:rFonts w:hint="eastAsia" w:ascii="仿宋_GB2312" w:hAnsi="ˎ̥" w:eastAsia="仿宋_GB2312"/>
          <w:b/>
          <w:sz w:val="32"/>
          <w:szCs w:val="32"/>
          <w:lang w:val="en-US" w:eastAsia="zh-CN"/>
        </w:rPr>
        <w:t>4.</w:t>
      </w:r>
      <w:r>
        <w:rPr>
          <w:rFonts w:hint="eastAsia" w:ascii="仿宋_GB2312" w:hAnsi="ˎ̥" w:eastAsia="仿宋_GB2312"/>
          <w:b/>
          <w:sz w:val="32"/>
          <w:szCs w:val="32"/>
          <w:lang w:eastAsia="zh-CN"/>
        </w:rPr>
        <w:t>卫生健康支出。</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ˎ̥" w:eastAsia="仿宋_GB2312"/>
          <w:b/>
          <w:color w:val="auto"/>
          <w:sz w:val="32"/>
          <w:szCs w:val="32"/>
          <w:lang w:eastAsia="zh-CN"/>
        </w:rPr>
      </w:pPr>
      <w:r>
        <w:rPr>
          <w:rFonts w:hint="eastAsia" w:ascii="仿宋_GB2312" w:hAnsi="ˎ̥" w:eastAsia="仿宋_GB2312"/>
          <w:color w:val="auto"/>
          <w:sz w:val="32"/>
          <w:szCs w:val="32"/>
        </w:rPr>
        <w:t>年初预算为</w:t>
      </w:r>
      <w:r>
        <w:rPr>
          <w:rFonts w:hint="default" w:ascii="仿宋_GB2312" w:hAnsi="ˎ̥" w:eastAsia="仿宋_GB2312"/>
          <w:color w:val="auto"/>
          <w:sz w:val="32"/>
          <w:szCs w:val="32"/>
          <w:lang w:val="en-US"/>
        </w:rPr>
        <w:t>40.02</w:t>
      </w:r>
      <w:r>
        <w:rPr>
          <w:rFonts w:hint="eastAsia" w:ascii="仿宋_GB2312" w:hAnsi="ˎ̥" w:eastAsia="仿宋_GB2312"/>
          <w:color w:val="auto"/>
          <w:sz w:val="32"/>
          <w:szCs w:val="32"/>
        </w:rPr>
        <w:t>万元，支出决算为</w:t>
      </w:r>
      <w:r>
        <w:rPr>
          <w:rFonts w:hint="eastAsia" w:ascii="仿宋_GB2312" w:hAnsi="ˎ̥" w:eastAsia="仿宋_GB2312"/>
          <w:sz w:val="32"/>
          <w:szCs w:val="32"/>
          <w:lang w:val="en-US"/>
        </w:rPr>
        <w:t>34.10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85.21</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小</w:t>
      </w:r>
      <w:r>
        <w:rPr>
          <w:rFonts w:hint="eastAsia" w:ascii="仿宋_GB2312" w:hAnsi="ˎ̥" w:eastAsia="仿宋_GB2312"/>
          <w:color w:val="auto"/>
          <w:sz w:val="32"/>
          <w:szCs w:val="32"/>
        </w:rPr>
        <w:t>于预算数的主要原因：</w:t>
      </w:r>
      <w:r>
        <w:rPr>
          <w:rFonts w:hint="eastAsia" w:ascii="仿宋_GB2312" w:hAnsi="ˎ̥" w:eastAsia="仿宋_GB2312"/>
          <w:color w:val="auto"/>
          <w:sz w:val="32"/>
          <w:szCs w:val="32"/>
          <w:lang w:val="en-US" w:eastAsia="zh-CN"/>
        </w:rPr>
        <w:t>一</w:t>
      </w:r>
      <w:r>
        <w:rPr>
          <w:rFonts w:hint="eastAsia" w:ascii="仿宋_GB2312" w:hAnsi="ˎ̥" w:eastAsia="仿宋_GB2312"/>
          <w:color w:val="auto"/>
          <w:sz w:val="32"/>
          <w:szCs w:val="32"/>
        </w:rPr>
        <w:t>是</w:t>
      </w:r>
      <w:r>
        <w:rPr>
          <w:rFonts w:hint="eastAsia" w:ascii="仿宋_GB2312" w:hAnsi="ˎ̥" w:eastAsia="仿宋_GB2312"/>
          <w:color w:val="auto"/>
          <w:sz w:val="32"/>
          <w:szCs w:val="32"/>
          <w:lang w:val="en-US" w:eastAsia="zh-CN"/>
        </w:rPr>
        <w:t>变动不大</w:t>
      </w:r>
      <w:r>
        <w:rPr>
          <w:rFonts w:hint="eastAsia" w:ascii="仿宋_GB2312" w:hAnsi="ˎ̥" w:eastAsia="仿宋_GB2312"/>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3" w:firstLineChars="200"/>
        <w:jc w:val="both"/>
        <w:textAlignment w:val="auto"/>
        <w:outlineLvl w:val="9"/>
        <w:rPr>
          <w:rFonts w:hint="eastAsia" w:ascii="仿宋_GB2312" w:hAnsi="ˎ̥" w:eastAsia="仿宋_GB2312"/>
          <w:b/>
          <w:sz w:val="32"/>
          <w:szCs w:val="32"/>
          <w:lang w:eastAsia="zh-CN"/>
        </w:rPr>
      </w:pPr>
      <w:r>
        <w:rPr>
          <w:rFonts w:hint="eastAsia" w:ascii="仿宋_GB2312" w:hAnsi="ˎ̥" w:eastAsia="仿宋_GB2312"/>
          <w:b/>
          <w:sz w:val="32"/>
          <w:szCs w:val="32"/>
          <w:lang w:val="en-US" w:eastAsia="zh-CN"/>
        </w:rPr>
        <w:t>5.</w:t>
      </w:r>
      <w:r>
        <w:rPr>
          <w:rFonts w:hint="eastAsia" w:ascii="仿宋_GB2312" w:hAnsi="ˎ̥" w:eastAsia="仿宋_GB2312"/>
          <w:b/>
          <w:sz w:val="32"/>
          <w:szCs w:val="32"/>
          <w:lang w:eastAsia="zh-CN"/>
        </w:rPr>
        <w:t>住房保障支出。</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ˎ̥" w:eastAsia="仿宋_GB2312"/>
          <w:b/>
          <w:color w:val="auto"/>
          <w:sz w:val="32"/>
          <w:szCs w:val="32"/>
          <w:lang w:eastAsia="zh-CN"/>
        </w:rPr>
      </w:pPr>
      <w:r>
        <w:rPr>
          <w:rFonts w:hint="eastAsia" w:ascii="仿宋_GB2312" w:hAnsi="ˎ̥" w:eastAsia="仿宋_GB2312"/>
          <w:color w:val="auto"/>
          <w:sz w:val="32"/>
          <w:szCs w:val="32"/>
        </w:rPr>
        <w:t>年初预算为</w:t>
      </w:r>
      <w:r>
        <w:rPr>
          <w:rFonts w:hint="default" w:ascii="仿宋_GB2312" w:hAnsi="ˎ̥" w:eastAsia="仿宋_GB2312"/>
          <w:color w:val="auto"/>
          <w:sz w:val="32"/>
          <w:szCs w:val="32"/>
          <w:lang w:val="en-US"/>
        </w:rPr>
        <w:t>28.18</w:t>
      </w:r>
      <w:r>
        <w:rPr>
          <w:rFonts w:hint="eastAsia" w:ascii="仿宋_GB2312" w:hAnsi="ˎ̥" w:eastAsia="仿宋_GB2312"/>
          <w:color w:val="auto"/>
          <w:sz w:val="32"/>
          <w:szCs w:val="32"/>
        </w:rPr>
        <w:t>万元，支出决算为</w:t>
      </w:r>
      <w:r>
        <w:rPr>
          <w:rFonts w:hint="default" w:ascii="仿宋_GB2312" w:hAnsi="ˎ̥" w:eastAsia="仿宋_GB2312"/>
          <w:sz w:val="32"/>
          <w:szCs w:val="32"/>
          <w:lang w:val="en-US"/>
        </w:rPr>
        <w:t>24.66</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%。决算数大于预算数的主要原因：</w:t>
      </w:r>
      <w:r>
        <w:rPr>
          <w:rFonts w:hint="eastAsia" w:ascii="仿宋_GB2312" w:hAnsi="ˎ̥" w:eastAsia="仿宋_GB2312"/>
          <w:color w:val="auto"/>
          <w:sz w:val="32"/>
          <w:szCs w:val="32"/>
          <w:lang w:val="en-US" w:eastAsia="zh-CN"/>
        </w:rPr>
        <w:t>一</w:t>
      </w:r>
      <w:r>
        <w:rPr>
          <w:rFonts w:hint="eastAsia" w:ascii="仿宋_GB2312" w:hAnsi="ˎ̥" w:eastAsia="仿宋_GB2312"/>
          <w:color w:val="auto"/>
          <w:sz w:val="32"/>
          <w:szCs w:val="32"/>
        </w:rPr>
        <w:t>是</w:t>
      </w:r>
      <w:r>
        <w:rPr>
          <w:rFonts w:hint="eastAsia" w:ascii="仿宋_GB2312" w:hAnsi="ˎ̥" w:eastAsia="仿宋_GB2312"/>
          <w:color w:val="auto"/>
          <w:sz w:val="32"/>
          <w:szCs w:val="32"/>
          <w:lang w:eastAsia="zh-CN"/>
        </w:rPr>
        <w:t>绩效</w:t>
      </w:r>
      <w:r>
        <w:rPr>
          <w:rFonts w:hint="eastAsia" w:ascii="仿宋_GB2312" w:hAnsi="ˎ̥" w:eastAsia="仿宋_GB2312"/>
          <w:color w:val="auto"/>
          <w:sz w:val="32"/>
          <w:szCs w:val="32"/>
          <w:lang w:val="en-US" w:eastAsia="zh-CN"/>
        </w:rPr>
        <w:t>工资纳入住房公积金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sz w:val="32"/>
          <w:szCs w:val="32"/>
          <w:lang w:val="en-US"/>
        </w:rPr>
        <w:t>0.00</w:t>
      </w:r>
      <w:r>
        <w:rPr>
          <w:rFonts w:hint="eastAsia" w:ascii="仿宋_GB2312" w:hAnsi="ˎ̥" w:eastAsia="仿宋_GB2312"/>
          <w:sz w:val="32"/>
          <w:szCs w:val="32"/>
        </w:rPr>
        <w:t>万元，其中：人员经费</w:t>
      </w:r>
      <w:r>
        <w:rPr>
          <w:rFonts w:hint="eastAsia" w:ascii="仿宋_GB2312" w:hAnsi="ˎ̥" w:eastAsia="仿宋_GB2312"/>
          <w:sz w:val="32"/>
          <w:szCs w:val="32"/>
          <w:lang w:val="en-US"/>
        </w:rPr>
        <w:t>334.98</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hint="eastAsia" w:ascii="仿宋_GB2312" w:hAnsi="ˎ̥" w:eastAsia="仿宋_GB2312"/>
          <w:sz w:val="32"/>
          <w:szCs w:val="32"/>
          <w:lang w:val="en-US"/>
        </w:rPr>
        <w:t>4.99</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w:t>
      </w:r>
      <w:r>
        <w:rPr>
          <w:rFonts w:hint="eastAsia" w:ascii="仿宋_GB2312" w:hAnsi="ˎ̥" w:eastAsia="仿宋_GB2312"/>
          <w:sz w:val="32"/>
          <w:szCs w:val="32"/>
          <w:lang w:eastAsia="zh-CN"/>
        </w:rPr>
        <w:t>持平</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决算相关数据取自财决公开07表；</w:t>
      </w:r>
      <w:r>
        <w:rPr>
          <w:rFonts w:hint="default" w:ascii="仿宋_GB2312" w:hAnsi="ˎ̥" w:eastAsia="仿宋_GB2312"/>
          <w:sz w:val="32"/>
          <w:szCs w:val="32"/>
          <w:lang w:val="en-US"/>
        </w:rPr>
        <w:t>2023</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w:t>
      </w:r>
      <w:r>
        <w:rPr>
          <w:rFonts w:hint="default" w:ascii="仿宋_GB2312" w:hAnsi="ˎ̥" w:eastAsia="仿宋_GB2312"/>
          <w:sz w:val="32"/>
          <w:szCs w:val="32"/>
          <w:lang w:val="en-US"/>
        </w:rPr>
        <w:t>2023</w:t>
      </w:r>
      <w:r>
        <w:rPr>
          <w:rFonts w:hint="eastAsia" w:ascii="仿宋_GB2312" w:hAnsi="ˎ̥" w:eastAsia="仿宋_GB2312"/>
          <w:sz w:val="32"/>
          <w:szCs w:val="32"/>
          <w:lang w:val="en-US" w:eastAsia="zh-CN"/>
        </w:rPr>
        <w:t>年度单位决算报表</w:t>
      </w:r>
      <w:r>
        <w:rPr>
          <w:rFonts w:hint="eastAsia" w:ascii="仿宋_GB2312" w:hAnsi="ˎ̥" w:eastAsia="仿宋_GB2312"/>
          <w:sz w:val="32"/>
          <w:szCs w:val="32"/>
        </w:rPr>
        <w:t>财决09表《政府性基金预算财政拨款收入支出决算表》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w:t>
      </w:r>
      <w:r>
        <w:rPr>
          <w:rFonts w:hint="eastAsia" w:ascii="仿宋_GB2312" w:hAnsi="ˎ̥" w:eastAsia="仿宋_GB2312"/>
          <w:sz w:val="32"/>
          <w:szCs w:val="32"/>
          <w:lang w:eastAsia="zh-CN"/>
        </w:rPr>
        <w:t>持平</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sz w:val="32"/>
          <w:szCs w:val="32"/>
          <w:lang w:val="en-US"/>
        </w:rPr>
        <w:t>0.00</w:t>
      </w:r>
      <w:r>
        <w:rPr>
          <w:rFonts w:hint="eastAsia" w:ascii="仿宋_GB2312" w:hAnsi="ˎ̥" w:eastAsia="仿宋_GB2312"/>
          <w:sz w:val="32"/>
          <w:szCs w:val="32"/>
        </w:rPr>
        <w:t>万元，支出决算为</w:t>
      </w:r>
      <w:r>
        <w:rPr>
          <w:rFonts w:hint="default" w:ascii="仿宋_GB2312" w:hAnsi="ˎ̥" w:eastAsia="仿宋_GB2312"/>
          <w:sz w:val="32"/>
          <w:szCs w:val="32"/>
          <w:lang w:val="en-US"/>
        </w:rPr>
        <w:t>0.00</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年度相比，“三公”经费支出</w:t>
      </w:r>
      <w:r>
        <w:rPr>
          <w:rFonts w:hint="eastAsia" w:ascii="仿宋_GB2312" w:hAnsi="ˎ̥" w:eastAsia="仿宋_GB2312"/>
          <w:sz w:val="32"/>
          <w:szCs w:val="32"/>
          <w:lang w:eastAsia="zh-CN"/>
        </w:rPr>
        <w:t>持平</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sz w:val="32"/>
          <w:szCs w:val="32"/>
          <w:lang w:val="en-US"/>
        </w:rPr>
        <w:t>0.00</w:t>
      </w:r>
      <w:r>
        <w:rPr>
          <w:rFonts w:hint="eastAsia" w:ascii="仿宋_GB2312" w:hAnsi="ˎ̥" w:eastAsia="仿宋_GB2312"/>
          <w:sz w:val="32"/>
          <w:szCs w:val="32"/>
          <w:lang w:val="en-US"/>
        </w:rPr>
        <w:t>万元。全年安排因公出国（境）团组</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个，因公出国（境）</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人次</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w:t>
      </w:r>
      <w:r>
        <w:rPr>
          <w:rFonts w:hint="eastAsia" w:ascii="仿宋_GB2312" w:hAnsi="ˎ̥" w:eastAsia="仿宋_GB2312"/>
          <w:sz w:val="32"/>
          <w:szCs w:val="32"/>
          <w:lang w:val="en-US"/>
        </w:rPr>
        <w:t>出</w:t>
      </w:r>
      <w:r>
        <w:rPr>
          <w:rFonts w:hint="default" w:ascii="仿宋_GB2312" w:hAnsi="ˎ̥" w:eastAsia="仿宋_GB2312"/>
          <w:sz w:val="32"/>
          <w:szCs w:val="32"/>
          <w:lang w:val="en-US"/>
        </w:rPr>
        <w:t>0.00</w:t>
      </w:r>
      <w:r>
        <w:rPr>
          <w:rFonts w:hint="eastAsia" w:ascii="仿宋_GB2312" w:hAnsi="ˎ̥" w:eastAsia="仿宋_GB2312"/>
          <w:sz w:val="32"/>
          <w:szCs w:val="32"/>
          <w:lang w:val="en-US"/>
        </w:rPr>
        <w:t>万元。其</w:t>
      </w:r>
      <w:r>
        <w:rPr>
          <w:rFonts w:hint="eastAsia" w:ascii="仿宋_GB2312" w:hAnsi="ˎ̥" w:eastAsia="仿宋_GB2312"/>
          <w:sz w:val="32"/>
          <w:szCs w:val="32"/>
        </w:rPr>
        <w:t>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w:t>
      </w:r>
      <w:r>
        <w:rPr>
          <w:rFonts w:hint="eastAsia" w:ascii="仿宋_GB2312" w:hAnsi="ˎ̥" w:eastAsia="仿宋_GB2312"/>
          <w:sz w:val="32"/>
          <w:szCs w:val="32"/>
          <w:lang w:val="en-US"/>
        </w:rPr>
        <w:t>出</w:t>
      </w:r>
      <w:r>
        <w:rPr>
          <w:rFonts w:hint="default" w:ascii="仿宋_GB2312" w:hAnsi="ˎ̥" w:eastAsia="仿宋_GB2312"/>
          <w:sz w:val="32"/>
          <w:szCs w:val="32"/>
          <w:lang w:val="en-US"/>
        </w:rPr>
        <w:t>0.00</w:t>
      </w:r>
      <w:r>
        <w:rPr>
          <w:rFonts w:hint="eastAsia" w:ascii="仿宋_GB2312" w:hAnsi="ˎ̥" w:eastAsia="仿宋_GB2312"/>
          <w:sz w:val="32"/>
          <w:szCs w:val="32"/>
          <w:lang w:val="en-US"/>
        </w:rPr>
        <w:t>万元，全年购置公务用车</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辆</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sz w:val="32"/>
          <w:szCs w:val="32"/>
          <w:lang w:val="en-US"/>
        </w:rPr>
        <w:t>0.00</w:t>
      </w:r>
      <w:r>
        <w:rPr>
          <w:rFonts w:hint="eastAsia" w:ascii="仿宋_GB2312" w:hAnsi="ˎ̥" w:eastAsia="仿宋_GB2312"/>
          <w:sz w:val="32"/>
          <w:szCs w:val="32"/>
          <w:lang w:val="en-US"/>
        </w:rPr>
        <w:t>万</w:t>
      </w:r>
      <w:r>
        <w:rPr>
          <w:rFonts w:hint="eastAsia" w:ascii="仿宋_GB2312" w:hAnsi="ˎ̥" w:eastAsia="仿宋_GB2312"/>
          <w:sz w:val="32"/>
          <w:szCs w:val="32"/>
        </w:rPr>
        <w:t>元。</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sz w:val="32"/>
          <w:szCs w:val="32"/>
          <w:lang w:val="en-US"/>
        </w:rPr>
        <w:t>0.00</w:t>
      </w:r>
      <w:r>
        <w:rPr>
          <w:rFonts w:hint="eastAsia" w:ascii="仿宋_GB2312" w:hAnsi="ˎ̥" w:eastAsia="仿宋_GB2312"/>
          <w:sz w:val="32"/>
          <w:szCs w:val="32"/>
          <w:lang w:val="en-US"/>
        </w:rPr>
        <w:t>万元，</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万元，国内公务接待</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批次，接待</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人次</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lang w:val="en-US" w:eastAsia="zh-CN"/>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sz w:val="32"/>
          <w:szCs w:val="32"/>
          <w:lang w:val="en-US" w:eastAsia="zh-CN"/>
        </w:rPr>
        <w:t>0万元，国（境）外公务接待0批次，接待0人次。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ascii="仿宋_GB2312" w:hAnsi="ˎ̥" w:eastAsia="仿宋_GB2312"/>
          <w:sz w:val="32"/>
          <w:szCs w:val="32"/>
        </w:rPr>
        <w:t>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w:t>
      </w:r>
      <w:r>
        <w:rPr>
          <w:rFonts w:hint="eastAsia" w:ascii="仿宋_GB2312" w:eastAsia="仿宋_GB2312"/>
          <w:sz w:val="32"/>
          <w:szCs w:val="32"/>
          <w:lang w:eastAsia="zh-CN"/>
        </w:rPr>
        <w:t>单位</w:t>
      </w:r>
      <w:r>
        <w:rPr>
          <w:rFonts w:hint="eastAsia" w:ascii="仿宋_GB2312" w:eastAsia="仿宋_GB2312"/>
          <w:sz w:val="32"/>
          <w:szCs w:val="32"/>
        </w:rPr>
        <w:t>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eastAsia" w:ascii="仿宋_GB2312" w:eastAsia="仿宋_GB2312"/>
          <w:color w:val="FF0000"/>
          <w:sz w:val="32"/>
          <w:szCs w:val="32"/>
          <w:lang w:val="en-US" w:eastAsia="zh-CN"/>
        </w:rPr>
        <w:t>0</w:t>
      </w:r>
      <w:r>
        <w:rPr>
          <w:rFonts w:hint="eastAsia" w:ascii="仿宋_GB2312" w:eastAsia="仿宋_GB2312"/>
          <w:sz w:val="32"/>
          <w:szCs w:val="32"/>
          <w:lang w:val="en-US" w:eastAsia="zh-CN"/>
        </w:rPr>
        <w:t>万元，占一般公共预算项目支出总额的</w:t>
      </w:r>
      <w:r>
        <w:rPr>
          <w:rFonts w:hint="eastAsia" w:ascii="仿宋_GB2312" w:eastAsia="仿宋_GB2312"/>
          <w:color w:val="FF0000"/>
          <w:sz w:val="32"/>
          <w:szCs w:val="32"/>
          <w:lang w:val="en-US" w:eastAsia="zh-CN"/>
        </w:rPr>
        <w:t>0</w:t>
      </w:r>
      <w:r>
        <w:rPr>
          <w:rFonts w:hint="eastAsia" w:ascii="仿宋_GB2312" w:eastAsia="仿宋_GB2312"/>
          <w:sz w:val="32"/>
          <w:szCs w:val="32"/>
          <w:lang w:val="en-US" w:eastAsia="zh-CN"/>
        </w:rPr>
        <w:t>%</w:t>
      </w:r>
      <w:r>
        <w:rPr>
          <w:rFonts w:hint="eastAsia" w:ascii="仿宋_GB2312" w:eastAsia="仿宋_GB2312"/>
          <w:sz w:val="32"/>
          <w:szCs w:val="32"/>
        </w:rPr>
        <w:t>。</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个政府性基金预算项目开展绩效自评，共涉及资金</w:t>
      </w:r>
      <w:r>
        <w:rPr>
          <w:rFonts w:hint="eastAsia" w:ascii="仿宋_GB2312" w:eastAsia="仿宋_GB2312"/>
          <w:sz w:val="32"/>
          <w:szCs w:val="32"/>
          <w:lang w:val="en-US" w:eastAsia="zh-CN" w:bidi="ar"/>
        </w:rPr>
        <w:t>0</w:t>
      </w:r>
      <w:r>
        <w:rPr>
          <w:rFonts w:hint="eastAsia" w:ascii="仿宋_GB2312" w:eastAsia="仿宋_GB2312"/>
          <w:sz w:val="32"/>
          <w:szCs w:val="32"/>
          <w:lang w:bidi="ar"/>
        </w:rPr>
        <w:t>万元，占政府性基金预算项目支出总额的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 xml:space="preserve">个国有资本经营预算项目开展绩效自评，共涉及资金 </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万元，占国有资本经营预算项目支出总额的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bidi="ar"/>
        </w:rPr>
      </w:pPr>
      <w:r>
        <w:rPr>
          <w:rFonts w:hint="eastAsia" w:ascii="仿宋_GB2312" w:eastAsia="仿宋_GB2312"/>
          <w:sz w:val="32"/>
          <w:szCs w:val="32"/>
        </w:rPr>
        <w:t>共组织对</w:t>
      </w:r>
      <w:r>
        <w:rPr>
          <w:rFonts w:hint="eastAsia" w:ascii="仿宋_GB2312" w:eastAsia="仿宋_GB2312"/>
          <w:sz w:val="32"/>
          <w:szCs w:val="32"/>
          <w:lang w:val="en-US" w:eastAsia="zh-CN"/>
        </w:rPr>
        <w:t>0</w:t>
      </w:r>
      <w:r>
        <w:rPr>
          <w:rFonts w:hint="eastAsia" w:ascii="仿宋_GB2312" w:eastAsia="仿宋_GB2312"/>
          <w:sz w:val="32"/>
          <w:szCs w:val="32"/>
        </w:rPr>
        <w:t>个项目开展了</w:t>
      </w:r>
      <w:r>
        <w:rPr>
          <w:rFonts w:hint="eastAsia" w:ascii="仿宋_GB2312" w:eastAsia="仿宋_GB2312"/>
          <w:sz w:val="32"/>
          <w:szCs w:val="32"/>
          <w:lang w:eastAsia="zh-CN"/>
        </w:rPr>
        <w:t>单位</w:t>
      </w:r>
      <w:r>
        <w:rPr>
          <w:rFonts w:hint="eastAsia" w:ascii="仿宋_GB2312" w:eastAsia="仿宋_GB2312"/>
          <w:sz w:val="32"/>
          <w:szCs w:val="32"/>
        </w:rPr>
        <w:t>评价，</w:t>
      </w:r>
      <w:r>
        <w:rPr>
          <w:rFonts w:hint="eastAsia" w:ascii="仿宋_GB2312" w:eastAsia="仿宋_GB2312"/>
          <w:sz w:val="32"/>
          <w:szCs w:val="32"/>
          <w:lang w:bidi="ar"/>
        </w:rPr>
        <w:t>涉及一般公共预算支出</w:t>
      </w:r>
      <w:r>
        <w:rPr>
          <w:rFonts w:hint="eastAsia" w:ascii="仿宋_GB2312" w:eastAsia="仿宋_GB2312"/>
          <w:sz w:val="32"/>
          <w:szCs w:val="32"/>
          <w:lang w:val="en-US" w:eastAsia="zh-CN" w:bidi="ar"/>
        </w:rPr>
        <w:t>0</w:t>
      </w:r>
      <w:r>
        <w:rPr>
          <w:rFonts w:hint="eastAsia" w:ascii="仿宋_GB2312" w:eastAsia="仿宋_GB2312"/>
          <w:sz w:val="32"/>
          <w:szCs w:val="32"/>
          <w:lang w:bidi="ar"/>
        </w:rPr>
        <w:t>万元，政府性基金预算支出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万元，国有资本经营预算支出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w:t>
      </w:r>
    </w:p>
    <w:p>
      <w:pPr>
        <w:numPr>
          <w:ilvl w:val="0"/>
          <w:numId w:val="4"/>
        </w:numPr>
        <w:spacing w:line="578"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lang w:eastAsia="zh-CN"/>
        </w:rPr>
        <w:t>单位</w:t>
      </w:r>
      <w:r>
        <w:rPr>
          <w:rFonts w:hint="eastAsia" w:ascii="楷体" w:hAnsi="楷体" w:eastAsia="楷体" w:cs="楷体"/>
          <w:bCs/>
          <w:sz w:val="32"/>
          <w:szCs w:val="32"/>
        </w:rPr>
        <w:t>决算中项目绩效自评结果</w:t>
      </w:r>
    </w:p>
    <w:p>
      <w:pPr>
        <w:spacing w:line="578" w:lineRule="exact"/>
        <w:rPr>
          <w:rFonts w:hint="eastAsia" w:ascii="仿宋_GB2312" w:eastAsia="仿宋_GB2312"/>
          <w:sz w:val="32"/>
          <w:szCs w:val="32"/>
          <w:lang w:bidi="ar"/>
        </w:rPr>
      </w:pPr>
      <w:r>
        <w:rPr>
          <w:rFonts w:hint="eastAsia" w:ascii="仿宋_GB2312" w:eastAsia="仿宋_GB2312"/>
          <w:color w:val="auto"/>
          <w:sz w:val="32"/>
          <w:szCs w:val="32"/>
        </w:rPr>
        <w:t>项目绩效自评报告：根据年初设定的绩效目标，项目绩效自评得分为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分。全年预算数为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万元，执行数为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万元，完成预算的</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7" w:name="_Toc15565_WPSOffice_Level2"/>
      <w:bookmarkStart w:id="98" w:name="_Toc15262_WPSOffice_Level2"/>
      <w:bookmarkStart w:id="99" w:name="_Toc18325_WPSOffice_Level2"/>
      <w:bookmarkStart w:id="100" w:name="_Toc5978_WPSOffice_Level2"/>
      <w:bookmarkStart w:id="101" w:name="_Toc23598_WPSOffice_Level2"/>
      <w:bookmarkStart w:id="102" w:name="_Toc32639_WPSOffice_Level2"/>
      <w:r>
        <w:rPr>
          <w:rFonts w:hint="eastAsia" w:ascii="楷体" w:hAnsi="楷体" w:eastAsia="楷体" w:cs="楷体"/>
          <w:bCs/>
          <w:sz w:val="32"/>
          <w:szCs w:val="32"/>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屯昌县屯城镇中心幼儿园</w:t>
      </w:r>
      <w:r>
        <w:rPr>
          <w:rFonts w:hint="eastAsia" w:ascii="仿宋_GB2312" w:hAnsi="ˎ̥" w:eastAsia="仿宋_GB2312"/>
          <w:sz w:val="32"/>
          <w:szCs w:val="32"/>
        </w:rPr>
        <w:t>机关运行经费</w:t>
      </w:r>
      <w:r>
        <w:rPr>
          <w:rFonts w:hint="eastAsia" w:ascii="仿宋_GB2312" w:hAnsi="ˎ̥" w:eastAsia="仿宋_GB2312"/>
          <w:sz w:val="32"/>
          <w:szCs w:val="32"/>
          <w:lang w:val="en-US" w:eastAsia="zh-CN"/>
        </w:rPr>
        <w:t>0</w:t>
      </w:r>
      <w:r>
        <w:rPr>
          <w:rFonts w:hint="eastAsia" w:ascii="仿宋_GB2312" w:hAnsi="ˎ̥" w:eastAsia="仿宋_GB2312"/>
          <w:sz w:val="32"/>
          <w:szCs w:val="32"/>
        </w:rPr>
        <w:t>万元（为</w:t>
      </w:r>
      <w:r>
        <w:rPr>
          <w:rFonts w:hint="eastAsia" w:ascii="仿宋_GB2312" w:hAnsi="ˎ̥" w:eastAsia="仿宋_GB2312"/>
          <w:sz w:val="32"/>
          <w:szCs w:val="32"/>
          <w:lang w:eastAsia="zh-CN"/>
        </w:rPr>
        <w:t>单位</w:t>
      </w:r>
      <w:r>
        <w:rPr>
          <w:rFonts w:hint="eastAsia" w:ascii="仿宋_GB2312" w:hAnsi="ˎ̥" w:eastAsia="仿宋_GB2312"/>
          <w:sz w:val="32"/>
          <w:szCs w:val="32"/>
        </w:rPr>
        <w:t>决算中行政单位和参公事业单位财政拨款基本支出中公用经费支出之和，事业单位没有机关运行经费支出），比年初预算</w:t>
      </w:r>
      <w:r>
        <w:rPr>
          <w:rFonts w:hint="eastAsia" w:ascii="仿宋_GB2312" w:hAnsi="ˎ̥" w:eastAsia="仿宋_GB2312"/>
          <w:sz w:val="32"/>
          <w:szCs w:val="32"/>
          <w:lang w:eastAsia="zh-CN"/>
        </w:rPr>
        <w:t>持平</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lang w:eastAsia="zh-CN"/>
        </w:rPr>
        <w:t>持平</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决算报表财决01-1表《财政拨款收入支出决算总表》，年初预算数-一般公共预算财政拨款-公用经费，注意</w:t>
      </w:r>
      <w:r>
        <w:rPr>
          <w:rFonts w:hint="eastAsia" w:ascii="仿宋_GB2312" w:hAnsi="ˎ̥" w:eastAsia="仿宋_GB2312"/>
          <w:sz w:val="32"/>
          <w:szCs w:val="32"/>
          <w:lang w:eastAsia="zh-CN"/>
        </w:rPr>
        <w:t>单位</w:t>
      </w:r>
      <w:r>
        <w:rPr>
          <w:rFonts w:hint="eastAsia" w:ascii="仿宋_GB2312" w:hAnsi="ˎ̥" w:eastAsia="仿宋_GB2312"/>
          <w:sz w:val="32"/>
          <w:szCs w:val="32"/>
        </w:rPr>
        <w:t>汇总公开决算时，因事业单位没有机关运行经费支出，故</w:t>
      </w:r>
      <w:r>
        <w:rPr>
          <w:rFonts w:hint="eastAsia" w:ascii="仿宋_GB2312" w:hAnsi="ˎ̥" w:eastAsia="仿宋_GB2312"/>
          <w:sz w:val="32"/>
          <w:szCs w:val="32"/>
          <w:lang w:eastAsia="zh-CN"/>
        </w:rPr>
        <w:t>单位</w:t>
      </w:r>
      <w:r>
        <w:rPr>
          <w:rFonts w:hint="eastAsia" w:ascii="仿宋_GB2312" w:hAnsi="ˎ̥" w:eastAsia="仿宋_GB2312"/>
          <w:sz w:val="32"/>
          <w:szCs w:val="32"/>
        </w:rPr>
        <w:t>汇总的机关运行经费预算数应为</w:t>
      </w:r>
      <w:r>
        <w:rPr>
          <w:rFonts w:hint="eastAsia" w:ascii="仿宋_GB2312" w:hAnsi="ˎ̥" w:eastAsia="仿宋_GB2312"/>
          <w:sz w:val="32"/>
          <w:szCs w:val="32"/>
          <w:lang w:eastAsia="zh-CN"/>
        </w:rPr>
        <w:t>单位</w:t>
      </w:r>
      <w:r>
        <w:rPr>
          <w:rFonts w:hint="eastAsia" w:ascii="仿宋_GB2312" w:hAnsi="ˎ̥" w:eastAsia="仿宋_GB2312"/>
          <w:sz w:val="32"/>
          <w:szCs w:val="32"/>
        </w:rPr>
        <w:t>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3" w:name="_Toc23966_WPSOffice_Level2"/>
      <w:bookmarkStart w:id="104" w:name="_Toc13084_WPSOffice_Level2"/>
      <w:bookmarkStart w:id="105" w:name="_Toc3131_WPSOffice_Level2"/>
      <w:bookmarkStart w:id="106" w:name="_Toc32689_WPSOffice_Level2"/>
      <w:bookmarkStart w:id="107" w:name="_Toc30383_WPSOffice_Level2"/>
      <w:bookmarkStart w:id="108" w:name="_Toc25333_WPSOffice_Level2"/>
      <w:r>
        <w:rPr>
          <w:rFonts w:hint="eastAsia" w:ascii="楷体" w:hAnsi="楷体" w:eastAsia="楷体" w:cs="楷体"/>
          <w:bCs/>
          <w:sz w:val="32"/>
          <w:szCs w:val="32"/>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屯昌县屯城镇中心幼儿园</w:t>
      </w:r>
      <w:r>
        <w:rPr>
          <w:rFonts w:hint="eastAsia" w:ascii="仿宋_GB2312" w:hAnsi="ˎ̥" w:eastAsia="仿宋_GB2312"/>
          <w:sz w:val="32"/>
          <w:szCs w:val="32"/>
        </w:rPr>
        <w:t>政府采</w:t>
      </w:r>
      <w:r>
        <w:rPr>
          <w:rFonts w:hint="eastAsia" w:ascii="仿宋_GB2312" w:hAnsi="ˎ̥" w:eastAsia="仿宋_GB2312"/>
          <w:sz w:val="32"/>
          <w:szCs w:val="32"/>
          <w:lang w:eastAsia="zh-CN"/>
        </w:rPr>
        <w:t>购支出总额</w:t>
      </w:r>
      <w:r>
        <w:rPr>
          <w:rFonts w:hint="eastAsia" w:ascii="仿宋_GB2312" w:hAnsi="ˎ̥" w:eastAsia="仿宋_GB2312"/>
          <w:sz w:val="32"/>
          <w:szCs w:val="32"/>
          <w:lang w:val="en-US" w:eastAsia="zh-CN"/>
        </w:rPr>
        <w:t>0</w:t>
      </w:r>
      <w:r>
        <w:rPr>
          <w:rFonts w:hint="eastAsia" w:ascii="仿宋_GB2312" w:hAnsi="ˎ̥" w:eastAsia="仿宋_GB2312"/>
          <w:sz w:val="32"/>
          <w:szCs w:val="32"/>
          <w:lang w:eastAsia="zh-CN"/>
        </w:rPr>
        <w:t>万元，其中：政府采购货物支出</w:t>
      </w:r>
      <w:r>
        <w:rPr>
          <w:rFonts w:hint="eastAsia" w:ascii="仿宋_GB2312" w:hAnsi="ˎ̥" w:eastAsia="仿宋_GB2312"/>
          <w:sz w:val="32"/>
          <w:szCs w:val="32"/>
          <w:lang w:val="en-US" w:eastAsia="zh-CN"/>
        </w:rPr>
        <w:t>0</w:t>
      </w:r>
      <w:r>
        <w:rPr>
          <w:rFonts w:hint="eastAsia" w:ascii="仿宋_GB2312" w:hAnsi="ˎ̥" w:eastAsia="仿宋_GB2312"/>
          <w:sz w:val="32"/>
          <w:szCs w:val="32"/>
          <w:lang w:eastAsia="zh-CN"/>
        </w:rPr>
        <w:t>万元、政府采购工程支出</w:t>
      </w:r>
      <w:r>
        <w:rPr>
          <w:rFonts w:hint="eastAsia" w:ascii="仿宋_GB2312" w:hAnsi="ˎ̥" w:eastAsia="仿宋_GB2312"/>
          <w:sz w:val="32"/>
          <w:szCs w:val="32"/>
          <w:lang w:val="en-US" w:eastAsia="zh-CN"/>
        </w:rPr>
        <w:t>0</w:t>
      </w:r>
      <w:r>
        <w:rPr>
          <w:rFonts w:hint="eastAsia" w:ascii="仿宋_GB2312" w:hAnsi="ˎ̥" w:eastAsia="仿宋_GB2312"/>
          <w:sz w:val="32"/>
          <w:szCs w:val="32"/>
          <w:lang w:eastAsia="zh-CN"/>
        </w:rPr>
        <w:t>万元、政府采购服务支出</w:t>
      </w:r>
      <w:r>
        <w:rPr>
          <w:rFonts w:hint="eastAsia" w:ascii="仿宋_GB2312" w:hAnsi="ˎ̥" w:eastAsia="仿宋_GB2312"/>
          <w:sz w:val="32"/>
          <w:szCs w:val="32"/>
          <w:lang w:val="en-US" w:eastAsia="zh-CN"/>
        </w:rPr>
        <w:t>0</w:t>
      </w:r>
      <w:r>
        <w:rPr>
          <w:rFonts w:hint="eastAsia" w:ascii="仿宋_GB2312" w:hAnsi="ˎ̥" w:eastAsia="仿宋_GB2312"/>
          <w:sz w:val="32"/>
          <w:szCs w:val="32"/>
          <w:lang w:eastAsia="zh-CN"/>
        </w:rPr>
        <w:t>万元。授予中小企业合同金额</w:t>
      </w:r>
      <w:r>
        <w:rPr>
          <w:rFonts w:hint="eastAsia" w:ascii="仿宋_GB2312" w:hAnsi="ˎ̥" w:eastAsia="仿宋_GB2312"/>
          <w:sz w:val="32"/>
          <w:szCs w:val="32"/>
          <w:lang w:val="en-US" w:eastAsia="zh-CN"/>
        </w:rPr>
        <w:t>0</w:t>
      </w:r>
      <w:r>
        <w:rPr>
          <w:rFonts w:hint="eastAsia" w:ascii="仿宋_GB2312" w:hAnsi="ˎ̥" w:eastAsia="仿宋_GB2312"/>
          <w:sz w:val="32"/>
          <w:szCs w:val="32"/>
          <w:lang w:eastAsia="zh-CN"/>
        </w:rPr>
        <w:t>万元，占政府采购支出总额的</w:t>
      </w:r>
      <w:r>
        <w:rPr>
          <w:rFonts w:hint="eastAsia" w:ascii="仿宋_GB2312" w:hAnsi="ˎ̥" w:eastAsia="仿宋_GB2312"/>
          <w:sz w:val="32"/>
          <w:szCs w:val="32"/>
          <w:lang w:val="en-US" w:eastAsia="zh-CN"/>
        </w:rPr>
        <w:t>0</w:t>
      </w:r>
      <w:r>
        <w:rPr>
          <w:rFonts w:hint="eastAsia" w:ascii="仿宋_GB2312" w:hAnsi="ˎ̥" w:eastAsia="仿宋_GB2312"/>
          <w:sz w:val="32"/>
          <w:szCs w:val="32"/>
          <w:lang w:eastAsia="zh-CN"/>
        </w:rPr>
        <w:t>%，其中：授予小微企业合同金额</w:t>
      </w:r>
      <w:r>
        <w:rPr>
          <w:rFonts w:hint="eastAsia" w:ascii="仿宋_GB2312" w:hAnsi="ˎ̥" w:eastAsia="仿宋_GB2312"/>
          <w:sz w:val="32"/>
          <w:szCs w:val="32"/>
          <w:lang w:val="en-US" w:eastAsia="zh-CN"/>
        </w:rPr>
        <w:t>0</w:t>
      </w:r>
      <w:r>
        <w:rPr>
          <w:rFonts w:hint="eastAsia" w:ascii="仿宋_GB2312" w:hAnsi="ˎ̥" w:eastAsia="仿宋_GB2312"/>
          <w:sz w:val="32"/>
          <w:szCs w:val="32"/>
          <w:lang w:eastAsia="zh-CN"/>
        </w:rPr>
        <w:t>万元，占授予中小企业合同金额的</w:t>
      </w:r>
      <w:r>
        <w:rPr>
          <w:rFonts w:hint="eastAsia" w:ascii="仿宋_GB2312" w:hAnsi="ˎ̥" w:eastAsia="仿宋_GB2312"/>
          <w:sz w:val="32"/>
          <w:szCs w:val="32"/>
          <w:lang w:val="en-US" w:eastAsia="zh-CN"/>
        </w:rPr>
        <w:t>0</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决算报表F03表《机构运行信息表》，授予中小企业和小微企业合同金额由各</w:t>
      </w:r>
      <w:r>
        <w:rPr>
          <w:rFonts w:hint="eastAsia" w:ascii="仿宋_GB2312" w:hAnsi="ˎ̥" w:eastAsia="仿宋_GB2312"/>
          <w:sz w:val="32"/>
          <w:szCs w:val="32"/>
          <w:lang w:eastAsia="zh-CN"/>
        </w:rPr>
        <w:t>单位</w:t>
      </w:r>
      <w:r>
        <w:rPr>
          <w:rFonts w:hint="eastAsia" w:ascii="仿宋_GB2312" w:hAnsi="ˎ̥" w:eastAsia="仿宋_GB2312"/>
          <w:sz w:val="32"/>
          <w:szCs w:val="32"/>
        </w:rPr>
        <w:t>查阅本</w:t>
      </w:r>
      <w:r>
        <w:rPr>
          <w:rFonts w:hint="eastAsia" w:ascii="仿宋_GB2312" w:hAnsi="ˎ̥" w:eastAsia="仿宋_GB2312"/>
          <w:sz w:val="32"/>
          <w:szCs w:val="32"/>
          <w:lang w:eastAsia="zh-CN"/>
        </w:rPr>
        <w:t>单位</w:t>
      </w:r>
      <w:r>
        <w:rPr>
          <w:rFonts w:hint="eastAsia" w:ascii="仿宋_GB2312" w:hAnsi="ˎ̥" w:eastAsia="仿宋_GB2312"/>
          <w:sz w:val="32"/>
          <w:szCs w:val="32"/>
        </w:rPr>
        <w:t>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9" w:name="_Toc527_WPSOffice_Level2"/>
      <w:bookmarkStart w:id="110" w:name="_Toc19989_WPSOffice_Level2"/>
      <w:bookmarkStart w:id="111" w:name="_Toc10902_WPSOffice_Level2"/>
      <w:bookmarkStart w:id="112" w:name="_Toc6016_WPSOffice_Level2"/>
      <w:bookmarkStart w:id="113" w:name="_Toc15129_WPSOffice_Level2"/>
      <w:bookmarkStart w:id="114" w:name="_Toc29584_WPSOffice_Level2"/>
      <w:r>
        <w:rPr>
          <w:rFonts w:hint="eastAsia" w:ascii="楷体" w:hAnsi="楷体" w:eastAsia="楷体" w:cs="楷体"/>
          <w:bCs/>
          <w:sz w:val="32"/>
          <w:szCs w:val="32"/>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w:t>
      </w:r>
      <w:r>
        <w:rPr>
          <w:rFonts w:hint="eastAsia" w:ascii="仿宋_GB2312" w:hAnsi="ˎ̥" w:eastAsia="仿宋_GB2312"/>
          <w:bCs/>
          <w:sz w:val="32"/>
          <w:szCs w:val="32"/>
          <w:lang w:eastAsia="zh-CN"/>
        </w:rPr>
        <w:t>单位</w:t>
      </w:r>
      <w:r>
        <w:rPr>
          <w:rFonts w:hint="eastAsia" w:ascii="仿宋_GB2312" w:hAnsi="ˎ̥" w:eastAsia="仿宋_GB2312"/>
          <w:bCs/>
          <w:sz w:val="32"/>
          <w:szCs w:val="32"/>
        </w:rPr>
        <w:t>拥有</w:t>
      </w:r>
      <w:r>
        <w:rPr>
          <w:rFonts w:hint="eastAsia" w:ascii="仿宋_GB2312" w:hAnsi="ˎ̥" w:eastAsia="仿宋_GB2312"/>
          <w:sz w:val="32"/>
          <w:szCs w:val="32"/>
        </w:rPr>
        <w:t>房屋面积</w:t>
      </w:r>
      <w:r>
        <w:rPr>
          <w:rFonts w:hint="eastAsia" w:ascii="仿宋_GB2312" w:hAnsi="ˎ̥" w:eastAsia="仿宋_GB2312"/>
          <w:color w:val="auto"/>
          <w:sz w:val="32"/>
          <w:szCs w:val="32"/>
          <w:lang w:val="en-US" w:eastAsia="zh-CN"/>
        </w:rPr>
        <w:t>5357.88</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w:t>
      </w:r>
      <w:r>
        <w:rPr>
          <w:rFonts w:hint="eastAsia" w:ascii="仿宋_GB2312" w:hAnsi="ˎ̥" w:eastAsia="仿宋_GB2312"/>
          <w:sz w:val="32"/>
          <w:szCs w:val="32"/>
          <w:lang w:eastAsia="zh-CN"/>
        </w:rPr>
        <w:t>单位</w:t>
      </w:r>
      <w:r>
        <w:rPr>
          <w:rFonts w:hint="eastAsia" w:ascii="仿宋_GB2312" w:hAnsi="ˎ̥" w:eastAsia="仿宋_GB2312"/>
          <w:sz w:val="32"/>
          <w:szCs w:val="32"/>
        </w:rPr>
        <w:t>共有车辆</w:t>
      </w:r>
      <w:r>
        <w:rPr>
          <w:rFonts w:hint="eastAsia" w:ascii="仿宋_GB2312" w:hAnsi="ˎ̥" w:eastAsia="仿宋_GB2312"/>
          <w:sz w:val="32"/>
          <w:szCs w:val="32"/>
          <w:lang w:val="en-US" w:eastAsia="zh-CN"/>
        </w:rPr>
        <w:t>0</w:t>
      </w:r>
      <w:r>
        <w:rPr>
          <w:rFonts w:hint="eastAsia" w:ascii="仿宋_GB2312" w:hAnsi="ˎ̥" w:eastAsia="仿宋_GB2312"/>
          <w:sz w:val="32"/>
          <w:szCs w:val="32"/>
        </w:rPr>
        <w:t>辆，其中，副部（省）级及以上领导用车</w:t>
      </w:r>
      <w:r>
        <w:rPr>
          <w:rFonts w:hint="eastAsia" w:ascii="仿宋_GB2312" w:hAnsi="ˎ̥" w:eastAsia="仿宋_GB2312"/>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sz w:val="32"/>
          <w:szCs w:val="32"/>
          <w:lang w:val="en-US" w:eastAsia="zh-CN"/>
        </w:rPr>
        <w:t>0</w:t>
      </w:r>
      <w:r>
        <w:rPr>
          <w:rFonts w:hint="eastAsia" w:ascii="仿宋_GB2312" w:hAnsi="ˎ̥" w:eastAsia="仿宋_GB2312"/>
          <w:sz w:val="32"/>
          <w:szCs w:val="32"/>
        </w:rPr>
        <w:t>辆。</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sz w:val="32"/>
          <w:szCs w:val="32"/>
          <w:lang w:val="en-US" w:eastAsia="zh-CN"/>
        </w:rPr>
        <w:t>0</w:t>
      </w:r>
      <w:r>
        <w:rPr>
          <w:rFonts w:hint="eastAsia" w:ascii="仿宋_GB2312" w:hAnsi="ˎ̥" w:eastAsia="仿宋_GB2312"/>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5" w:name="_Toc8874_WPSOffice_Level1"/>
      <w:bookmarkStart w:id="116" w:name="_Toc15425_WPSOffice_Level1"/>
      <w:bookmarkStart w:id="117" w:name="_Toc17580_WPSOffice_Level1"/>
      <w:bookmarkStart w:id="118" w:name="_Toc11039_WPSOffice_Level1"/>
      <w:bookmarkStart w:id="119" w:name="_Toc8808_WPSOffice_Level1"/>
      <w:bookmarkStart w:id="120" w:name="_Toc439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5"/>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w:t>
      </w:r>
      <w:r>
        <w:rPr>
          <w:rFonts w:hint="eastAsia" w:ascii="仿宋_GB2312" w:hAnsi="ˎ̥" w:eastAsia="仿宋_GB2312"/>
          <w:sz w:val="32"/>
          <w:szCs w:val="32"/>
          <w:lang w:eastAsia="zh-CN"/>
        </w:rPr>
        <w:t>单位</w:t>
      </w:r>
      <w:r>
        <w:rPr>
          <w:rFonts w:hint="eastAsia" w:ascii="仿宋_GB2312" w:hAnsi="ˎ̥" w:eastAsia="仿宋_GB2312"/>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w:t>
      </w:r>
      <w:r>
        <w:rPr>
          <w:rFonts w:hint="eastAsia" w:ascii="仿宋_GB2312" w:hAnsi="ˎ̥" w:eastAsia="仿宋_GB2312"/>
          <w:sz w:val="32"/>
          <w:szCs w:val="32"/>
          <w:lang w:eastAsia="zh-CN"/>
        </w:rPr>
        <w:t>单位</w:t>
      </w:r>
      <w:r>
        <w:rPr>
          <w:rFonts w:hint="eastAsia" w:ascii="仿宋_GB2312" w:hAnsi="ˎ̥" w:eastAsia="仿宋_GB2312"/>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670DD349"/>
    <w:multiLevelType w:val="singleLevel"/>
    <w:tmpl w:val="670DD349"/>
    <w:lvl w:ilvl="0" w:tentative="0">
      <w:start w:val="1"/>
      <w:numFmt w:val="chineseCounting"/>
      <w:suff w:val="nothing"/>
      <w:lvlText w:val="（%1）"/>
      <w:lvlJc w:val="left"/>
    </w:lvl>
  </w:abstractNum>
  <w:abstractNum w:abstractNumId="2">
    <w:nsid w:val="670DE2DF"/>
    <w:multiLevelType w:val="singleLevel"/>
    <w:tmpl w:val="670DE2DF"/>
    <w:lvl w:ilvl="0" w:tentative="0">
      <w:start w:val="2"/>
      <w:numFmt w:val="chineseCounting"/>
      <w:suff w:val="nothing"/>
      <w:lvlText w:val="（%1）"/>
      <w:lvlJc w:val="left"/>
    </w:lvl>
  </w:abstractNum>
  <w:abstractNum w:abstractNumId="3">
    <w:nsid w:val="68FED2E1"/>
    <w:multiLevelType w:val="singleLevel"/>
    <w:tmpl w:val="68FED2E1"/>
    <w:lvl w:ilvl="0" w:tentative="0">
      <w:start w:val="2"/>
      <w:numFmt w:val="decimal"/>
      <w:suff w:val="nothing"/>
      <w:lvlText w:val="%1."/>
      <w:lvlJc w:val="left"/>
    </w:lvl>
  </w:abstractNum>
  <w:abstractNum w:abstractNumId="4">
    <w:nsid w:val="72109F8D"/>
    <w:multiLevelType w:val="singleLevel"/>
    <w:tmpl w:val="72109F8D"/>
    <w:lvl w:ilvl="0" w:tentative="0">
      <w:start w:val="7"/>
      <w:numFmt w:val="chineseCounting"/>
      <w:suff w:val="nothing"/>
      <w:lvlText w:val="%1、"/>
      <w:lvlJc w:val="left"/>
      <w:rPr>
        <w:rFonts w:hint="eastAsia"/>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27777D2"/>
    <w:rsid w:val="09201287"/>
    <w:rsid w:val="0FC80124"/>
    <w:rsid w:val="129B40D7"/>
    <w:rsid w:val="136F98C7"/>
    <w:rsid w:val="17427E68"/>
    <w:rsid w:val="1755065F"/>
    <w:rsid w:val="17CB3D23"/>
    <w:rsid w:val="19205178"/>
    <w:rsid w:val="198E2A18"/>
    <w:rsid w:val="1AFC29C9"/>
    <w:rsid w:val="1CA52F2E"/>
    <w:rsid w:val="1CD825CD"/>
    <w:rsid w:val="1E3630B9"/>
    <w:rsid w:val="1FDF7065"/>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8317291"/>
    <w:rsid w:val="484B6367"/>
    <w:rsid w:val="485F7024"/>
    <w:rsid w:val="48E70666"/>
    <w:rsid w:val="4C1A55A2"/>
    <w:rsid w:val="4C6877E5"/>
    <w:rsid w:val="4D6A468D"/>
    <w:rsid w:val="4EA86137"/>
    <w:rsid w:val="56CA7FD0"/>
    <w:rsid w:val="57FA38D1"/>
    <w:rsid w:val="5A4403DD"/>
    <w:rsid w:val="5F7D3333"/>
    <w:rsid w:val="61385890"/>
    <w:rsid w:val="65AF0775"/>
    <w:rsid w:val="687436E1"/>
    <w:rsid w:val="6A986DAC"/>
    <w:rsid w:val="6DA45C50"/>
    <w:rsid w:val="6E9A7825"/>
    <w:rsid w:val="6F670F9B"/>
    <w:rsid w:val="71040655"/>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1163</Words>
  <Characters>2480</Characters>
  <Lines>67</Lines>
  <Paragraphs>18</Paragraphs>
  <TotalTime>0</TotalTime>
  <ScaleCrop>false</ScaleCrop>
  <LinksUpToDate>false</LinksUpToDate>
  <CharactersWithSpaces>2528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2025-10-27T02:52:07Z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