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小标宋_GBK" w:hAnsi="方正小标宋_GBK" w:eastAsia="方正小标宋_GBK" w:cs="方正小标宋_GBK"/>
          <w:b w:val="0"/>
          <w:bCs w:val="0"/>
          <w:color w:val="auto"/>
          <w:sz w:val="44"/>
          <w:szCs w:val="44"/>
        </w:rPr>
      </w:pPr>
      <w:bookmarkStart w:id="121" w:name="_GoBack"/>
      <w:r>
        <w:rPr>
          <w:rFonts w:hint="eastAsia" w:ascii="方正小标宋_GBK" w:hAnsi="方正小标宋_GBK" w:eastAsia="方正小标宋_GBK" w:cs="方正小标宋_GBK"/>
          <w:b w:val="0"/>
          <w:bCs w:val="0"/>
          <w:color w:val="auto"/>
          <w:sz w:val="44"/>
          <w:szCs w:val="44"/>
        </w:rPr>
        <w:t>屯昌县南坤镇黄岭幼儿园2024年度</w:t>
      </w:r>
    </w:p>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小标宋_GBK" w:hAnsi="方正小标宋_GBK" w:eastAsia="方正小标宋_GBK" w:cs="方正小标宋_GBK"/>
          <w:b w:val="0"/>
          <w:bCs w:val="0"/>
          <w:color w:val="auto"/>
          <w:sz w:val="44"/>
          <w:szCs w:val="44"/>
        </w:rPr>
      </w:pPr>
      <w:r>
        <w:rPr>
          <w:rFonts w:hint="eastAsia" w:ascii="方正小标宋_GBK" w:hAnsi="方正小标宋_GBK" w:eastAsia="方正小标宋_GBK" w:cs="方正小标宋_GBK"/>
          <w:b w:val="0"/>
          <w:bCs w:val="0"/>
          <w:color w:val="auto"/>
          <w:sz w:val="44"/>
          <w:szCs w:val="44"/>
          <w:lang w:val="en-US" w:eastAsia="zh-CN"/>
        </w:rPr>
        <w:t>单位</w:t>
      </w:r>
      <w:r>
        <w:rPr>
          <w:rFonts w:hint="eastAsia" w:ascii="方正小标宋_GBK" w:hAnsi="方正小标宋_GBK" w:eastAsia="方正小标宋_GBK" w:cs="方正小标宋_GBK"/>
          <w:b w:val="0"/>
          <w:bCs w:val="0"/>
          <w:color w:val="auto"/>
          <w:sz w:val="44"/>
          <w:szCs w:val="44"/>
        </w:rPr>
        <w:t>决算公开报告</w:t>
      </w:r>
    </w:p>
    <w:p>
      <w:pPr>
        <w:spacing w:line="578" w:lineRule="exact"/>
        <w:jc w:val="center"/>
        <w:rPr>
          <w:rFonts w:hint="eastAsia" w:ascii="黑体" w:hAnsi="ˎ̥" w:eastAsia="黑体"/>
          <w:b/>
          <w:color w:val="auto"/>
          <w:sz w:val="32"/>
          <w:szCs w:val="32"/>
        </w:rPr>
      </w:pPr>
    </w:p>
    <w:p>
      <w:pPr>
        <w:spacing w:line="578" w:lineRule="exact"/>
        <w:jc w:val="center"/>
        <w:rPr>
          <w:rFonts w:hint="eastAsia" w:ascii="黑体" w:hAnsi="黑体" w:eastAsia="黑体" w:cs="黑体"/>
          <w:color w:val="auto"/>
          <w:sz w:val="44"/>
          <w:szCs w:val="44"/>
        </w:rPr>
      </w:pPr>
      <w:bookmarkStart w:id="0" w:name="_Toc11440_WPSOffice_Type2"/>
      <w:r>
        <w:rPr>
          <w:rFonts w:hint="eastAsia" w:ascii="黑体" w:hAnsi="黑体" w:eastAsia="黑体" w:cs="黑体"/>
          <w:color w:val="auto"/>
          <w:sz w:val="44"/>
          <w:szCs w:val="44"/>
        </w:rPr>
        <w:t>目  录</w:t>
      </w:r>
    </w:p>
    <w:p>
      <w:pPr>
        <w:pStyle w:val="17"/>
        <w:tabs>
          <w:tab w:val="right" w:leader="dot" w:pos="8306"/>
        </w:tabs>
        <w:spacing w:line="578" w:lineRule="exact"/>
        <w:rPr>
          <w:rFonts w:hint="eastAsia"/>
          <w:color w:val="auto"/>
          <w:sz w:val="32"/>
          <w:szCs w:val="32"/>
        </w:rPr>
      </w:pPr>
      <w:r>
        <w:rPr>
          <w:color w:val="auto"/>
          <w:sz w:val="32"/>
          <w:szCs w:val="32"/>
        </w:rPr>
        <w:fldChar w:fldCharType="begin"/>
      </w:r>
      <w:r>
        <w:rPr>
          <w:color w:val="auto"/>
          <w:sz w:val="32"/>
          <w:szCs w:val="32"/>
        </w:rPr>
        <w:instrText xml:space="preserve"> HYPERLINK \l _Toc1704_WPSOffice_Level1 </w:instrText>
      </w:r>
      <w:r>
        <w:rPr>
          <w:color w:val="auto"/>
          <w:sz w:val="32"/>
          <w:szCs w:val="32"/>
        </w:rPr>
        <w:fldChar w:fldCharType="separate"/>
      </w:r>
      <w:r>
        <w:rPr>
          <w:rFonts w:hint="eastAsia" w:ascii="黑体" w:hAnsi="ˎ̥" w:eastAsia="黑体"/>
          <w:color w:val="auto"/>
          <w:sz w:val="32"/>
          <w:szCs w:val="32"/>
        </w:rPr>
        <w:t>第一部分 基本情况</w:t>
      </w:r>
      <w:r>
        <w:rPr>
          <w:color w:val="auto"/>
          <w:sz w:val="32"/>
          <w:szCs w:val="32"/>
        </w:rPr>
        <w:tab/>
      </w:r>
      <w:r>
        <w:rPr>
          <w:color w:val="auto"/>
          <w:sz w:val="32"/>
          <w:szCs w:val="32"/>
        </w:rPr>
        <w:fldChar w:fldCharType="end"/>
      </w:r>
      <w:r>
        <w:rPr>
          <w:rFonts w:hint="eastAsia"/>
          <w:color w:val="auto"/>
          <w:sz w:val="32"/>
          <w:szCs w:val="32"/>
        </w:rPr>
        <w:t>2</w:t>
      </w:r>
    </w:p>
    <w:p>
      <w:pPr>
        <w:pStyle w:val="18"/>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_Toc20274_WPSOffice_Level2 </w:instrText>
      </w:r>
      <w:r>
        <w:rPr>
          <w:rFonts w:hint="eastAsia" w:ascii="仿宋" w:hAnsi="仿宋" w:eastAsia="仿宋" w:cs="仿宋"/>
          <w:color w:val="auto"/>
          <w:sz w:val="32"/>
          <w:szCs w:val="32"/>
        </w:rPr>
        <w:fldChar w:fldCharType="separate"/>
      </w:r>
      <w:r>
        <w:rPr>
          <w:rFonts w:hint="eastAsia" w:ascii="仿宋" w:hAnsi="仿宋" w:eastAsia="仿宋" w:cs="仿宋"/>
          <w:color w:val="auto"/>
          <w:sz w:val="32"/>
          <w:szCs w:val="32"/>
        </w:rPr>
        <w:t>一、</w:t>
      </w:r>
      <w:r>
        <w:rPr>
          <w:rFonts w:hint="eastAsia" w:ascii="仿宋" w:hAnsi="仿宋" w:eastAsia="仿宋" w:cs="仿宋"/>
          <w:color w:val="auto"/>
          <w:sz w:val="32"/>
          <w:szCs w:val="32"/>
          <w:lang w:eastAsia="zh-CN"/>
        </w:rPr>
        <w:t>单位</w:t>
      </w:r>
      <w:r>
        <w:rPr>
          <w:rFonts w:hint="eastAsia" w:ascii="仿宋" w:hAnsi="仿宋" w:eastAsia="仿宋" w:cs="仿宋"/>
          <w:color w:val="auto"/>
          <w:sz w:val="32"/>
          <w:szCs w:val="32"/>
        </w:rPr>
        <w:t>职责</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2</w:t>
      </w:r>
    </w:p>
    <w:p>
      <w:pPr>
        <w:pStyle w:val="18"/>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_Toc4833_WPSOffice_Level2 </w:instrText>
      </w:r>
      <w:r>
        <w:rPr>
          <w:rFonts w:hint="eastAsia" w:ascii="仿宋" w:hAnsi="仿宋" w:eastAsia="仿宋" w:cs="仿宋"/>
          <w:color w:val="auto"/>
          <w:sz w:val="32"/>
          <w:szCs w:val="32"/>
        </w:rPr>
        <w:fldChar w:fldCharType="separate"/>
      </w:r>
      <w:r>
        <w:rPr>
          <w:rFonts w:hint="eastAsia" w:ascii="仿宋" w:hAnsi="仿宋" w:eastAsia="仿宋" w:cs="仿宋"/>
          <w:color w:val="auto"/>
          <w:sz w:val="32"/>
          <w:szCs w:val="32"/>
        </w:rPr>
        <w:t>二、机构设置</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2</w:t>
      </w:r>
    </w:p>
    <w:p>
      <w:pPr>
        <w:pStyle w:val="17"/>
        <w:tabs>
          <w:tab w:val="right" w:leader="dot" w:pos="8306"/>
        </w:tabs>
        <w:spacing w:line="578" w:lineRule="exact"/>
        <w:rPr>
          <w:rFonts w:hint="eastAsia"/>
          <w:color w:val="auto"/>
          <w:sz w:val="32"/>
          <w:szCs w:val="32"/>
        </w:rPr>
      </w:pPr>
      <w:r>
        <w:rPr>
          <w:color w:val="auto"/>
          <w:sz w:val="32"/>
          <w:szCs w:val="32"/>
        </w:rPr>
        <w:fldChar w:fldCharType="begin"/>
      </w:r>
      <w:r>
        <w:rPr>
          <w:color w:val="auto"/>
          <w:sz w:val="32"/>
          <w:szCs w:val="32"/>
        </w:rPr>
        <w:instrText xml:space="preserve"> HYPERLINK \l _Toc28253_WPSOffice_Level1 </w:instrText>
      </w:r>
      <w:r>
        <w:rPr>
          <w:color w:val="auto"/>
          <w:sz w:val="32"/>
          <w:szCs w:val="32"/>
        </w:rPr>
        <w:fldChar w:fldCharType="separate"/>
      </w:r>
      <w:r>
        <w:rPr>
          <w:rFonts w:hint="eastAsia" w:ascii="黑体" w:hAnsi="ˎ̥" w:eastAsia="黑体"/>
          <w:color w:val="auto"/>
          <w:sz w:val="32"/>
          <w:szCs w:val="32"/>
        </w:rPr>
        <w:t xml:space="preserve">第二部分  </w:t>
      </w:r>
      <w:r>
        <w:rPr>
          <w:rFonts w:hint="default" w:ascii="黑体" w:hAnsi="ˎ̥" w:eastAsia="黑体"/>
          <w:color w:val="auto"/>
          <w:sz w:val="32"/>
          <w:szCs w:val="32"/>
          <w:lang w:val="en-US"/>
        </w:rPr>
        <w:t>2024</w:t>
      </w:r>
      <w:r>
        <w:rPr>
          <w:rFonts w:hint="eastAsia" w:ascii="黑体" w:hAnsi="ˎ̥" w:eastAsia="黑体"/>
          <w:color w:val="auto"/>
          <w:sz w:val="32"/>
          <w:szCs w:val="32"/>
        </w:rPr>
        <w:t>年度</w:t>
      </w:r>
      <w:r>
        <w:rPr>
          <w:rFonts w:hint="eastAsia" w:ascii="黑体" w:hAnsi="ˎ̥" w:eastAsia="黑体"/>
          <w:color w:val="auto"/>
          <w:sz w:val="32"/>
          <w:szCs w:val="32"/>
          <w:lang w:val="en-US" w:eastAsia="zh-CN"/>
        </w:rPr>
        <w:t>单位</w:t>
      </w:r>
      <w:r>
        <w:rPr>
          <w:rFonts w:hint="eastAsia" w:ascii="黑体" w:hAnsi="ˎ̥" w:eastAsia="黑体"/>
          <w:color w:val="auto"/>
          <w:sz w:val="32"/>
          <w:szCs w:val="32"/>
        </w:rPr>
        <w:t>决算公开表</w:t>
      </w:r>
      <w:r>
        <w:rPr>
          <w:color w:val="auto"/>
          <w:sz w:val="32"/>
          <w:szCs w:val="32"/>
        </w:rPr>
        <w:tab/>
      </w:r>
      <w:r>
        <w:rPr>
          <w:color w:val="auto"/>
          <w:sz w:val="32"/>
          <w:szCs w:val="32"/>
        </w:rPr>
        <w:fldChar w:fldCharType="end"/>
      </w:r>
      <w:r>
        <w:rPr>
          <w:rFonts w:hint="eastAsia"/>
          <w:color w:val="auto"/>
          <w:sz w:val="32"/>
          <w:szCs w:val="32"/>
        </w:rPr>
        <w:t>2</w:t>
      </w:r>
    </w:p>
    <w:p>
      <w:pPr>
        <w:pStyle w:val="17"/>
        <w:tabs>
          <w:tab w:val="right" w:leader="dot" w:pos="8306"/>
        </w:tabs>
        <w:spacing w:line="578" w:lineRule="exact"/>
        <w:rPr>
          <w:rFonts w:hint="eastAsia"/>
          <w:color w:val="auto"/>
          <w:sz w:val="32"/>
          <w:szCs w:val="32"/>
        </w:rPr>
      </w:pPr>
      <w:r>
        <w:rPr>
          <w:color w:val="auto"/>
          <w:sz w:val="32"/>
          <w:szCs w:val="32"/>
        </w:rPr>
        <w:fldChar w:fldCharType="begin"/>
      </w:r>
      <w:r>
        <w:rPr>
          <w:color w:val="auto"/>
          <w:sz w:val="32"/>
          <w:szCs w:val="32"/>
        </w:rPr>
        <w:instrText xml:space="preserve"> HYPERLINK \l _Toc27590_WPSOffice_Level1 </w:instrText>
      </w:r>
      <w:r>
        <w:rPr>
          <w:color w:val="auto"/>
          <w:sz w:val="32"/>
          <w:szCs w:val="32"/>
        </w:rPr>
        <w:fldChar w:fldCharType="separate"/>
      </w:r>
      <w:r>
        <w:rPr>
          <w:rFonts w:hint="eastAsia" w:ascii="黑体" w:hAnsi="黑体" w:eastAsia="黑体" w:cs="黑体"/>
          <w:color w:val="auto"/>
          <w:sz w:val="32"/>
          <w:szCs w:val="32"/>
        </w:rPr>
        <w:t>第三部分</w:t>
      </w:r>
      <w:r>
        <w:rPr>
          <w:rFonts w:hint="eastAsia"/>
          <w:color w:val="auto"/>
          <w:sz w:val="32"/>
          <w:szCs w:val="32"/>
        </w:rPr>
        <w:t xml:space="preserve">  </w:t>
      </w:r>
      <w:r>
        <w:rPr>
          <w:rFonts w:hint="default" w:ascii="黑体" w:hAnsi="ˎ̥" w:eastAsia="黑体"/>
          <w:color w:val="auto"/>
          <w:sz w:val="32"/>
          <w:szCs w:val="32"/>
          <w:lang w:val="en-US"/>
        </w:rPr>
        <w:t>2024</w:t>
      </w:r>
      <w:r>
        <w:rPr>
          <w:rFonts w:hint="eastAsia" w:ascii="黑体" w:hAnsi="ˎ̥" w:eastAsia="黑体"/>
          <w:color w:val="auto"/>
          <w:sz w:val="32"/>
          <w:szCs w:val="32"/>
        </w:rPr>
        <w:t>年度</w:t>
      </w:r>
      <w:r>
        <w:rPr>
          <w:rFonts w:hint="eastAsia" w:ascii="黑体" w:hAnsi="ˎ̥" w:eastAsia="黑体"/>
          <w:color w:val="auto"/>
          <w:sz w:val="32"/>
          <w:szCs w:val="32"/>
          <w:lang w:val="en-US" w:eastAsia="zh-CN"/>
        </w:rPr>
        <w:t>单位</w:t>
      </w:r>
      <w:r>
        <w:rPr>
          <w:rFonts w:hint="eastAsia" w:ascii="黑体" w:hAnsi="ˎ̥" w:eastAsia="黑体"/>
          <w:color w:val="auto"/>
          <w:sz w:val="32"/>
          <w:szCs w:val="32"/>
        </w:rPr>
        <w:t>决算情况说明</w:t>
      </w:r>
      <w:r>
        <w:rPr>
          <w:color w:val="auto"/>
          <w:sz w:val="32"/>
          <w:szCs w:val="32"/>
        </w:rPr>
        <w:tab/>
      </w:r>
      <w:r>
        <w:rPr>
          <w:color w:val="auto"/>
          <w:sz w:val="32"/>
          <w:szCs w:val="32"/>
        </w:rPr>
        <w:fldChar w:fldCharType="end"/>
      </w:r>
      <w:r>
        <w:rPr>
          <w:rFonts w:hint="eastAsia"/>
          <w:color w:val="auto"/>
          <w:sz w:val="32"/>
          <w:szCs w:val="32"/>
        </w:rPr>
        <w:t>3</w:t>
      </w:r>
    </w:p>
    <w:p>
      <w:pPr>
        <w:pStyle w:val="18"/>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_Toc21737_WPSOffice_Level2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一、收入支出总体情况说明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3</w:t>
      </w:r>
    </w:p>
    <w:p>
      <w:pPr>
        <w:pStyle w:val="18"/>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_Toc19535_WPSOffice_Level2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二、收入决算情况说明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4</w:t>
      </w:r>
    </w:p>
    <w:p>
      <w:pPr>
        <w:pStyle w:val="18"/>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_Toc19535_WPSOffice_Level2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三、支出决算情况说明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4</w:t>
      </w:r>
    </w:p>
    <w:p>
      <w:pPr>
        <w:pStyle w:val="18"/>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_Toc19535_WPSOffice_Level2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四、财政拨款收入支出决算</w:t>
      </w:r>
      <w:r>
        <w:rPr>
          <w:rFonts w:hint="eastAsia" w:ascii="仿宋" w:hAnsi="仿宋" w:eastAsia="仿宋" w:cs="仿宋"/>
          <w:bCs/>
          <w:color w:val="auto"/>
          <w:sz w:val="32"/>
          <w:szCs w:val="32"/>
          <w:lang w:val="en-US" w:eastAsia="zh-CN"/>
        </w:rPr>
        <w:t>总体</w:t>
      </w:r>
      <w:r>
        <w:rPr>
          <w:rFonts w:hint="eastAsia" w:ascii="仿宋" w:hAnsi="仿宋" w:eastAsia="仿宋" w:cs="仿宋"/>
          <w:bCs/>
          <w:color w:val="auto"/>
          <w:sz w:val="32"/>
          <w:szCs w:val="32"/>
        </w:rPr>
        <w:t>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4</w:t>
      </w:r>
    </w:p>
    <w:p>
      <w:pPr>
        <w:pStyle w:val="18"/>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_Toc19535_WPSOffice_Level2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五、一般公共预算财政拨款支出决算情况说明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5</w:t>
      </w:r>
    </w:p>
    <w:p>
      <w:pPr>
        <w:pStyle w:val="18"/>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_Toc19535_WPSOffice_Level2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六、一般公共预算财政拨款基本支出决算情况说明</w:t>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ab/>
      </w:r>
      <w:r>
        <w:rPr>
          <w:rFonts w:hint="eastAsia" w:ascii="仿宋" w:hAnsi="仿宋" w:eastAsia="仿宋" w:cs="仿宋"/>
          <w:color w:val="auto"/>
          <w:sz w:val="32"/>
          <w:szCs w:val="32"/>
        </w:rPr>
        <w:t>6</w:t>
      </w:r>
    </w:p>
    <w:p>
      <w:pPr>
        <w:pStyle w:val="18"/>
        <w:numPr>
          <w:ilvl w:val="0"/>
          <w:numId w:val="1"/>
        </w:numPr>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bCs/>
          <w:color w:val="auto"/>
          <w:sz w:val="32"/>
          <w:szCs w:val="32"/>
        </w:rPr>
        <w:t>政府性基金预算财政拨款支出决算情况说明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t>7</w:t>
      </w:r>
    </w:p>
    <w:p>
      <w:pPr>
        <w:pStyle w:val="18"/>
        <w:numPr>
          <w:ilvl w:val="0"/>
          <w:numId w:val="1"/>
        </w:numPr>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bCs/>
          <w:color w:val="auto"/>
          <w:sz w:val="32"/>
          <w:szCs w:val="32"/>
        </w:rPr>
        <w:t>国有资本经营预算财政拨款支出决算情况说明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t>8</w:t>
      </w:r>
    </w:p>
    <w:p>
      <w:pPr>
        <w:pStyle w:val="18"/>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_Toc19535_WPSOffice_Level2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九、财政拨款“三公”经费支出决算情况说明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9</w:t>
      </w:r>
    </w:p>
    <w:p>
      <w:pPr>
        <w:pStyle w:val="18"/>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_Toc19535_WPSOffice_Level2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十、预算绩效情况说明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11</w:t>
      </w:r>
    </w:p>
    <w:p>
      <w:pPr>
        <w:pStyle w:val="18"/>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bCs/>
          <w:color w:val="auto"/>
          <w:sz w:val="32"/>
          <w:szCs w:val="32"/>
        </w:rPr>
        <w:t>十一、其他重要事项情况说明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t>13</w:t>
      </w:r>
    </w:p>
    <w:p>
      <w:pPr>
        <w:pStyle w:val="17"/>
        <w:tabs>
          <w:tab w:val="right" w:leader="dot" w:pos="8306"/>
        </w:tabs>
        <w:spacing w:line="578" w:lineRule="exact"/>
        <w:rPr>
          <w:rFonts w:hint="eastAsia" w:ascii="黑体" w:hAnsi="ˎ̥"/>
          <w:b/>
          <w:color w:val="auto"/>
          <w:sz w:val="32"/>
          <w:szCs w:val="32"/>
        </w:rPr>
      </w:pPr>
      <w:r>
        <w:rPr>
          <w:color w:val="auto"/>
          <w:sz w:val="32"/>
          <w:szCs w:val="32"/>
        </w:rPr>
        <w:fldChar w:fldCharType="begin"/>
      </w:r>
      <w:r>
        <w:rPr>
          <w:color w:val="auto"/>
          <w:sz w:val="32"/>
          <w:szCs w:val="32"/>
        </w:rPr>
        <w:instrText xml:space="preserve"> HYPERLINK \l _Toc15425_WPSOffice_Level1 </w:instrText>
      </w:r>
      <w:r>
        <w:rPr>
          <w:color w:val="auto"/>
          <w:sz w:val="32"/>
          <w:szCs w:val="32"/>
        </w:rPr>
        <w:fldChar w:fldCharType="separate"/>
      </w:r>
      <w:r>
        <w:rPr>
          <w:rFonts w:hint="eastAsia" w:ascii="黑体" w:hAnsi="ˎ̥" w:eastAsia="黑体"/>
          <w:color w:val="auto"/>
          <w:sz w:val="32"/>
          <w:szCs w:val="32"/>
        </w:rPr>
        <w:t>第四部分  名词解释</w:t>
      </w:r>
      <w:r>
        <w:rPr>
          <w:color w:val="auto"/>
          <w:sz w:val="32"/>
          <w:szCs w:val="32"/>
        </w:rPr>
        <w:tab/>
      </w:r>
      <w:bookmarkStart w:id="1" w:name="_Toc15425_WPSOffice_Level1Page"/>
      <w:r>
        <w:rPr>
          <w:color w:val="auto"/>
          <w:sz w:val="32"/>
          <w:szCs w:val="32"/>
        </w:rPr>
        <w:t>1</w:t>
      </w:r>
      <w:bookmarkEnd w:id="1"/>
      <w:r>
        <w:rPr>
          <w:color w:val="auto"/>
          <w:sz w:val="32"/>
          <w:szCs w:val="32"/>
        </w:rPr>
        <w:fldChar w:fldCharType="end"/>
      </w:r>
      <w:bookmarkEnd w:id="0"/>
      <w:r>
        <w:rPr>
          <w:rFonts w:hint="eastAsia"/>
          <w:color w:val="auto"/>
          <w:sz w:val="32"/>
          <w:szCs w:val="32"/>
        </w:rPr>
        <w:t>5</w:t>
      </w:r>
    </w:p>
    <w:p>
      <w:pPr>
        <w:spacing w:line="578" w:lineRule="exact"/>
        <w:jc w:val="center"/>
        <w:rPr>
          <w:rFonts w:hint="eastAsia" w:ascii="黑体" w:hAnsi="ˎ̥" w:eastAsia="黑体"/>
          <w:color w:val="auto"/>
          <w:sz w:val="32"/>
          <w:szCs w:val="32"/>
        </w:rPr>
      </w:pPr>
      <w:bookmarkStart w:id="2" w:name="_Toc22941_WPSOffice_Level1"/>
      <w:bookmarkStart w:id="3" w:name="_Toc10720_WPSOffice_Level1"/>
      <w:bookmarkStart w:id="4" w:name="_Toc1704_WPSOffice_Level1"/>
      <w:bookmarkStart w:id="5" w:name="_Toc10049_WPSOffice_Level1"/>
      <w:bookmarkStart w:id="6" w:name="_Toc23465_WPSOffice_Level1"/>
      <w:bookmarkStart w:id="7" w:name="_Toc32433_WPSOffice_Level1"/>
      <w:bookmarkStart w:id="8" w:name="_Toc24238_WPSOffice_Level2"/>
      <w:bookmarkStart w:id="9" w:name="_Toc32622_WPSOffice_Level2"/>
      <w:bookmarkStart w:id="10" w:name="_Toc14159_WPSOffice_Level2"/>
      <w:bookmarkStart w:id="11" w:name="_Toc26580_WPSOffice_Level2"/>
      <w:bookmarkStart w:id="12" w:name="_Toc20205_WPSOffice_Level2"/>
      <w:bookmarkStart w:id="13" w:name="_Toc20274_WPSOffice_Level2"/>
      <w:r>
        <w:rPr>
          <w:rFonts w:hint="eastAsia" w:ascii="黑体" w:hAnsi="ˎ̥" w:eastAsia="黑体"/>
          <w:color w:val="auto"/>
          <w:sz w:val="32"/>
          <w:szCs w:val="32"/>
        </w:rPr>
        <w:t xml:space="preserve">第一部分  </w:t>
      </w:r>
      <w:bookmarkEnd w:id="2"/>
      <w:bookmarkEnd w:id="3"/>
      <w:bookmarkEnd w:id="4"/>
      <w:bookmarkEnd w:id="5"/>
      <w:bookmarkEnd w:id="6"/>
      <w:bookmarkEnd w:id="7"/>
      <w:r>
        <w:rPr>
          <w:rFonts w:hint="eastAsia" w:ascii="黑体" w:hAnsi="ˎ̥" w:eastAsia="黑体"/>
          <w:color w:val="auto"/>
          <w:sz w:val="32"/>
          <w:szCs w:val="32"/>
        </w:rPr>
        <w:t>基本情况</w:t>
      </w:r>
    </w:p>
    <w:p>
      <w:pPr>
        <w:spacing w:line="578" w:lineRule="exact"/>
        <w:ind w:firstLine="640" w:firstLineChars="200"/>
        <w:rPr>
          <w:rFonts w:hint="eastAsia" w:ascii="楷体" w:hAnsi="楷体" w:eastAsia="楷体" w:cs="楷体"/>
          <w:color w:val="auto"/>
          <w:sz w:val="32"/>
          <w:szCs w:val="32"/>
        </w:rPr>
      </w:pPr>
    </w:p>
    <w:bookmarkEnd w:id="8"/>
    <w:p>
      <w:pPr>
        <w:numPr>
          <w:ilvl w:val="0"/>
          <w:numId w:val="2"/>
        </w:numPr>
        <w:spacing w:line="578" w:lineRule="exact"/>
        <w:ind w:firstLine="640" w:firstLineChars="200"/>
        <w:rPr>
          <w:rFonts w:hint="eastAsia" w:ascii="黑体" w:hAnsi="黑体" w:eastAsia="黑体" w:cs="黑体"/>
          <w:color w:val="auto"/>
          <w:sz w:val="32"/>
          <w:szCs w:val="32"/>
        </w:rPr>
      </w:pPr>
      <w:r>
        <w:rPr>
          <w:rFonts w:hint="eastAsia" w:ascii="黑体" w:hAnsi="黑体" w:eastAsia="黑体" w:cs="黑体"/>
          <w:color w:val="auto"/>
          <w:sz w:val="32"/>
          <w:szCs w:val="32"/>
        </w:rPr>
        <w:t>单位职责</w:t>
      </w:r>
      <w:bookmarkEnd w:id="9"/>
      <w:bookmarkEnd w:id="10"/>
      <w:bookmarkEnd w:id="11"/>
      <w:bookmarkEnd w:id="12"/>
      <w:bookmarkEnd w:id="13"/>
    </w:p>
    <w:p>
      <w:pPr>
        <w:numPr>
          <w:ilvl w:val="0"/>
          <w:numId w:val="0"/>
        </w:numPr>
        <w:shd w:val="clear" w:color="auto" w:fill="FFFFFF"/>
        <w:wordWrap w:val="0"/>
        <w:spacing w:line="480" w:lineRule="auto"/>
        <w:ind w:firstLine="900" w:firstLineChars="300"/>
        <w:rPr>
          <w:rFonts w:hint="eastAsia" w:ascii="仿宋" w:hAnsi="仿宋" w:eastAsia="仿宋"/>
          <w:color w:val="auto"/>
          <w:sz w:val="30"/>
          <w:szCs w:val="30"/>
          <w:shd w:val="clear" w:color="auto" w:fill="FFFFFF"/>
        </w:rPr>
      </w:pPr>
      <w:bookmarkStart w:id="14" w:name="_Toc4833_WPSOffice_Level2"/>
      <w:bookmarkStart w:id="15" w:name="_Toc24059_WPSOffice_Level2"/>
      <w:bookmarkStart w:id="16" w:name="_Toc17796_WPSOffice_Level2"/>
      <w:bookmarkStart w:id="17" w:name="_Toc6572_WPSOffice_Level2"/>
      <w:bookmarkStart w:id="18" w:name="_Toc24474_WPSOffice_Level2"/>
      <w:r>
        <w:rPr>
          <w:rFonts w:hint="eastAsia" w:ascii="仿宋" w:hAnsi="仿宋" w:eastAsia="仿宋"/>
          <w:color w:val="auto"/>
          <w:sz w:val="30"/>
          <w:szCs w:val="30"/>
          <w:shd w:val="clear" w:color="auto" w:fill="FFFFFF"/>
          <w:lang w:eastAsia="zh-CN"/>
        </w:rPr>
        <w:t>（</w:t>
      </w:r>
      <w:r>
        <w:rPr>
          <w:rFonts w:hint="eastAsia" w:ascii="仿宋" w:hAnsi="仿宋" w:eastAsia="仿宋"/>
          <w:color w:val="auto"/>
          <w:sz w:val="30"/>
          <w:szCs w:val="30"/>
          <w:shd w:val="clear" w:color="auto" w:fill="FFFFFF"/>
          <w:lang w:val="en-US" w:eastAsia="zh-CN"/>
        </w:rPr>
        <w:t>一</w:t>
      </w:r>
      <w:r>
        <w:rPr>
          <w:rFonts w:hint="eastAsia" w:ascii="仿宋" w:hAnsi="仿宋" w:eastAsia="仿宋"/>
          <w:color w:val="auto"/>
          <w:sz w:val="30"/>
          <w:szCs w:val="30"/>
          <w:shd w:val="clear" w:color="auto" w:fill="FFFFFF"/>
          <w:lang w:eastAsia="zh-CN"/>
        </w:rPr>
        <w:t>）</w:t>
      </w:r>
      <w:r>
        <w:rPr>
          <w:rFonts w:hint="eastAsia" w:ascii="仿宋" w:hAnsi="仿宋" w:eastAsia="仿宋"/>
          <w:color w:val="auto"/>
          <w:sz w:val="30"/>
          <w:szCs w:val="30"/>
          <w:shd w:val="clear" w:color="auto" w:fill="FFFFFF"/>
        </w:rPr>
        <w:t>基本职能</w:t>
      </w:r>
    </w:p>
    <w:p>
      <w:pPr>
        <w:shd w:val="clear" w:color="auto" w:fill="FFFFFF"/>
        <w:wordWrap w:val="0"/>
        <w:spacing w:line="480" w:lineRule="auto"/>
        <w:ind w:firstLine="1050" w:firstLineChars="350"/>
        <w:rPr>
          <w:rFonts w:hint="eastAsia" w:ascii="仿宋" w:hAnsi="仿宋" w:eastAsia="仿宋"/>
          <w:color w:val="auto"/>
          <w:sz w:val="30"/>
          <w:szCs w:val="30"/>
          <w:shd w:val="clear" w:color="auto" w:fill="FFFFFF"/>
        </w:rPr>
      </w:pPr>
      <w:r>
        <w:rPr>
          <w:rFonts w:hint="eastAsia" w:ascii="仿宋" w:hAnsi="仿宋" w:eastAsia="仿宋"/>
          <w:color w:val="auto"/>
          <w:sz w:val="30"/>
          <w:szCs w:val="30"/>
          <w:shd w:val="clear" w:color="auto" w:fill="FFFFFF"/>
        </w:rPr>
        <w:t>1.认真贯彻执行党和国家的有关法律法规、方针、政策，</w:t>
      </w:r>
      <w:r>
        <w:rPr>
          <w:rFonts w:hint="eastAsia" w:ascii="仿宋" w:hAnsi="仿宋" w:eastAsia="仿宋"/>
          <w:color w:val="auto"/>
          <w:spacing w:val="15"/>
          <w:sz w:val="30"/>
          <w:szCs w:val="30"/>
          <w:shd w:val="clear" w:color="auto" w:fill="FFFFFF"/>
        </w:rPr>
        <w:t>坚持民主管理，依法办园，</w:t>
      </w:r>
      <w:r>
        <w:rPr>
          <w:rFonts w:hint="eastAsia" w:ascii="仿宋" w:hAnsi="仿宋" w:eastAsia="仿宋"/>
          <w:color w:val="auto"/>
          <w:sz w:val="30"/>
          <w:szCs w:val="30"/>
          <w:shd w:val="clear" w:color="auto" w:fill="FFFFFF"/>
        </w:rPr>
        <w:t>执行上级主管</w:t>
      </w:r>
      <w:r>
        <w:rPr>
          <w:rFonts w:hint="eastAsia" w:ascii="仿宋" w:hAnsi="仿宋" w:eastAsia="仿宋"/>
          <w:color w:val="auto"/>
          <w:sz w:val="30"/>
          <w:szCs w:val="30"/>
          <w:shd w:val="clear" w:color="auto" w:fill="FFFFFF"/>
          <w:lang w:eastAsia="zh-CN"/>
        </w:rPr>
        <w:t>单位</w:t>
      </w:r>
      <w:r>
        <w:rPr>
          <w:rFonts w:hint="eastAsia" w:ascii="仿宋" w:hAnsi="仿宋" w:eastAsia="仿宋"/>
          <w:color w:val="auto"/>
          <w:sz w:val="30"/>
          <w:szCs w:val="30"/>
          <w:shd w:val="clear" w:color="auto" w:fill="FFFFFF"/>
        </w:rPr>
        <w:t>的指示和决定。</w:t>
      </w:r>
    </w:p>
    <w:p>
      <w:pPr>
        <w:shd w:val="clear" w:color="auto" w:fill="FFFFFF"/>
        <w:wordWrap w:val="0"/>
        <w:spacing w:line="480" w:lineRule="auto"/>
        <w:ind w:firstLine="1050" w:firstLineChars="350"/>
        <w:rPr>
          <w:rFonts w:hint="eastAsia" w:ascii="仿宋" w:hAnsi="仿宋" w:eastAsia="仿宋"/>
          <w:color w:val="auto"/>
          <w:spacing w:val="15"/>
          <w:sz w:val="30"/>
          <w:szCs w:val="30"/>
          <w:shd w:val="clear" w:color="auto" w:fill="FFFFFF"/>
        </w:rPr>
      </w:pPr>
      <w:r>
        <w:rPr>
          <w:rFonts w:hint="eastAsia" w:ascii="仿宋" w:hAnsi="仿宋" w:eastAsia="仿宋"/>
          <w:color w:val="auto"/>
          <w:sz w:val="30"/>
          <w:szCs w:val="30"/>
          <w:shd w:val="clear" w:color="auto" w:fill="FFFFFF"/>
        </w:rPr>
        <w:t>2.实行保育和教育相结合的原则，</w:t>
      </w:r>
      <w:r>
        <w:rPr>
          <w:rFonts w:hint="eastAsia" w:ascii="仿宋" w:hAnsi="仿宋" w:eastAsia="仿宋"/>
          <w:color w:val="auto"/>
          <w:spacing w:val="15"/>
          <w:sz w:val="30"/>
          <w:szCs w:val="30"/>
          <w:shd w:val="clear" w:color="auto" w:fill="FFFFFF"/>
        </w:rPr>
        <w:t>对幼儿实施体、智、德、美诸方面全面发展的教育，促进其身心和谐发展。</w:t>
      </w:r>
    </w:p>
    <w:p>
      <w:pPr>
        <w:shd w:val="clear" w:color="auto" w:fill="FFFFFF"/>
        <w:wordWrap w:val="0"/>
        <w:spacing w:line="480" w:lineRule="auto"/>
        <w:ind w:firstLine="1050" w:firstLineChars="350"/>
        <w:rPr>
          <w:rFonts w:hint="eastAsia" w:ascii="仿宋" w:hAnsi="仿宋" w:eastAsia="仿宋"/>
          <w:color w:val="auto"/>
          <w:sz w:val="30"/>
          <w:szCs w:val="30"/>
          <w:shd w:val="clear" w:color="auto" w:fill="FFFFFF"/>
        </w:rPr>
      </w:pPr>
      <w:r>
        <w:rPr>
          <w:rFonts w:hint="eastAsia" w:ascii="仿宋" w:hAnsi="仿宋" w:eastAsia="仿宋"/>
          <w:color w:val="auto"/>
          <w:sz w:val="30"/>
          <w:szCs w:val="30"/>
          <w:shd w:val="clear" w:color="auto" w:fill="FFFFFF"/>
        </w:rPr>
        <w:t>3.尊重儿童的人格尊严和基本权利，尊重儿童身心发展的特点和规律，为儿童提供健康、丰富的生活和活动环境。</w:t>
      </w:r>
    </w:p>
    <w:p>
      <w:pPr>
        <w:shd w:val="clear" w:color="auto" w:fill="FFFFFF"/>
        <w:wordWrap w:val="0"/>
        <w:spacing w:line="480" w:lineRule="auto"/>
        <w:ind w:firstLine="1050" w:firstLineChars="350"/>
        <w:rPr>
          <w:rFonts w:hint="eastAsia" w:ascii="仿宋" w:hAnsi="仿宋" w:eastAsia="仿宋"/>
          <w:color w:val="auto"/>
          <w:sz w:val="30"/>
          <w:szCs w:val="30"/>
          <w:shd w:val="clear" w:color="auto" w:fill="FFFFFF"/>
        </w:rPr>
      </w:pPr>
      <w:r>
        <w:rPr>
          <w:rFonts w:hint="eastAsia" w:ascii="仿宋" w:hAnsi="仿宋" w:eastAsia="仿宋"/>
          <w:color w:val="auto"/>
          <w:sz w:val="30"/>
          <w:szCs w:val="30"/>
          <w:shd w:val="clear" w:color="auto" w:fill="FFFFFF"/>
        </w:rPr>
        <w:t>4.严格执行幼儿园安全、卫生保健制度，保证幼儿身心健康和生命安全。</w:t>
      </w:r>
    </w:p>
    <w:p>
      <w:pPr>
        <w:shd w:val="clear" w:color="auto" w:fill="FFFFFF"/>
        <w:wordWrap w:val="0"/>
        <w:spacing w:line="480" w:lineRule="auto"/>
        <w:ind w:firstLine="1050" w:firstLineChars="350"/>
        <w:rPr>
          <w:rFonts w:hint="eastAsia" w:ascii="仿宋" w:hAnsi="仿宋" w:eastAsia="仿宋"/>
          <w:color w:val="auto"/>
          <w:sz w:val="30"/>
          <w:szCs w:val="30"/>
          <w:shd w:val="clear" w:color="auto" w:fill="FFFFFF"/>
        </w:rPr>
      </w:pPr>
      <w:r>
        <w:rPr>
          <w:rFonts w:hint="eastAsia" w:ascii="仿宋" w:hAnsi="仿宋" w:eastAsia="仿宋"/>
          <w:color w:val="auto"/>
          <w:sz w:val="30"/>
          <w:szCs w:val="30"/>
          <w:shd w:val="clear" w:color="auto" w:fill="FFFFFF"/>
        </w:rPr>
        <w:t>5.充分利用幼儿和社区的资源优势，面向家长开展多种形式的早期教育宣传、指导等服务，促进家庭教育质量的不断提高。</w:t>
      </w:r>
    </w:p>
    <w:p>
      <w:pPr>
        <w:spacing w:after="100" w:afterAutospacing="1"/>
        <w:ind w:firstLine="1050" w:firstLineChars="350"/>
        <w:rPr>
          <w:rFonts w:hint="eastAsia"/>
          <w:color w:val="auto"/>
          <w:sz w:val="30"/>
          <w:szCs w:val="30"/>
          <w:shd w:val="clear" w:color="auto" w:fill="FFFFFF"/>
        </w:rPr>
      </w:pPr>
      <w:r>
        <w:rPr>
          <w:rFonts w:hint="eastAsia" w:ascii="仿宋" w:hAnsi="仿宋" w:eastAsia="仿宋"/>
          <w:color w:val="auto"/>
          <w:sz w:val="30"/>
          <w:szCs w:val="30"/>
          <w:shd w:val="clear" w:color="auto" w:fill="FFFFFF"/>
        </w:rPr>
        <w:t>6.贯彻幼儿教育法规、传播科学教育理念、开展教育科学研究、培训师资，发挥县示范性幼儿园的示范、辐射作用</w:t>
      </w:r>
      <w:r>
        <w:rPr>
          <w:rFonts w:hint="eastAsia"/>
          <w:color w:val="auto"/>
          <w:sz w:val="30"/>
          <w:szCs w:val="30"/>
          <w:shd w:val="clear" w:color="auto" w:fill="FFFFFF"/>
        </w:rPr>
        <w:t>。</w:t>
      </w:r>
    </w:p>
    <w:p>
      <w:pPr>
        <w:numPr>
          <w:ilvl w:val="0"/>
          <w:numId w:val="0"/>
        </w:numPr>
        <w:shd w:val="clear" w:color="auto" w:fill="FFFFFF"/>
        <w:wordWrap w:val="0"/>
        <w:spacing w:line="480" w:lineRule="auto"/>
        <w:ind w:firstLine="900" w:firstLineChars="300"/>
        <w:rPr>
          <w:rFonts w:hint="eastAsia" w:ascii="仿宋" w:hAnsi="仿宋" w:eastAsia="仿宋"/>
          <w:color w:val="auto"/>
          <w:sz w:val="30"/>
          <w:szCs w:val="30"/>
          <w:shd w:val="clear" w:color="auto" w:fill="FFFFFF"/>
        </w:rPr>
      </w:pPr>
      <w:r>
        <w:rPr>
          <w:rFonts w:hint="eastAsia" w:ascii="仿宋" w:hAnsi="仿宋" w:eastAsia="仿宋"/>
          <w:color w:val="auto"/>
          <w:sz w:val="30"/>
          <w:szCs w:val="30"/>
          <w:shd w:val="clear" w:color="auto" w:fill="FFFFFF"/>
          <w:lang w:eastAsia="zh-CN"/>
        </w:rPr>
        <w:t>（</w:t>
      </w:r>
      <w:r>
        <w:rPr>
          <w:rFonts w:hint="eastAsia" w:ascii="仿宋" w:hAnsi="仿宋" w:eastAsia="仿宋"/>
          <w:color w:val="auto"/>
          <w:sz w:val="30"/>
          <w:szCs w:val="30"/>
          <w:shd w:val="clear" w:color="auto" w:fill="FFFFFF"/>
          <w:lang w:val="en-US" w:eastAsia="zh-CN"/>
        </w:rPr>
        <w:t>二</w:t>
      </w:r>
      <w:r>
        <w:rPr>
          <w:rFonts w:hint="eastAsia" w:ascii="仿宋" w:hAnsi="仿宋" w:eastAsia="仿宋"/>
          <w:color w:val="auto"/>
          <w:sz w:val="30"/>
          <w:szCs w:val="30"/>
          <w:shd w:val="clear" w:color="auto" w:fill="FFFFFF"/>
          <w:lang w:eastAsia="zh-CN"/>
        </w:rPr>
        <w:t>）</w:t>
      </w:r>
      <w:r>
        <w:rPr>
          <w:rFonts w:hint="eastAsia" w:ascii="仿宋" w:hAnsi="仿宋" w:eastAsia="仿宋"/>
          <w:color w:val="auto"/>
          <w:sz w:val="30"/>
          <w:szCs w:val="30"/>
          <w:shd w:val="clear" w:color="auto" w:fill="FFFFFF"/>
        </w:rPr>
        <w:t>内设机构</w:t>
      </w:r>
    </w:p>
    <w:p>
      <w:pPr>
        <w:ind w:left="160" w:leftChars="76" w:firstLine="800" w:firstLineChars="250"/>
        <w:rPr>
          <w:rFonts w:hint="eastAsia" w:ascii="黑体" w:hAnsi="黑体" w:eastAsia="黑体" w:cs="黑体"/>
          <w:color w:val="auto"/>
          <w:sz w:val="32"/>
          <w:szCs w:val="32"/>
          <w:lang w:val="en-US" w:eastAsia="zh-CN"/>
        </w:rPr>
      </w:pPr>
      <w:r>
        <w:rPr>
          <w:rFonts w:hint="eastAsia" w:ascii="仿宋" w:hAnsi="仿宋" w:eastAsia="仿宋"/>
          <w:color w:val="auto"/>
          <w:sz w:val="32"/>
          <w:szCs w:val="32"/>
        </w:rPr>
        <w:t xml:space="preserve">屯昌县南坤镇黄岭幼儿园共有 </w:t>
      </w:r>
      <w:r>
        <w:rPr>
          <w:rFonts w:hint="eastAsia" w:ascii="仿宋" w:hAnsi="仿宋" w:eastAsia="仿宋"/>
          <w:color w:val="auto"/>
          <w:sz w:val="32"/>
          <w:szCs w:val="32"/>
          <w:lang w:val="en-US" w:eastAsia="zh-CN"/>
        </w:rPr>
        <w:t>21</w:t>
      </w:r>
      <w:r>
        <w:rPr>
          <w:rFonts w:hint="eastAsia" w:ascii="仿宋" w:hAnsi="仿宋" w:eastAsia="仿宋"/>
          <w:color w:val="auto"/>
          <w:sz w:val="32"/>
          <w:szCs w:val="32"/>
        </w:rPr>
        <w:t>人，其中事业编制人</w:t>
      </w:r>
      <w:r>
        <w:rPr>
          <w:rFonts w:hint="eastAsia" w:ascii="仿宋" w:hAnsi="仿宋" w:eastAsia="仿宋"/>
          <w:color w:val="auto"/>
          <w:sz w:val="32"/>
          <w:szCs w:val="32"/>
          <w:lang w:val="en-US" w:eastAsia="zh-CN"/>
        </w:rPr>
        <w:t>5</w:t>
      </w:r>
      <w:r>
        <w:rPr>
          <w:rFonts w:hint="eastAsia" w:ascii="仿宋" w:hAnsi="仿宋" w:eastAsia="仿宋"/>
          <w:color w:val="auto"/>
          <w:sz w:val="32"/>
          <w:szCs w:val="32"/>
        </w:rPr>
        <w:t>人。</w:t>
      </w:r>
      <w:r>
        <w:rPr>
          <w:rFonts w:hint="eastAsia" w:ascii="仿宋" w:hAnsi="仿宋" w:eastAsia="仿宋"/>
          <w:color w:val="auto"/>
          <w:sz w:val="32"/>
          <w:szCs w:val="32"/>
          <w:lang w:val="en-US" w:eastAsia="zh-CN"/>
        </w:rPr>
        <w:t>临聘教师5</w:t>
      </w:r>
      <w:r>
        <w:rPr>
          <w:rFonts w:hint="eastAsia" w:ascii="仿宋" w:hAnsi="仿宋" w:eastAsia="仿宋"/>
          <w:color w:val="auto"/>
          <w:sz w:val="32"/>
          <w:szCs w:val="32"/>
        </w:rPr>
        <w:t xml:space="preserve">名， </w:t>
      </w:r>
      <w:r>
        <w:rPr>
          <w:rFonts w:hint="eastAsia" w:ascii="仿宋" w:hAnsi="仿宋" w:eastAsia="仿宋"/>
          <w:color w:val="auto"/>
          <w:sz w:val="32"/>
          <w:szCs w:val="32"/>
          <w:lang w:val="en-US" w:eastAsia="zh-CN"/>
        </w:rPr>
        <w:t>保育员5名，后勤人员3名，</w:t>
      </w:r>
      <w:r>
        <w:rPr>
          <w:rFonts w:hint="eastAsia" w:ascii="仿宋" w:hAnsi="仿宋" w:eastAsia="仿宋"/>
          <w:color w:val="auto"/>
          <w:sz w:val="32"/>
          <w:szCs w:val="32"/>
        </w:rPr>
        <w:t>3名特岗教师。共有3名园长，一正二副。内设行政组织机构、食品安全组织机构、保健组、保教组、工会。</w:t>
      </w:r>
      <w:r>
        <w:rPr>
          <w:rFonts w:hint="eastAsia" w:ascii="黑体" w:eastAsia="黑体"/>
          <w:color w:val="auto"/>
          <w:sz w:val="32"/>
          <w:szCs w:val="32"/>
          <w:shd w:val="clear" w:color="auto" w:fill="FFFFFF"/>
        </w:rPr>
        <w:t xml:space="preserve"> </w:t>
      </w:r>
    </w:p>
    <w:p>
      <w:pPr>
        <w:spacing w:line="578" w:lineRule="exact"/>
        <w:ind w:firstLine="640" w:firstLineChars="200"/>
        <w:rPr>
          <w:rFonts w:hint="eastAsia" w:ascii="黑体" w:hAnsi="黑体" w:eastAsia="黑体" w:cs="黑体"/>
          <w:color w:val="auto"/>
          <w:sz w:val="32"/>
          <w:szCs w:val="32"/>
        </w:rPr>
      </w:pPr>
      <w:r>
        <w:rPr>
          <w:rFonts w:hint="eastAsia" w:ascii="黑体" w:hAnsi="黑体" w:eastAsia="黑体" w:cs="黑体"/>
          <w:color w:val="auto"/>
          <w:sz w:val="32"/>
          <w:szCs w:val="32"/>
        </w:rPr>
        <w:t>二、机构设置</w:t>
      </w:r>
      <w:bookmarkEnd w:id="14"/>
      <w:bookmarkEnd w:id="15"/>
      <w:bookmarkEnd w:id="16"/>
      <w:bookmarkEnd w:id="17"/>
      <w:bookmarkEnd w:id="18"/>
    </w:p>
    <w:p>
      <w:pPr>
        <w:spacing w:after="100" w:afterAutospacing="1"/>
        <w:ind w:firstLine="640" w:firstLineChars="200"/>
        <w:rPr>
          <w:rFonts w:hint="eastAsia" w:ascii="仿宋_GB2312" w:hAnsi="ˎ̥" w:eastAsia="仿宋_GB2312"/>
          <w:color w:val="auto"/>
          <w:sz w:val="32"/>
          <w:szCs w:val="32"/>
        </w:rPr>
      </w:pPr>
      <w:r>
        <w:rPr>
          <w:rFonts w:hint="eastAsia" w:ascii="仿宋_GB2312" w:hAnsi="ˎ̥" w:eastAsia="仿宋_GB2312"/>
          <w:color w:val="auto"/>
          <w:sz w:val="32"/>
          <w:szCs w:val="32"/>
        </w:rPr>
        <w:t>纳入</w:t>
      </w:r>
      <w:r>
        <w:rPr>
          <w:rFonts w:hint="eastAsia" w:ascii="仿宋_GB2312" w:hAnsi="ˎ̥" w:eastAsia="仿宋_GB2312"/>
          <w:color w:val="auto"/>
          <w:sz w:val="32"/>
          <w:szCs w:val="32"/>
          <w:lang w:val="en-US" w:eastAsia="zh-CN"/>
        </w:rPr>
        <w:t>屯昌县南坤镇黄岭幼儿园</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w:t>
      </w:r>
      <w:r>
        <w:rPr>
          <w:rFonts w:hint="eastAsia" w:ascii="仿宋_GB2312" w:hAnsi="ˎ̥" w:eastAsia="仿宋_GB2312"/>
          <w:color w:val="auto"/>
          <w:sz w:val="32"/>
          <w:szCs w:val="32"/>
          <w:lang w:val="en-US" w:eastAsia="zh-CN"/>
        </w:rPr>
        <w:t>单位</w:t>
      </w:r>
      <w:r>
        <w:rPr>
          <w:rFonts w:hint="eastAsia" w:ascii="仿宋_GB2312" w:hAnsi="ˎ̥" w:eastAsia="仿宋_GB2312"/>
          <w:color w:val="auto"/>
          <w:sz w:val="32"/>
          <w:szCs w:val="32"/>
        </w:rPr>
        <w:t>决算编制范围的二级预算单位包括：</w:t>
      </w:r>
    </w:p>
    <w:p>
      <w:pPr>
        <w:spacing w:line="578" w:lineRule="exact"/>
        <w:ind w:firstLine="640" w:firstLineChars="200"/>
        <w:rPr>
          <w:rFonts w:hint="eastAsia" w:ascii="方正楷体_GBK" w:hAnsi="方正楷体_GBK" w:eastAsia="方正楷体_GBK" w:cs="方正楷体_GBK"/>
          <w:color w:val="auto"/>
          <w:sz w:val="32"/>
          <w:szCs w:val="32"/>
        </w:rPr>
      </w:pPr>
      <w:bookmarkStart w:id="19" w:name="_Toc24421_WPSOffice_Level2"/>
      <w:bookmarkStart w:id="20" w:name="_Toc25738_WPSOffice_Level2"/>
      <w:r>
        <w:rPr>
          <w:rFonts w:hint="eastAsia" w:ascii="方正楷体_GBK" w:hAnsi="方正楷体_GBK" w:eastAsia="方正楷体_GBK" w:cs="方正楷体_GBK"/>
          <w:color w:val="auto"/>
          <w:sz w:val="32"/>
          <w:szCs w:val="32"/>
        </w:rPr>
        <w:t>（一）</w:t>
      </w:r>
      <w:r>
        <w:rPr>
          <w:rFonts w:hint="eastAsia" w:ascii="方正楷体_GBK" w:hAnsi="方正楷体_GBK" w:eastAsia="方正楷体_GBK" w:cs="方正楷体_GBK"/>
          <w:color w:val="auto"/>
          <w:sz w:val="32"/>
          <w:szCs w:val="32"/>
          <w:lang w:val="en-US" w:eastAsia="zh-CN"/>
        </w:rPr>
        <w:t>屯昌县南坤镇黄岭幼儿园单位</w:t>
      </w:r>
      <w:r>
        <w:rPr>
          <w:rFonts w:hint="eastAsia" w:ascii="方正楷体_GBK" w:hAnsi="方正楷体_GBK" w:eastAsia="方正楷体_GBK" w:cs="方正楷体_GBK"/>
          <w:color w:val="auto"/>
          <w:sz w:val="32"/>
          <w:szCs w:val="32"/>
        </w:rPr>
        <w:t>本级</w:t>
      </w:r>
      <w:bookmarkEnd w:id="19"/>
      <w:bookmarkEnd w:id="20"/>
    </w:p>
    <w:p>
      <w:pPr>
        <w:spacing w:before="100" w:beforeAutospacing="1" w:after="100" w:afterAutospacing="1"/>
        <w:ind w:firstLine="640" w:firstLineChars="200"/>
        <w:rPr>
          <w:rFonts w:hint="eastAsia" w:ascii="仿宋_GB2312" w:hAnsi="ˎ̥" w:eastAsia="仿宋_GB2312"/>
          <w:color w:val="auto"/>
          <w:sz w:val="32"/>
          <w:szCs w:val="32"/>
          <w:shd w:val="clear" w:color="auto" w:fill="FFFFFF"/>
        </w:rPr>
      </w:pPr>
      <w:bookmarkStart w:id="21" w:name="_Toc30690_WPSOffice_Level1"/>
      <w:bookmarkStart w:id="22" w:name="_Toc6234_WPSOffice_Level1"/>
      <w:bookmarkStart w:id="23" w:name="_Toc15521_WPSOffice_Level1"/>
      <w:bookmarkStart w:id="24" w:name="_Toc30451_WPSOffice_Level1"/>
      <w:bookmarkStart w:id="25" w:name="_Toc8164_WPSOffice_Level1"/>
      <w:bookmarkStart w:id="26" w:name="_Toc28253_WPSOffice_Level1"/>
      <w:bookmarkStart w:id="27" w:name="_Toc11518_WPSOffice_Level2"/>
      <w:bookmarkStart w:id="28" w:name="_Toc4029_WPSOffice_Level2"/>
      <w:bookmarkStart w:id="29" w:name="_Toc32472_WPSOffice_Level2"/>
      <w:bookmarkStart w:id="30" w:name="_Toc8867_WPSOffice_Level2"/>
      <w:bookmarkStart w:id="31" w:name="_Toc6211_WPSOffice_Level2"/>
      <w:bookmarkStart w:id="32" w:name="_Toc32695_WPSOffice_Level2"/>
      <w:r>
        <w:rPr>
          <w:rFonts w:hint="eastAsia" w:ascii="仿宋_GB2312" w:eastAsia="仿宋_GB2312"/>
          <w:color w:val="auto"/>
          <w:sz w:val="32"/>
          <w:szCs w:val="32"/>
        </w:rPr>
        <w:t>纳入</w:t>
      </w:r>
      <w:r>
        <w:rPr>
          <w:rFonts w:hint="eastAsia" w:ascii="仿宋_GB2312" w:hAnsi="ˎ̥" w:eastAsia="仿宋_GB2312"/>
          <w:color w:val="auto"/>
          <w:sz w:val="32"/>
          <w:szCs w:val="32"/>
          <w:shd w:val="clear" w:color="auto" w:fill="FFFFFF"/>
        </w:rPr>
        <w:t>屯昌县</w:t>
      </w:r>
      <w:r>
        <w:rPr>
          <w:rFonts w:hint="eastAsia" w:ascii="仿宋" w:hAnsi="仿宋" w:eastAsia="仿宋"/>
          <w:color w:val="auto"/>
          <w:sz w:val="32"/>
          <w:szCs w:val="32"/>
        </w:rPr>
        <w:t>南坤镇黄岭</w:t>
      </w:r>
      <w:r>
        <w:rPr>
          <w:rFonts w:hint="eastAsia" w:ascii="仿宋_GB2312" w:hAnsi="ˎ̥" w:eastAsia="仿宋_GB2312"/>
          <w:color w:val="auto"/>
          <w:sz w:val="32"/>
          <w:szCs w:val="32"/>
          <w:shd w:val="clear" w:color="auto" w:fill="FFFFFF"/>
        </w:rPr>
        <w:t>幼儿园</w:t>
      </w:r>
      <w:r>
        <w:rPr>
          <w:rFonts w:hint="eastAsia" w:ascii="仿宋_GB2312" w:eastAsia="仿宋_GB2312"/>
          <w:color w:val="auto"/>
          <w:sz w:val="32"/>
          <w:szCs w:val="32"/>
        </w:rPr>
        <w:t>202</w:t>
      </w:r>
      <w:r>
        <w:rPr>
          <w:rFonts w:hint="eastAsia" w:ascii="仿宋_GB2312" w:eastAsia="仿宋_GB2312"/>
          <w:color w:val="auto"/>
          <w:sz w:val="32"/>
          <w:szCs w:val="32"/>
          <w:lang w:val="en-US" w:eastAsia="zh-CN"/>
        </w:rPr>
        <w:t>4</w:t>
      </w:r>
      <w:r>
        <w:rPr>
          <w:rFonts w:hint="eastAsia" w:ascii="仿宋_GB2312" w:eastAsia="仿宋_GB2312"/>
          <w:color w:val="auto"/>
          <w:sz w:val="32"/>
          <w:szCs w:val="32"/>
        </w:rPr>
        <w:t>年</w:t>
      </w:r>
      <w:r>
        <w:rPr>
          <w:rFonts w:hint="eastAsia" w:ascii="仿宋_GB2312" w:eastAsia="仿宋_GB2312"/>
          <w:color w:val="auto"/>
          <w:sz w:val="32"/>
          <w:szCs w:val="32"/>
          <w:lang w:val="en-US" w:eastAsia="zh-CN"/>
        </w:rPr>
        <w:t>单位</w:t>
      </w:r>
      <w:r>
        <w:rPr>
          <w:rFonts w:hint="eastAsia" w:ascii="仿宋_GB2312" w:eastAsia="仿宋_GB2312"/>
          <w:color w:val="auto"/>
          <w:sz w:val="32"/>
          <w:szCs w:val="32"/>
        </w:rPr>
        <w:t>预算编制范围的二级预算单位包括：</w:t>
      </w:r>
      <w:r>
        <w:rPr>
          <w:rFonts w:hint="eastAsia" w:ascii="仿宋_GB2312" w:hAnsi="ˎ̥" w:eastAsia="仿宋_GB2312"/>
          <w:color w:val="auto"/>
          <w:sz w:val="32"/>
          <w:szCs w:val="32"/>
          <w:shd w:val="clear" w:color="auto" w:fill="FFFFFF"/>
        </w:rPr>
        <w:t>屯昌县</w:t>
      </w:r>
      <w:r>
        <w:rPr>
          <w:rFonts w:hint="eastAsia" w:ascii="仿宋" w:hAnsi="仿宋" w:eastAsia="仿宋"/>
          <w:color w:val="auto"/>
          <w:sz w:val="32"/>
          <w:szCs w:val="32"/>
        </w:rPr>
        <w:t>南坤镇黄岭</w:t>
      </w:r>
      <w:r>
        <w:rPr>
          <w:rFonts w:hint="eastAsia" w:ascii="仿宋_GB2312" w:hAnsi="ˎ̥" w:eastAsia="仿宋_GB2312"/>
          <w:color w:val="auto"/>
          <w:sz w:val="32"/>
          <w:szCs w:val="32"/>
          <w:shd w:val="clear" w:color="auto" w:fill="FFFFFF"/>
        </w:rPr>
        <w:t>幼儿园</w:t>
      </w:r>
      <w:r>
        <w:rPr>
          <w:rFonts w:hint="eastAsia" w:ascii="仿宋_GB2312" w:eastAsia="仿宋_GB2312"/>
          <w:color w:val="auto"/>
          <w:sz w:val="32"/>
          <w:szCs w:val="32"/>
        </w:rPr>
        <w:t>。</w:t>
      </w:r>
      <w:r>
        <w:rPr>
          <w:rFonts w:hint="eastAsia" w:ascii="仿宋_GB2312" w:hAnsi="ˎ̥" w:eastAsia="仿宋_GB2312"/>
          <w:color w:val="auto"/>
          <w:sz w:val="32"/>
          <w:szCs w:val="32"/>
          <w:shd w:val="clear" w:color="auto" w:fill="FFFFFF"/>
        </w:rPr>
        <w:t>没有下属单位。</w:t>
      </w:r>
    </w:p>
    <w:p>
      <w:pPr>
        <w:spacing w:line="578" w:lineRule="exact"/>
        <w:jc w:val="center"/>
        <w:rPr>
          <w:rFonts w:hint="eastAsia" w:ascii="黑体" w:hAnsi="ˎ̥" w:eastAsia="黑体"/>
          <w:color w:val="auto"/>
          <w:sz w:val="32"/>
          <w:szCs w:val="32"/>
        </w:rPr>
      </w:pPr>
    </w:p>
    <w:p>
      <w:pPr>
        <w:spacing w:line="578" w:lineRule="exact"/>
        <w:jc w:val="center"/>
        <w:rPr>
          <w:rFonts w:hint="eastAsia" w:ascii="黑体" w:hAnsi="ˎ̥" w:eastAsia="黑体"/>
          <w:color w:val="auto"/>
          <w:sz w:val="32"/>
          <w:szCs w:val="32"/>
        </w:rPr>
      </w:pPr>
      <w:r>
        <w:rPr>
          <w:rFonts w:hint="eastAsia" w:ascii="黑体" w:hAnsi="ˎ̥" w:eastAsia="黑体"/>
          <w:color w:val="auto"/>
          <w:sz w:val="32"/>
          <w:szCs w:val="32"/>
        </w:rPr>
        <w:t xml:space="preserve">第二部分  </w:t>
      </w:r>
      <w:r>
        <w:rPr>
          <w:rFonts w:hint="default" w:ascii="黑体" w:hAnsi="ˎ̥" w:eastAsia="黑体"/>
          <w:color w:val="auto"/>
          <w:sz w:val="32"/>
          <w:szCs w:val="32"/>
          <w:lang w:val="en-US"/>
        </w:rPr>
        <w:t>2024</w:t>
      </w:r>
      <w:r>
        <w:rPr>
          <w:rFonts w:hint="eastAsia" w:ascii="黑体" w:hAnsi="ˎ̥" w:eastAsia="黑体"/>
          <w:color w:val="auto"/>
          <w:sz w:val="32"/>
          <w:szCs w:val="32"/>
        </w:rPr>
        <w:t>年度</w:t>
      </w:r>
      <w:r>
        <w:rPr>
          <w:rFonts w:hint="eastAsia" w:ascii="黑体" w:hAnsi="ˎ̥" w:eastAsia="黑体"/>
          <w:color w:val="auto"/>
          <w:sz w:val="32"/>
          <w:szCs w:val="32"/>
          <w:lang w:val="en-US" w:eastAsia="zh-CN"/>
        </w:rPr>
        <w:t>单位</w:t>
      </w:r>
      <w:r>
        <w:rPr>
          <w:rFonts w:hint="eastAsia" w:ascii="黑体" w:hAnsi="ˎ̥" w:eastAsia="黑体"/>
          <w:color w:val="auto"/>
          <w:sz w:val="32"/>
          <w:szCs w:val="32"/>
        </w:rPr>
        <w:t>决算公开报表</w:t>
      </w:r>
      <w:bookmarkEnd w:id="21"/>
      <w:bookmarkEnd w:id="22"/>
      <w:bookmarkEnd w:id="23"/>
      <w:bookmarkEnd w:id="24"/>
      <w:bookmarkEnd w:id="25"/>
      <w:bookmarkEnd w:id="26"/>
    </w:p>
    <w:p>
      <w:pPr>
        <w:spacing w:line="578" w:lineRule="exact"/>
        <w:ind w:firstLine="645"/>
        <w:rPr>
          <w:rFonts w:hint="eastAsia" w:ascii="黑体" w:hAnsi="黑体" w:eastAsia="黑体" w:cs="黑体"/>
          <w:color w:val="auto"/>
          <w:sz w:val="32"/>
          <w:szCs w:val="32"/>
        </w:rPr>
      </w:pPr>
    </w:p>
    <w:p>
      <w:pPr>
        <w:spacing w:line="578" w:lineRule="exact"/>
        <w:ind w:firstLine="645"/>
        <w:rPr>
          <w:rFonts w:hint="eastAsia" w:ascii="黑体" w:hAnsi="黑体" w:eastAsia="黑体" w:cs="黑体"/>
          <w:color w:val="auto"/>
          <w:sz w:val="32"/>
          <w:szCs w:val="32"/>
        </w:rPr>
      </w:pPr>
      <w:r>
        <w:rPr>
          <w:rFonts w:hint="eastAsia" w:ascii="黑体" w:hAnsi="黑体" w:eastAsia="黑体" w:cs="黑体"/>
          <w:color w:val="auto"/>
          <w:sz w:val="32"/>
          <w:szCs w:val="32"/>
        </w:rPr>
        <w:t>一、收入支出决算公开表</w:t>
      </w:r>
      <w:bookmarkEnd w:id="27"/>
      <w:bookmarkEnd w:id="28"/>
      <w:bookmarkEnd w:id="29"/>
      <w:bookmarkEnd w:id="30"/>
      <w:bookmarkEnd w:id="31"/>
      <w:bookmarkEnd w:id="32"/>
    </w:p>
    <w:p>
      <w:pPr>
        <w:spacing w:line="578" w:lineRule="exact"/>
        <w:ind w:firstLine="645"/>
        <w:rPr>
          <w:rFonts w:hint="eastAsia" w:ascii="黑体" w:hAnsi="黑体" w:eastAsia="黑体" w:cs="黑体"/>
          <w:color w:val="auto"/>
          <w:sz w:val="32"/>
          <w:szCs w:val="32"/>
        </w:rPr>
      </w:pPr>
      <w:bookmarkStart w:id="33" w:name="_Toc23139_WPSOffice_Level2"/>
      <w:bookmarkStart w:id="34" w:name="_Toc28622_WPSOffice_Level2"/>
      <w:bookmarkStart w:id="35" w:name="_Toc14349_WPSOffice_Level2"/>
      <w:bookmarkStart w:id="36" w:name="_Toc26621_WPSOffice_Level2"/>
      <w:bookmarkStart w:id="37" w:name="_Toc30334_WPSOffice_Level2"/>
      <w:bookmarkStart w:id="38" w:name="_Toc25608_WPSOffice_Level2"/>
      <w:r>
        <w:rPr>
          <w:rFonts w:hint="eastAsia" w:ascii="黑体" w:hAnsi="黑体" w:eastAsia="黑体" w:cs="黑体"/>
          <w:color w:val="auto"/>
          <w:sz w:val="32"/>
          <w:szCs w:val="32"/>
        </w:rPr>
        <w:t>二、收入决算公开表</w:t>
      </w:r>
      <w:bookmarkEnd w:id="33"/>
      <w:bookmarkEnd w:id="34"/>
      <w:bookmarkEnd w:id="35"/>
      <w:bookmarkEnd w:id="36"/>
      <w:bookmarkEnd w:id="37"/>
      <w:bookmarkEnd w:id="38"/>
      <w:bookmarkStart w:id="39" w:name="_Toc14658_WPSOffice_Level2"/>
      <w:bookmarkStart w:id="40" w:name="_Toc5489_WPSOffice_Level2"/>
      <w:bookmarkStart w:id="41" w:name="_Toc13854_WPSOffice_Level2"/>
      <w:bookmarkStart w:id="42" w:name="_Toc17858_WPSOffice_Level2"/>
      <w:bookmarkStart w:id="43" w:name="_Toc3262_WPSOffice_Level2"/>
      <w:bookmarkStart w:id="44" w:name="_Toc17626_WPSOffice_Level2"/>
    </w:p>
    <w:p>
      <w:pPr>
        <w:spacing w:line="578" w:lineRule="exact"/>
        <w:ind w:firstLine="645"/>
        <w:rPr>
          <w:rFonts w:hint="eastAsia" w:ascii="黑体" w:hAnsi="黑体" w:eastAsia="黑体" w:cs="黑体"/>
          <w:color w:val="auto"/>
          <w:sz w:val="32"/>
          <w:szCs w:val="32"/>
        </w:rPr>
      </w:pPr>
      <w:r>
        <w:rPr>
          <w:rFonts w:hint="eastAsia" w:ascii="黑体" w:hAnsi="黑体" w:eastAsia="黑体" w:cs="黑体"/>
          <w:color w:val="auto"/>
          <w:sz w:val="32"/>
          <w:szCs w:val="32"/>
        </w:rPr>
        <w:t>三、支出决算公开表</w:t>
      </w:r>
      <w:bookmarkEnd w:id="39"/>
      <w:bookmarkEnd w:id="40"/>
      <w:bookmarkEnd w:id="41"/>
      <w:bookmarkEnd w:id="42"/>
      <w:bookmarkEnd w:id="43"/>
      <w:bookmarkEnd w:id="44"/>
      <w:bookmarkStart w:id="45" w:name="_Toc21415_WPSOffice_Level2"/>
      <w:bookmarkStart w:id="46" w:name="_Toc23591_WPSOffice_Level2"/>
      <w:bookmarkStart w:id="47" w:name="_Toc13701_WPSOffice_Level2"/>
      <w:bookmarkStart w:id="48" w:name="_Toc23493_WPSOffice_Level2"/>
      <w:bookmarkStart w:id="49" w:name="_Toc7988_WPSOffice_Level2"/>
      <w:bookmarkStart w:id="50" w:name="_Toc4265_WPSOffice_Level2"/>
    </w:p>
    <w:p>
      <w:pPr>
        <w:spacing w:line="578" w:lineRule="exact"/>
        <w:ind w:firstLine="645"/>
        <w:rPr>
          <w:rFonts w:hint="eastAsia" w:ascii="黑体" w:hAnsi="黑体" w:eastAsia="黑体" w:cs="黑体"/>
          <w:color w:val="auto"/>
          <w:sz w:val="32"/>
          <w:szCs w:val="32"/>
        </w:rPr>
      </w:pPr>
      <w:r>
        <w:rPr>
          <w:rFonts w:hint="eastAsia" w:ascii="黑体" w:hAnsi="黑体" w:eastAsia="黑体" w:cs="黑体"/>
          <w:color w:val="auto"/>
          <w:sz w:val="32"/>
          <w:szCs w:val="32"/>
        </w:rPr>
        <w:t>四、财政拨款收入支出决算公开表</w:t>
      </w:r>
      <w:bookmarkEnd w:id="45"/>
      <w:bookmarkEnd w:id="46"/>
      <w:bookmarkEnd w:id="47"/>
      <w:bookmarkEnd w:id="48"/>
      <w:bookmarkEnd w:id="49"/>
      <w:bookmarkEnd w:id="50"/>
    </w:p>
    <w:p>
      <w:pPr>
        <w:spacing w:line="578" w:lineRule="exact"/>
        <w:ind w:firstLine="645"/>
        <w:rPr>
          <w:rFonts w:hint="eastAsia" w:ascii="黑体" w:hAnsi="黑体" w:eastAsia="黑体" w:cs="黑体"/>
          <w:color w:val="auto"/>
          <w:sz w:val="32"/>
          <w:szCs w:val="32"/>
        </w:rPr>
      </w:pPr>
      <w:bookmarkStart w:id="51" w:name="_Toc22783_WPSOffice_Level2"/>
      <w:bookmarkStart w:id="52" w:name="_Toc25166_WPSOffice_Level2"/>
      <w:bookmarkStart w:id="53" w:name="_Toc23829_WPSOffice_Level2"/>
      <w:bookmarkStart w:id="54" w:name="_Toc7879_WPSOffice_Level2"/>
      <w:bookmarkStart w:id="55" w:name="_Toc2158_WPSOffice_Level2"/>
      <w:bookmarkStart w:id="56" w:name="_Toc13516_WPSOffice_Level2"/>
      <w:r>
        <w:rPr>
          <w:rFonts w:hint="eastAsia" w:ascii="黑体" w:hAnsi="黑体" w:eastAsia="黑体" w:cs="黑体"/>
          <w:color w:val="auto"/>
          <w:sz w:val="32"/>
          <w:szCs w:val="32"/>
        </w:rPr>
        <w:t>五、一般公共预算财政拨款收入支出决算</w:t>
      </w:r>
      <w:bookmarkEnd w:id="51"/>
      <w:bookmarkEnd w:id="52"/>
      <w:bookmarkEnd w:id="53"/>
      <w:bookmarkEnd w:id="54"/>
      <w:r>
        <w:rPr>
          <w:rFonts w:hint="eastAsia" w:ascii="黑体" w:hAnsi="黑体" w:eastAsia="黑体" w:cs="黑体"/>
          <w:color w:val="auto"/>
          <w:sz w:val="32"/>
          <w:szCs w:val="32"/>
        </w:rPr>
        <w:t>公开表</w:t>
      </w:r>
      <w:bookmarkEnd w:id="55"/>
      <w:bookmarkEnd w:id="56"/>
      <w:bookmarkStart w:id="57" w:name="_Toc17833_WPSOffice_Level2"/>
      <w:bookmarkStart w:id="58" w:name="_Toc25362_WPSOffice_Level2"/>
      <w:bookmarkStart w:id="59" w:name="_Toc5343_WPSOffice_Level2"/>
      <w:bookmarkStart w:id="60" w:name="_Toc2632_WPSOffice_Level2"/>
      <w:bookmarkStart w:id="61" w:name="_Toc8373_WPSOffice_Level2"/>
      <w:bookmarkStart w:id="62" w:name="_Toc17283_WPSOffice_Level2"/>
    </w:p>
    <w:p>
      <w:pPr>
        <w:spacing w:line="578" w:lineRule="exact"/>
        <w:ind w:firstLine="645"/>
        <w:rPr>
          <w:rFonts w:hint="eastAsia" w:ascii="黑体" w:hAnsi="黑体" w:eastAsia="黑体" w:cs="黑体"/>
          <w:color w:val="auto"/>
          <w:sz w:val="32"/>
          <w:szCs w:val="32"/>
        </w:rPr>
      </w:pPr>
      <w:r>
        <w:rPr>
          <w:rFonts w:hint="eastAsia" w:ascii="黑体" w:hAnsi="黑体" w:eastAsia="黑体" w:cs="黑体"/>
          <w:color w:val="auto"/>
          <w:sz w:val="32"/>
          <w:szCs w:val="32"/>
        </w:rPr>
        <w:t>六、一般公共预算财政拨款基本支出决算</w:t>
      </w:r>
      <w:bookmarkEnd w:id="57"/>
      <w:bookmarkEnd w:id="58"/>
      <w:bookmarkEnd w:id="59"/>
      <w:bookmarkEnd w:id="60"/>
      <w:bookmarkEnd w:id="61"/>
      <w:bookmarkEnd w:id="62"/>
      <w:r>
        <w:rPr>
          <w:rFonts w:hint="eastAsia" w:ascii="黑体" w:hAnsi="黑体" w:eastAsia="黑体" w:cs="黑体"/>
          <w:color w:val="auto"/>
          <w:sz w:val="32"/>
          <w:szCs w:val="32"/>
        </w:rPr>
        <w:t>公开表</w:t>
      </w:r>
    </w:p>
    <w:p>
      <w:pPr>
        <w:spacing w:line="578" w:lineRule="exact"/>
        <w:ind w:left="1118" w:leftChars="304" w:hanging="480" w:hangingChars="150"/>
        <w:rPr>
          <w:rFonts w:hint="eastAsia" w:ascii="黑体" w:hAnsi="黑体" w:eastAsia="黑体" w:cs="黑体"/>
          <w:color w:val="auto"/>
          <w:sz w:val="32"/>
          <w:szCs w:val="32"/>
        </w:rPr>
      </w:pPr>
      <w:bookmarkStart w:id="63" w:name="_Toc5594_WPSOffice_Level2"/>
      <w:bookmarkStart w:id="64" w:name="_Toc1533_WPSOffice_Level2"/>
      <w:bookmarkStart w:id="65" w:name="_Toc11799_WPSOffice_Level2"/>
      <w:bookmarkStart w:id="66" w:name="_Toc6020_WPSOffice_Level2"/>
      <w:bookmarkStart w:id="67" w:name="_Toc21310_WPSOffice_Level2"/>
      <w:bookmarkStart w:id="68" w:name="_Toc13345_WPSOffice_Level2"/>
      <w:r>
        <w:rPr>
          <w:rFonts w:hint="eastAsia" w:ascii="黑体" w:hAnsi="黑体" w:eastAsia="黑体" w:cs="黑体"/>
          <w:color w:val="auto"/>
          <w:sz w:val="32"/>
          <w:szCs w:val="32"/>
        </w:rPr>
        <w:t>七、政府性基金预算财政拨款收入支出决算</w:t>
      </w:r>
      <w:bookmarkEnd w:id="63"/>
      <w:bookmarkEnd w:id="64"/>
      <w:bookmarkEnd w:id="65"/>
      <w:bookmarkEnd w:id="66"/>
      <w:bookmarkEnd w:id="67"/>
      <w:bookmarkEnd w:id="68"/>
      <w:r>
        <w:rPr>
          <w:rFonts w:hint="eastAsia" w:ascii="黑体" w:hAnsi="黑体" w:eastAsia="黑体" w:cs="黑体"/>
          <w:color w:val="auto"/>
          <w:sz w:val="32"/>
          <w:szCs w:val="32"/>
        </w:rPr>
        <w:t>公开表</w:t>
      </w:r>
    </w:p>
    <w:p>
      <w:pPr>
        <w:spacing w:line="578" w:lineRule="exact"/>
        <w:ind w:left="1118" w:leftChars="304" w:hanging="480" w:hangingChars="150"/>
        <w:rPr>
          <w:rFonts w:hint="eastAsia" w:ascii="黑体" w:hAnsi="黑体" w:eastAsia="黑体" w:cs="黑体"/>
          <w:color w:val="auto"/>
          <w:sz w:val="32"/>
          <w:szCs w:val="32"/>
        </w:rPr>
      </w:pPr>
      <w:r>
        <w:rPr>
          <w:rFonts w:hint="eastAsia" w:ascii="黑体" w:hAnsi="黑体" w:eastAsia="黑体" w:cs="黑体"/>
          <w:color w:val="auto"/>
          <w:sz w:val="32"/>
          <w:szCs w:val="32"/>
        </w:rPr>
        <w:t>八、国有资本经营预算财政拨款收入支出决算公开表</w:t>
      </w:r>
    </w:p>
    <w:p>
      <w:pPr>
        <w:spacing w:line="578" w:lineRule="exact"/>
        <w:ind w:firstLine="640"/>
        <w:rPr>
          <w:rFonts w:hint="eastAsia" w:ascii="黑体" w:hAnsi="黑体" w:eastAsia="黑体" w:cs="黑体"/>
          <w:color w:val="auto"/>
          <w:sz w:val="32"/>
          <w:szCs w:val="32"/>
        </w:rPr>
      </w:pPr>
      <w:bookmarkStart w:id="69" w:name="_Toc1820_WPSOffice_Level2"/>
      <w:bookmarkStart w:id="70" w:name="_Toc29886_WPSOffice_Level2"/>
      <w:bookmarkStart w:id="71" w:name="_Toc19961_WPSOffice_Level2"/>
      <w:bookmarkStart w:id="72" w:name="_Toc9377_WPSOffice_Level2"/>
      <w:r>
        <w:rPr>
          <w:rFonts w:hint="eastAsia" w:ascii="黑体" w:hAnsi="黑体" w:eastAsia="黑体" w:cs="黑体"/>
          <w:color w:val="auto"/>
          <w:sz w:val="32"/>
          <w:szCs w:val="32"/>
        </w:rPr>
        <w:t>九、财政拨款“三公”经费支出决算</w:t>
      </w:r>
      <w:bookmarkEnd w:id="69"/>
      <w:bookmarkEnd w:id="70"/>
      <w:bookmarkEnd w:id="71"/>
      <w:bookmarkEnd w:id="72"/>
      <w:r>
        <w:rPr>
          <w:rFonts w:hint="eastAsia" w:ascii="黑体" w:hAnsi="黑体" w:eastAsia="黑体" w:cs="黑体"/>
          <w:color w:val="auto"/>
          <w:sz w:val="32"/>
          <w:szCs w:val="32"/>
        </w:rPr>
        <w:t>公开表</w:t>
      </w:r>
    </w:p>
    <w:p>
      <w:pPr>
        <w:spacing w:line="578" w:lineRule="exact"/>
        <w:ind w:firstLine="640"/>
        <w:rPr>
          <w:rFonts w:hint="eastAsia" w:ascii="仿宋" w:hAnsi="仿宋" w:eastAsia="仿宋" w:cs="仿宋"/>
          <w:color w:val="auto"/>
          <w:w w:val="100"/>
          <w:sz w:val="32"/>
          <w:szCs w:val="32"/>
        </w:rPr>
      </w:pPr>
      <w:r>
        <w:rPr>
          <w:rFonts w:hint="eastAsia" w:ascii="仿宋" w:hAnsi="仿宋" w:eastAsia="仿宋" w:cs="仿宋"/>
          <w:color w:val="auto"/>
          <w:w w:val="100"/>
          <w:sz w:val="32"/>
          <w:szCs w:val="32"/>
        </w:rPr>
        <w:t xml:space="preserve">以上报表见附件1。   </w:t>
      </w:r>
    </w:p>
    <w:p>
      <w:pPr>
        <w:spacing w:line="578" w:lineRule="exact"/>
        <w:rPr>
          <w:rFonts w:hint="eastAsia" w:ascii="黑体" w:hAnsi="黑体" w:eastAsia="黑体" w:cs="黑体"/>
          <w:color w:val="auto"/>
          <w:sz w:val="32"/>
          <w:szCs w:val="32"/>
        </w:rPr>
      </w:pPr>
    </w:p>
    <w:p>
      <w:pPr>
        <w:spacing w:line="578" w:lineRule="exact"/>
        <w:jc w:val="center"/>
        <w:rPr>
          <w:rFonts w:hint="eastAsia" w:ascii="黑体" w:hAnsi="ˎ̥" w:eastAsia="黑体"/>
          <w:color w:val="auto"/>
          <w:sz w:val="32"/>
          <w:szCs w:val="32"/>
        </w:rPr>
      </w:pPr>
      <w:bookmarkStart w:id="73" w:name="_Toc16686_WPSOffice_Level1"/>
      <w:bookmarkStart w:id="74" w:name="_Toc28629_WPSOffice_Level1"/>
      <w:bookmarkStart w:id="75" w:name="_Toc4402_WPSOffice_Level1"/>
      <w:bookmarkStart w:id="76" w:name="_Toc31264_WPSOffice_Level1"/>
      <w:bookmarkStart w:id="77" w:name="_Toc27590_WPSOffice_Level1"/>
      <w:bookmarkStart w:id="78" w:name="_Toc29683_WPSOffice_Level1"/>
      <w:r>
        <w:rPr>
          <w:rFonts w:hint="eastAsia" w:ascii="黑体" w:hAnsi="ˎ̥" w:eastAsia="黑体"/>
          <w:color w:val="auto"/>
          <w:sz w:val="32"/>
          <w:szCs w:val="32"/>
        </w:rPr>
        <w:t xml:space="preserve">第三部分  </w:t>
      </w:r>
      <w:r>
        <w:rPr>
          <w:rFonts w:hint="default" w:ascii="黑体" w:hAnsi="ˎ̥" w:eastAsia="黑体"/>
          <w:color w:val="auto"/>
          <w:sz w:val="32"/>
          <w:szCs w:val="32"/>
          <w:lang w:val="en-US"/>
        </w:rPr>
        <w:t>2024</w:t>
      </w:r>
      <w:r>
        <w:rPr>
          <w:rFonts w:hint="eastAsia" w:ascii="黑体" w:hAnsi="ˎ̥" w:eastAsia="黑体"/>
          <w:color w:val="auto"/>
          <w:sz w:val="32"/>
          <w:szCs w:val="32"/>
        </w:rPr>
        <w:t>年度</w:t>
      </w:r>
      <w:r>
        <w:rPr>
          <w:rFonts w:hint="eastAsia" w:ascii="黑体" w:hAnsi="ˎ̥" w:eastAsia="黑体"/>
          <w:color w:val="auto"/>
          <w:sz w:val="32"/>
          <w:szCs w:val="32"/>
          <w:lang w:val="en-US" w:eastAsia="zh-CN"/>
        </w:rPr>
        <w:t>单位</w:t>
      </w:r>
      <w:r>
        <w:rPr>
          <w:rFonts w:hint="eastAsia" w:ascii="黑体" w:hAnsi="ˎ̥" w:eastAsia="黑体"/>
          <w:color w:val="auto"/>
          <w:sz w:val="32"/>
          <w:szCs w:val="32"/>
        </w:rPr>
        <w:t>决算情况说明</w:t>
      </w:r>
      <w:bookmarkEnd w:id="73"/>
      <w:bookmarkEnd w:id="74"/>
      <w:bookmarkEnd w:id="75"/>
      <w:bookmarkEnd w:id="76"/>
      <w:bookmarkEnd w:id="77"/>
      <w:bookmarkEnd w:id="78"/>
    </w:p>
    <w:p>
      <w:pPr>
        <w:spacing w:line="578" w:lineRule="exact"/>
        <w:jc w:val="center"/>
        <w:rPr>
          <w:rFonts w:hint="eastAsia" w:ascii="黑体" w:hAnsi="ˎ̥" w:eastAsia="黑体"/>
          <w:color w:val="auto"/>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rPr>
      </w:pPr>
      <w:r>
        <w:rPr>
          <w:rFonts w:hint="eastAsia" w:ascii="黑体" w:hAnsi="黑体" w:eastAsia="黑体" w:cs="黑体"/>
          <w:bCs/>
          <w:color w:val="auto"/>
          <w:sz w:val="32"/>
          <w:szCs w:val="32"/>
        </w:rPr>
        <w:t>一、收入支出总体情况说明</w:t>
      </w:r>
      <w:r>
        <w:rPr>
          <w:rFonts w:hint="eastAsia" w:ascii="黑体" w:hAnsi="黑体" w:eastAsia="黑体" w:cs="黑体"/>
          <w:bCs/>
          <w:color w:val="auto"/>
          <w:sz w:val="32"/>
          <w:szCs w:val="32"/>
        </w:rPr>
        <w:br w:type="textWrapping"/>
      </w:r>
      <w:r>
        <w:rPr>
          <w:rFonts w:hint="eastAsia" w:ascii="楷体_GB2312" w:hAnsi="ˎ̥" w:eastAsia="楷体_GB2312"/>
          <w:color w:val="auto"/>
          <w:sz w:val="32"/>
          <w:szCs w:val="32"/>
        </w:rPr>
        <w:t xml:space="preserve">    </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年度收入总计</w:t>
      </w:r>
      <w:r>
        <w:rPr>
          <w:rFonts w:hint="default" w:ascii="仿宋_GB2312" w:hAnsi="ˎ̥" w:eastAsia="仿宋_GB2312"/>
          <w:color w:val="auto"/>
          <w:sz w:val="32"/>
          <w:szCs w:val="32"/>
          <w:lang w:val="en-US"/>
        </w:rPr>
        <w:t>228.02</w:t>
      </w:r>
      <w:r>
        <w:rPr>
          <w:rFonts w:hint="eastAsia" w:ascii="仿宋_GB2312" w:hAnsi="ˎ̥" w:eastAsia="仿宋_GB2312"/>
          <w:color w:val="auto"/>
          <w:sz w:val="32"/>
          <w:szCs w:val="32"/>
        </w:rPr>
        <w:t>万元，支出总计</w:t>
      </w:r>
      <w:r>
        <w:rPr>
          <w:rFonts w:hint="default" w:ascii="仿宋_GB2312" w:hAnsi="ˎ̥" w:eastAsia="仿宋_GB2312"/>
          <w:color w:val="auto"/>
          <w:sz w:val="32"/>
          <w:szCs w:val="32"/>
          <w:lang w:val="en-US"/>
        </w:rPr>
        <w:t>228.02</w:t>
      </w:r>
      <w:r>
        <w:rPr>
          <w:rFonts w:hint="eastAsia" w:ascii="仿宋_GB2312" w:hAnsi="ˎ̥" w:eastAsia="仿宋_GB2312"/>
          <w:color w:val="auto"/>
          <w:sz w:val="32"/>
          <w:szCs w:val="32"/>
        </w:rPr>
        <w:t>万元，与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年度相比，收入、支出总计各减少</w:t>
      </w:r>
      <w:r>
        <w:rPr>
          <w:rFonts w:hint="eastAsia" w:ascii="仿宋_GB2312" w:hAnsi="ˎ̥" w:eastAsia="仿宋_GB2312"/>
          <w:color w:val="auto"/>
          <w:sz w:val="32"/>
          <w:szCs w:val="32"/>
          <w:lang w:val="en-US" w:eastAsia="zh-CN"/>
        </w:rPr>
        <w:t>50.7</w:t>
      </w:r>
      <w:r>
        <w:rPr>
          <w:rFonts w:hint="eastAsia" w:ascii="仿宋_GB2312" w:hAnsi="ˎ̥" w:eastAsia="仿宋_GB2312"/>
          <w:color w:val="auto"/>
          <w:sz w:val="32"/>
          <w:szCs w:val="32"/>
        </w:rPr>
        <w:t>万元，下降</w:t>
      </w:r>
      <w:r>
        <w:rPr>
          <w:rFonts w:hint="eastAsia" w:ascii="仿宋_GB2312" w:hAnsi="ˎ̥" w:eastAsia="仿宋_GB2312"/>
          <w:color w:val="auto"/>
          <w:sz w:val="32"/>
          <w:szCs w:val="32"/>
          <w:lang w:val="en-US" w:eastAsia="zh-CN"/>
        </w:rPr>
        <w:t>18.19</w:t>
      </w:r>
      <w:r>
        <w:rPr>
          <w:rFonts w:hint="eastAsia" w:ascii="仿宋_GB2312" w:hAnsi="ˎ̥" w:eastAsia="仿宋_GB2312"/>
          <w:color w:val="auto"/>
          <w:sz w:val="32"/>
          <w:szCs w:val="32"/>
        </w:rPr>
        <w:t>%。主要原因：一</w:t>
      </w:r>
      <w:r>
        <w:rPr>
          <w:rFonts w:hint="eastAsia" w:ascii="仿宋_GB2312" w:hAnsi="ˎ̥" w:eastAsia="仿宋_GB2312"/>
          <w:color w:val="auto"/>
          <w:sz w:val="32"/>
          <w:szCs w:val="32"/>
          <w:lang w:val="en-US" w:eastAsia="zh-CN"/>
        </w:rPr>
        <w:t>是幼儿人数减少</w:t>
      </w:r>
      <w:r>
        <w:rPr>
          <w:rFonts w:hint="eastAsia" w:ascii="仿宋_GB2312" w:hAnsi="ˎ̥" w:eastAsia="仿宋_GB2312"/>
          <w:color w:val="auto"/>
          <w:sz w:val="32"/>
          <w:szCs w:val="32"/>
        </w:rPr>
        <w:t>；二是</w:t>
      </w:r>
      <w:r>
        <w:rPr>
          <w:rFonts w:hint="eastAsia" w:ascii="仿宋_GB2312" w:hAnsi="ˎ̥" w:eastAsia="仿宋_GB2312"/>
          <w:color w:val="auto"/>
          <w:sz w:val="32"/>
          <w:szCs w:val="32"/>
          <w:lang w:val="en-US" w:eastAsia="zh-CN"/>
        </w:rPr>
        <w:t>教师人数减少</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color w:val="auto"/>
          <w:sz w:val="32"/>
          <w:szCs w:val="32"/>
        </w:rPr>
      </w:pPr>
      <w:r>
        <w:rPr>
          <w:rFonts w:hint="eastAsia" w:ascii="楷体" w:hAnsi="楷体" w:eastAsia="楷体" w:cs="楷体"/>
          <w:color w:val="auto"/>
          <w:sz w:val="32"/>
          <w:szCs w:val="32"/>
        </w:rPr>
        <w:t>（一</w:t>
      </w:r>
      <w:r>
        <w:rPr>
          <w:rFonts w:ascii="楷体" w:hAnsi="楷体" w:eastAsia="楷体" w:cs="楷体"/>
          <w:color w:val="auto"/>
          <w:sz w:val="32"/>
          <w:szCs w:val="32"/>
        </w:rPr>
        <w:t>）</w:t>
      </w:r>
      <w:r>
        <w:rPr>
          <w:rFonts w:hint="eastAsia" w:ascii="楷体" w:hAnsi="楷体" w:eastAsia="楷体" w:cs="楷体"/>
          <w:color w:val="auto"/>
          <w:sz w:val="32"/>
          <w:szCs w:val="32"/>
        </w:rPr>
        <w:t>收入</w:t>
      </w:r>
      <w:r>
        <w:rPr>
          <w:rFonts w:ascii="楷体" w:hAnsi="楷体" w:eastAsia="楷体" w:cs="楷体"/>
          <w:color w:val="auto"/>
          <w:sz w:val="32"/>
          <w:szCs w:val="32"/>
        </w:rPr>
        <w:t>总计</w:t>
      </w:r>
      <w:r>
        <w:rPr>
          <w:rFonts w:hint="eastAsia" w:ascii="楷体" w:hAnsi="楷体" w:eastAsia="楷体" w:cs="楷体"/>
          <w:color w:val="auto"/>
          <w:sz w:val="32"/>
          <w:szCs w:val="32"/>
        </w:rPr>
        <w:t>主要</w:t>
      </w:r>
      <w:r>
        <w:rPr>
          <w:rFonts w:ascii="楷体" w:hAnsi="楷体" w:eastAsia="楷体" w:cs="楷体"/>
          <w:color w:val="auto"/>
          <w:sz w:val="32"/>
          <w:szCs w:val="32"/>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rPr>
      </w:pPr>
      <w:r>
        <w:rPr>
          <w:rFonts w:hint="eastAsia" w:ascii="仿宋_GB2312" w:hAnsi="ˎ̥" w:eastAsia="仿宋_GB2312"/>
          <w:color w:val="auto"/>
          <w:sz w:val="32"/>
          <w:szCs w:val="32"/>
        </w:rPr>
        <w:t>本年</w:t>
      </w:r>
      <w:r>
        <w:rPr>
          <w:rFonts w:ascii="仿宋_GB2312" w:hAnsi="ˎ̥" w:eastAsia="仿宋_GB2312"/>
          <w:color w:val="auto"/>
          <w:sz w:val="32"/>
          <w:szCs w:val="32"/>
        </w:rPr>
        <w:t>收入</w:t>
      </w:r>
      <w:r>
        <w:rPr>
          <w:rFonts w:hint="default" w:ascii="仿宋_GB2312" w:hAnsi="ˎ̥" w:eastAsia="仿宋_GB2312"/>
          <w:color w:val="auto"/>
          <w:sz w:val="32"/>
          <w:szCs w:val="32"/>
          <w:lang w:val="en-US"/>
        </w:rPr>
        <w:t>228.02</w:t>
      </w:r>
      <w:r>
        <w:rPr>
          <w:rFonts w:hint="eastAsia" w:ascii="仿宋_GB2312" w:hAnsi="ˎ̥" w:eastAsia="仿宋_GB2312"/>
          <w:color w:val="auto"/>
          <w:sz w:val="32"/>
          <w:szCs w:val="32"/>
        </w:rPr>
        <w:t>万元。</w:t>
      </w:r>
    </w:p>
    <w:p>
      <w:pPr>
        <w:spacing w:line="578" w:lineRule="exact"/>
        <w:ind w:firstLine="640" w:firstLineChars="200"/>
        <w:rPr>
          <w:rFonts w:ascii="仿宋_GB2312" w:hAnsi="ˎ̥" w:eastAsia="仿宋_GB2312"/>
          <w:color w:val="auto"/>
          <w:sz w:val="32"/>
          <w:szCs w:val="32"/>
        </w:rPr>
      </w:pPr>
      <w:r>
        <w:rPr>
          <w:rFonts w:hint="eastAsia" w:ascii="仿宋_GB2312" w:hAnsi="ˎ̥" w:eastAsia="仿宋_GB2312"/>
          <w:color w:val="auto"/>
          <w:sz w:val="32"/>
          <w:szCs w:val="32"/>
        </w:rPr>
        <w:t>使用非财政拨款结余</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年度决算数增加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万元，主要原因</w:t>
      </w:r>
      <w:r>
        <w:rPr>
          <w:rFonts w:hint="eastAsia" w:ascii="仿宋_GB2312" w:hAnsi="ˎ̥" w:eastAsia="仿宋_GB2312"/>
          <w:color w:val="auto"/>
          <w:sz w:val="32"/>
          <w:szCs w:val="32"/>
          <w:lang w:val="en-US" w:eastAsia="zh-CN"/>
        </w:rPr>
        <w:t>利息结余</w:t>
      </w:r>
      <w:r>
        <w:rPr>
          <w:rFonts w:hint="eastAsia" w:ascii="仿宋_GB2312" w:hAnsi="ˎ̥" w:eastAsia="仿宋_GB2312"/>
          <w:color w:val="auto"/>
          <w:sz w:val="32"/>
          <w:szCs w:val="32"/>
        </w:rPr>
        <w:t>。</w:t>
      </w:r>
    </w:p>
    <w:p>
      <w:pPr>
        <w:spacing w:line="578" w:lineRule="exact"/>
        <w:ind w:firstLine="640" w:firstLineChars="200"/>
        <w:rPr>
          <w:rFonts w:ascii="仿宋_GB2312" w:hAnsi="ˎ̥" w:eastAsia="仿宋_GB2312"/>
          <w:color w:val="auto"/>
          <w:sz w:val="32"/>
          <w:szCs w:val="32"/>
        </w:rPr>
      </w:pPr>
      <w:r>
        <w:rPr>
          <w:rFonts w:hint="eastAsia" w:ascii="仿宋_GB2312" w:hAnsi="ˎ̥" w:eastAsia="仿宋_GB2312"/>
          <w:color w:val="auto"/>
          <w:sz w:val="32"/>
          <w:szCs w:val="32"/>
        </w:rPr>
        <w:t>年初结转结余</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万元，较202</w:t>
      </w:r>
      <w:r>
        <w:rPr>
          <w:rFonts w:hint="eastAsia" w:ascii="仿宋_GB2312" w:hAnsi="ˎ̥" w:eastAsia="仿宋_GB2312"/>
          <w:color w:val="auto"/>
          <w:sz w:val="32"/>
          <w:szCs w:val="32"/>
          <w:lang w:val="en-US" w:eastAsia="zh-CN"/>
        </w:rPr>
        <w:t>3</w:t>
      </w:r>
      <w:r>
        <w:rPr>
          <w:rFonts w:hint="eastAsia" w:ascii="仿宋_GB2312" w:hAnsi="ˎ̥" w:eastAsia="仿宋_GB2312"/>
          <w:color w:val="auto"/>
          <w:sz w:val="32"/>
          <w:szCs w:val="32"/>
        </w:rPr>
        <w:t>年度决算数增加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万元，增长（下降）</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lang w:eastAsia="zh-CN"/>
        </w:rPr>
      </w:pPr>
      <w:r>
        <w:rPr>
          <w:rFonts w:hint="eastAsia" w:ascii="楷体" w:hAnsi="楷体" w:eastAsia="楷体" w:cs="楷体"/>
          <w:color w:val="auto"/>
          <w:sz w:val="32"/>
          <w:szCs w:val="32"/>
        </w:rPr>
        <w:t>（二</w:t>
      </w:r>
      <w:r>
        <w:rPr>
          <w:rFonts w:ascii="楷体" w:hAnsi="楷体" w:eastAsia="楷体" w:cs="楷体"/>
          <w:color w:val="auto"/>
          <w:sz w:val="32"/>
          <w:szCs w:val="32"/>
        </w:rPr>
        <w:t>）</w:t>
      </w:r>
      <w:r>
        <w:rPr>
          <w:rFonts w:hint="eastAsia" w:ascii="楷体" w:hAnsi="楷体" w:eastAsia="楷体" w:cs="楷体"/>
          <w:color w:val="auto"/>
          <w:sz w:val="32"/>
          <w:szCs w:val="32"/>
        </w:rPr>
        <w:t>支出</w:t>
      </w:r>
      <w:r>
        <w:rPr>
          <w:rFonts w:ascii="楷体" w:hAnsi="楷体" w:eastAsia="楷体" w:cs="楷体"/>
          <w:color w:val="auto"/>
          <w:sz w:val="32"/>
          <w:szCs w:val="32"/>
        </w:rPr>
        <w:t>总计</w:t>
      </w:r>
      <w:r>
        <w:rPr>
          <w:rFonts w:hint="eastAsia" w:ascii="楷体" w:hAnsi="楷体" w:eastAsia="楷体" w:cs="楷体"/>
          <w:color w:val="auto"/>
          <w:sz w:val="32"/>
          <w:szCs w:val="32"/>
        </w:rPr>
        <w:t>主要</w:t>
      </w:r>
      <w:r>
        <w:rPr>
          <w:rFonts w:ascii="楷体" w:hAnsi="楷体" w:eastAsia="楷体" w:cs="楷体"/>
          <w:color w:val="auto"/>
          <w:sz w:val="32"/>
          <w:szCs w:val="32"/>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本年支出</w:t>
      </w:r>
      <w:r>
        <w:rPr>
          <w:rFonts w:hint="default" w:ascii="仿宋_GB2312" w:hAnsi="ˎ̥" w:eastAsia="仿宋_GB2312"/>
          <w:color w:val="auto"/>
          <w:sz w:val="32"/>
          <w:szCs w:val="32"/>
          <w:lang w:val="en-US"/>
        </w:rPr>
        <w:t>228.02</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结余分配</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万元，较202</w:t>
      </w:r>
      <w:r>
        <w:rPr>
          <w:rFonts w:hint="eastAsia" w:ascii="仿宋_GB2312" w:hAnsi="ˎ̥" w:eastAsia="仿宋_GB2312"/>
          <w:color w:val="auto"/>
          <w:sz w:val="32"/>
          <w:szCs w:val="32"/>
          <w:lang w:val="en-US" w:eastAsia="zh-CN"/>
        </w:rPr>
        <w:t>3</w:t>
      </w:r>
      <w:r>
        <w:rPr>
          <w:rFonts w:hint="eastAsia" w:ascii="仿宋_GB2312" w:hAnsi="ˎ̥" w:eastAsia="仿宋_GB2312"/>
          <w:color w:val="auto"/>
          <w:sz w:val="32"/>
          <w:szCs w:val="32"/>
        </w:rPr>
        <w:t>年度决算数增加0万元，增长0%。</w:t>
      </w:r>
    </w:p>
    <w:p>
      <w:pPr>
        <w:spacing w:line="578" w:lineRule="exact"/>
        <w:ind w:firstLine="640" w:firstLineChars="200"/>
        <w:rPr>
          <w:rFonts w:hint="eastAsia" w:ascii="仿宋_GB2312" w:hAnsi="ˎ̥" w:eastAsia="仿宋_GB2312"/>
          <w:color w:val="auto"/>
          <w:sz w:val="32"/>
          <w:szCs w:val="32"/>
        </w:rPr>
      </w:pPr>
      <w:r>
        <w:rPr>
          <w:rFonts w:hint="eastAsia" w:ascii="仿宋_GB2312" w:hAnsi="ˎ̥" w:eastAsia="仿宋_GB2312"/>
          <w:color w:val="auto"/>
          <w:sz w:val="32"/>
          <w:szCs w:val="32"/>
        </w:rPr>
        <w:t>年末结转结余</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万元，较202</w:t>
      </w:r>
      <w:r>
        <w:rPr>
          <w:rFonts w:ascii="仿宋_GB2312" w:hAnsi="ˎ̥" w:eastAsia="仿宋_GB2312"/>
          <w:color w:val="auto"/>
          <w:sz w:val="32"/>
          <w:szCs w:val="32"/>
        </w:rPr>
        <w:t>2</w:t>
      </w:r>
      <w:r>
        <w:rPr>
          <w:rFonts w:hint="eastAsia" w:ascii="仿宋_GB2312" w:hAnsi="ˎ̥" w:eastAsia="仿宋_GB2312"/>
          <w:color w:val="auto"/>
          <w:sz w:val="32"/>
          <w:szCs w:val="32"/>
        </w:rPr>
        <w:t>年度决算数增加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万元，增长（下降）</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 xml:space="preserve">   （注</w:t>
      </w:r>
      <w:r>
        <w:rPr>
          <w:rFonts w:ascii="仿宋_GB2312" w:hAnsi="ˎ̥" w:eastAsia="仿宋_GB2312"/>
          <w:color w:val="auto"/>
          <w:sz w:val="32"/>
          <w:szCs w:val="32"/>
        </w:rPr>
        <w:t>：</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年度相关决算数据可取自附件财决公开01、02</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lang w:val="en-US" w:eastAsia="zh-CN"/>
        </w:rPr>
        <w:t>03</w:t>
      </w:r>
      <w:r>
        <w:rPr>
          <w:rFonts w:hint="eastAsia" w:ascii="仿宋_GB2312" w:hAnsi="ˎ̥" w:eastAsia="仿宋_GB2312"/>
          <w:color w:val="auto"/>
          <w:sz w:val="32"/>
          <w:szCs w:val="32"/>
        </w:rPr>
        <w:t>表；</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年度相关决算数据可取自</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决算报表财决01表《收入支出决算总表》</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黑体" w:hAnsi="黑体" w:eastAsia="黑体" w:cs="黑体"/>
          <w:bCs/>
          <w:color w:val="auto"/>
          <w:sz w:val="32"/>
          <w:szCs w:val="32"/>
        </w:rPr>
        <w:t>二、收入决算情况说明</w:t>
      </w:r>
      <w:r>
        <w:rPr>
          <w:rFonts w:hint="eastAsia" w:ascii="黑体" w:hAnsi="黑体" w:eastAsia="黑体" w:cs="黑体"/>
          <w:bCs/>
          <w:color w:val="auto"/>
          <w:sz w:val="32"/>
          <w:szCs w:val="32"/>
        </w:rPr>
        <w:br w:type="textWrapping"/>
      </w:r>
      <w:r>
        <w:rPr>
          <w:rFonts w:hint="eastAsia" w:ascii="仿宋_GB2312" w:hAnsi="ˎ̥" w:eastAsia="仿宋_GB2312"/>
          <w:color w:val="auto"/>
          <w:sz w:val="32"/>
          <w:szCs w:val="32"/>
        </w:rPr>
        <w:t xml:space="preserve">    本年收入</w:t>
      </w:r>
      <w:r>
        <w:rPr>
          <w:rFonts w:hint="default" w:ascii="仿宋_GB2312" w:hAnsi="ˎ̥" w:eastAsia="仿宋_GB2312"/>
          <w:color w:val="auto"/>
          <w:sz w:val="32"/>
          <w:szCs w:val="32"/>
          <w:lang w:val="en-US"/>
        </w:rPr>
        <w:t>228.02</w:t>
      </w:r>
      <w:r>
        <w:rPr>
          <w:rFonts w:hint="eastAsia" w:ascii="仿宋_GB2312" w:hAnsi="ˎ̥" w:eastAsia="仿宋_GB2312"/>
          <w:color w:val="auto"/>
          <w:sz w:val="32"/>
          <w:szCs w:val="32"/>
        </w:rPr>
        <w:t>万元，其中：财政拨款收入</w:t>
      </w:r>
      <w:r>
        <w:rPr>
          <w:rFonts w:hint="default" w:ascii="仿宋_GB2312" w:hAnsi="ˎ̥" w:eastAsia="仿宋_GB2312"/>
          <w:color w:val="auto"/>
          <w:sz w:val="32"/>
          <w:szCs w:val="32"/>
          <w:lang w:val="en-US"/>
        </w:rPr>
        <w:t>228.02</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%；上级补助收入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%；事业收入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%；经营收入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%；附属单位上缴收入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%；其他收入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left="412" w:leftChars="196"/>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 xml:space="preserve">  （注</w:t>
      </w:r>
      <w:r>
        <w:rPr>
          <w:rFonts w:ascii="仿宋_GB2312" w:hAnsi="ˎ̥" w:eastAsia="仿宋_GB2312"/>
          <w:color w:val="auto"/>
          <w:sz w:val="32"/>
          <w:szCs w:val="32"/>
        </w:rPr>
        <w:t>：</w:t>
      </w:r>
      <w:r>
        <w:rPr>
          <w:rFonts w:hint="eastAsia" w:ascii="仿宋_GB2312" w:hAnsi="ˎ̥" w:eastAsia="仿宋_GB2312"/>
          <w:color w:val="auto"/>
          <w:sz w:val="32"/>
          <w:szCs w:val="32"/>
        </w:rPr>
        <w:t>上述各项收入数可取自财决公开02表</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三、支出决算情况说明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本年支出</w:t>
      </w:r>
      <w:r>
        <w:rPr>
          <w:rFonts w:hint="default" w:ascii="仿宋_GB2312" w:hAnsi="ˎ̥" w:eastAsia="仿宋_GB2312"/>
          <w:color w:val="auto"/>
          <w:sz w:val="32"/>
          <w:szCs w:val="32"/>
          <w:lang w:val="en-US"/>
        </w:rPr>
        <w:t>228.02</w:t>
      </w:r>
      <w:r>
        <w:rPr>
          <w:rFonts w:hint="eastAsia" w:ascii="仿宋_GB2312" w:hAnsi="ˎ̥" w:eastAsia="仿宋_GB2312"/>
          <w:color w:val="auto"/>
          <w:sz w:val="32"/>
          <w:szCs w:val="32"/>
        </w:rPr>
        <w:t>万元，其中：基本支出</w:t>
      </w:r>
      <w:r>
        <w:rPr>
          <w:rFonts w:hint="default" w:ascii="仿宋_GB2312" w:hAnsi="ˎ̥" w:eastAsia="仿宋_GB2312"/>
          <w:color w:val="auto"/>
          <w:sz w:val="32"/>
          <w:szCs w:val="32"/>
          <w:lang w:val="en-US"/>
        </w:rPr>
        <w:t>128.67</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56</w:t>
      </w:r>
      <w:r>
        <w:rPr>
          <w:rFonts w:hint="eastAsia" w:ascii="仿宋_GB2312" w:hAnsi="ˎ̥" w:eastAsia="仿宋_GB2312"/>
          <w:color w:val="auto"/>
          <w:sz w:val="32"/>
          <w:szCs w:val="32"/>
        </w:rPr>
        <w:t>%；项目支出</w:t>
      </w:r>
      <w:r>
        <w:rPr>
          <w:rFonts w:hint="default" w:ascii="仿宋_GB2312" w:hAnsi="ˎ̥" w:eastAsia="仿宋_GB2312"/>
          <w:color w:val="auto"/>
          <w:sz w:val="32"/>
          <w:szCs w:val="32"/>
          <w:lang w:val="en-US"/>
        </w:rPr>
        <w:t>99.36</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44</w:t>
      </w:r>
      <w:r>
        <w:rPr>
          <w:rFonts w:hint="eastAsia" w:ascii="仿宋_GB2312" w:hAnsi="ˎ̥" w:eastAsia="仿宋_GB2312"/>
          <w:color w:val="auto"/>
          <w:sz w:val="32"/>
          <w:szCs w:val="32"/>
        </w:rPr>
        <w:t>%；上缴上级支出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%；经营支出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%；对附属单位补助支出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上述各项支出数可取自财决公开03表</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四、财政拨款收入支出决算总体情况说明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年度财政拨款收入</w:t>
      </w:r>
      <w:r>
        <w:rPr>
          <w:rFonts w:hint="default" w:ascii="仿宋_GB2312" w:hAnsi="ˎ̥" w:eastAsia="仿宋_GB2312"/>
          <w:color w:val="auto"/>
          <w:sz w:val="32"/>
          <w:szCs w:val="32"/>
          <w:lang w:val="en-US"/>
        </w:rPr>
        <w:t>228.02</w:t>
      </w:r>
      <w:r>
        <w:rPr>
          <w:rFonts w:hint="eastAsia" w:ascii="仿宋_GB2312" w:hAnsi="ˎ̥" w:eastAsia="仿宋_GB2312"/>
          <w:color w:val="auto"/>
          <w:sz w:val="32"/>
          <w:szCs w:val="32"/>
        </w:rPr>
        <w:t>万元，支出</w:t>
      </w:r>
      <w:r>
        <w:rPr>
          <w:rFonts w:hint="default" w:ascii="仿宋_GB2312" w:hAnsi="ˎ̥" w:eastAsia="仿宋_GB2312"/>
          <w:color w:val="auto"/>
          <w:sz w:val="32"/>
          <w:szCs w:val="32"/>
          <w:lang w:val="en-US"/>
        </w:rPr>
        <w:t>228.02</w:t>
      </w:r>
      <w:r>
        <w:rPr>
          <w:rFonts w:hint="eastAsia" w:ascii="仿宋_GB2312" w:hAnsi="ˎ̥" w:eastAsia="仿宋_GB2312"/>
          <w:color w:val="auto"/>
          <w:sz w:val="32"/>
          <w:szCs w:val="32"/>
        </w:rPr>
        <w:t>万元。与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年度相比，财政拨款收入减少</w:t>
      </w:r>
      <w:r>
        <w:rPr>
          <w:rFonts w:hint="eastAsia" w:ascii="仿宋_GB2312" w:hAnsi="ˎ̥" w:eastAsia="仿宋_GB2312"/>
          <w:color w:val="auto"/>
          <w:sz w:val="32"/>
          <w:szCs w:val="32"/>
          <w:lang w:val="en-US" w:eastAsia="zh-CN"/>
        </w:rPr>
        <w:t>50.61</w:t>
      </w:r>
      <w:r>
        <w:rPr>
          <w:rFonts w:hint="eastAsia" w:ascii="仿宋_GB2312" w:hAnsi="ˎ̥" w:eastAsia="仿宋_GB2312"/>
          <w:color w:val="auto"/>
          <w:sz w:val="32"/>
          <w:szCs w:val="32"/>
        </w:rPr>
        <w:t>万元，增长（下降）</w:t>
      </w:r>
      <w:r>
        <w:rPr>
          <w:rFonts w:hint="eastAsia" w:ascii="仿宋_GB2312" w:hAnsi="ˎ̥" w:eastAsia="仿宋_GB2312"/>
          <w:color w:val="auto"/>
          <w:sz w:val="32"/>
          <w:szCs w:val="32"/>
          <w:lang w:val="en-US" w:eastAsia="zh-CN"/>
        </w:rPr>
        <w:t>18.19</w:t>
      </w:r>
      <w:r>
        <w:rPr>
          <w:rFonts w:hint="eastAsia" w:ascii="仿宋_GB2312" w:hAnsi="ˎ̥" w:eastAsia="仿宋_GB2312"/>
          <w:color w:val="auto"/>
          <w:sz w:val="32"/>
          <w:szCs w:val="32"/>
        </w:rPr>
        <w:t>%，主要原因：一是</w:t>
      </w:r>
      <w:r>
        <w:rPr>
          <w:rFonts w:hint="eastAsia" w:ascii="仿宋_GB2312" w:hAnsi="ˎ̥" w:eastAsia="仿宋_GB2312"/>
          <w:color w:val="auto"/>
          <w:sz w:val="32"/>
          <w:szCs w:val="32"/>
          <w:lang w:val="en-US" w:eastAsia="zh-CN"/>
        </w:rPr>
        <w:t>幼儿人数减少</w:t>
      </w:r>
      <w:r>
        <w:rPr>
          <w:rFonts w:hint="eastAsia" w:ascii="仿宋_GB2312" w:hAnsi="ˎ̥" w:eastAsia="仿宋_GB2312"/>
          <w:color w:val="auto"/>
          <w:sz w:val="32"/>
          <w:szCs w:val="32"/>
        </w:rPr>
        <w:t>；二</w:t>
      </w:r>
      <w:r>
        <w:rPr>
          <w:rFonts w:hint="eastAsia" w:ascii="仿宋_GB2312" w:hAnsi="ˎ̥" w:eastAsia="仿宋_GB2312"/>
          <w:color w:val="auto"/>
          <w:sz w:val="32"/>
          <w:szCs w:val="32"/>
          <w:lang w:val="en-US" w:eastAsia="zh-CN"/>
        </w:rPr>
        <w:t>是教师人数减少</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财政拨款年初结转结余</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年度决算数增加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万元，增长</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spacing w:line="578" w:lineRule="exact"/>
        <w:ind w:firstLine="640" w:firstLineChars="200"/>
        <w:rPr>
          <w:rFonts w:hint="eastAsia" w:ascii="仿宋_GB2312" w:hAnsi="ˎ̥" w:eastAsia="仿宋_GB2312"/>
          <w:color w:val="auto"/>
          <w:sz w:val="32"/>
          <w:szCs w:val="32"/>
        </w:rPr>
      </w:pPr>
      <w:r>
        <w:rPr>
          <w:rFonts w:hint="eastAsia" w:ascii="仿宋_GB2312" w:hAnsi="ˎ̥" w:eastAsia="仿宋_GB2312"/>
          <w:color w:val="auto"/>
          <w:sz w:val="32"/>
          <w:szCs w:val="32"/>
        </w:rPr>
        <w:t>财政拨款年末结转结余</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万元，较202</w:t>
      </w:r>
      <w:r>
        <w:rPr>
          <w:rFonts w:hint="eastAsia" w:ascii="仿宋_GB2312" w:hAnsi="ˎ̥" w:eastAsia="仿宋_GB2312"/>
          <w:color w:val="auto"/>
          <w:sz w:val="32"/>
          <w:szCs w:val="32"/>
          <w:lang w:val="en-US" w:eastAsia="zh-CN"/>
        </w:rPr>
        <w:t>3</w:t>
      </w:r>
      <w:r>
        <w:rPr>
          <w:rFonts w:hint="eastAsia" w:ascii="仿宋_GB2312" w:hAnsi="ˎ̥" w:eastAsia="仿宋_GB2312"/>
          <w:color w:val="auto"/>
          <w:sz w:val="32"/>
          <w:szCs w:val="32"/>
        </w:rPr>
        <w:t>年度决算数增加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万元，增长</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年度决算相关数据可取自财决公开04表。</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年度决算相关数据可取自</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决算报表财决01-1表《财政拨款收入支出决算总表》</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五、一般公共预算财政拨款支出决算情况说明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bookmarkStart w:id="79" w:name="_Toc23005_WPSOffice_Level2"/>
      <w:bookmarkStart w:id="80" w:name="_Toc19665_WPSOffice_Level2"/>
      <w:bookmarkStart w:id="81" w:name="_Toc13694_WPSOffice_Level2"/>
      <w:bookmarkStart w:id="82" w:name="_Toc17398_WPSOffice_Level2"/>
      <w:bookmarkStart w:id="83" w:name="_Toc21737_WPSOffice_Level2"/>
      <w:bookmarkStart w:id="84" w:name="_Toc9989_WPSOffice_Level2"/>
      <w:r>
        <w:rPr>
          <w:rFonts w:hint="eastAsia" w:ascii="楷体" w:hAnsi="楷体" w:eastAsia="楷体" w:cs="楷体"/>
          <w:color w:val="auto"/>
          <w:sz w:val="32"/>
          <w:szCs w:val="32"/>
        </w:rPr>
        <w:t>（一）一般公共预算财政拨款支出决算总体情况</w:t>
      </w:r>
      <w:bookmarkEnd w:id="79"/>
      <w:bookmarkEnd w:id="80"/>
      <w:bookmarkEnd w:id="81"/>
      <w:bookmarkEnd w:id="82"/>
      <w:bookmarkEnd w:id="83"/>
      <w:bookmarkEnd w:id="84"/>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年度一般公共预算财政拨款支出</w:t>
      </w:r>
      <w:r>
        <w:rPr>
          <w:rFonts w:hint="default" w:ascii="仿宋_GB2312" w:hAnsi="ˎ̥" w:eastAsia="仿宋_GB2312"/>
          <w:color w:val="auto"/>
          <w:sz w:val="32"/>
          <w:szCs w:val="32"/>
          <w:lang w:val="en-US"/>
        </w:rPr>
        <w:t>228.02</w:t>
      </w:r>
      <w:r>
        <w:rPr>
          <w:rFonts w:hint="eastAsia" w:ascii="仿宋_GB2312" w:hAnsi="ˎ̥" w:eastAsia="仿宋_GB2312"/>
          <w:color w:val="auto"/>
          <w:sz w:val="32"/>
          <w:szCs w:val="32"/>
        </w:rPr>
        <w:t>万元，占本年支出合计的</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年度相比，一般公共预算财政拨款支出减少</w:t>
      </w:r>
      <w:r>
        <w:rPr>
          <w:rFonts w:hint="eastAsia" w:ascii="仿宋_GB2312" w:hAnsi="ˎ̥" w:eastAsia="仿宋_GB2312"/>
          <w:color w:val="auto"/>
          <w:sz w:val="32"/>
          <w:szCs w:val="32"/>
          <w:lang w:val="en-US" w:eastAsia="zh-CN"/>
        </w:rPr>
        <w:t>50.61</w:t>
      </w:r>
      <w:r>
        <w:rPr>
          <w:rFonts w:hint="eastAsia" w:ascii="仿宋_GB2312" w:hAnsi="ˎ̥" w:eastAsia="仿宋_GB2312"/>
          <w:color w:val="auto"/>
          <w:sz w:val="32"/>
          <w:szCs w:val="32"/>
        </w:rPr>
        <w:t>万元，下降</w:t>
      </w:r>
      <w:r>
        <w:rPr>
          <w:rFonts w:hint="eastAsia" w:ascii="仿宋_GB2312" w:hAnsi="ˎ̥" w:eastAsia="仿宋_GB2312"/>
          <w:color w:val="auto"/>
          <w:sz w:val="32"/>
          <w:szCs w:val="32"/>
          <w:lang w:val="en-US" w:eastAsia="zh-CN"/>
        </w:rPr>
        <w:t>18.19</w:t>
      </w:r>
      <w:r>
        <w:rPr>
          <w:rFonts w:hint="eastAsia" w:ascii="仿宋_GB2312" w:hAnsi="ˎ̥" w:eastAsia="仿宋_GB2312"/>
          <w:color w:val="auto"/>
          <w:sz w:val="32"/>
          <w:szCs w:val="32"/>
        </w:rPr>
        <w:t>%，主要原因</w:t>
      </w:r>
      <w:r>
        <w:rPr>
          <w:rFonts w:hint="eastAsia" w:ascii="仿宋_GB2312" w:hAnsi="ˎ̥" w:eastAsia="仿宋_GB2312"/>
          <w:color w:val="auto"/>
          <w:sz w:val="32"/>
          <w:szCs w:val="32"/>
          <w:lang w:val="en-US" w:eastAsia="zh-CN"/>
        </w:rPr>
        <w:t>是幼儿教师人数减少</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bookmarkStart w:id="85" w:name="_Toc23864_WPSOffice_Level2"/>
      <w:bookmarkStart w:id="86" w:name="_Toc18793_WPSOffice_Level2"/>
      <w:bookmarkStart w:id="87" w:name="_Toc19075_WPSOffice_Level2"/>
      <w:bookmarkStart w:id="88" w:name="_Toc19535_WPSOffice_Level2"/>
      <w:bookmarkStart w:id="89" w:name="_Toc2711_WPSOffice_Level2"/>
      <w:bookmarkStart w:id="90" w:name="_Toc27767_WPSOffice_Level2"/>
      <w:r>
        <w:rPr>
          <w:rFonts w:hint="eastAsia" w:ascii="楷体" w:hAnsi="楷体" w:eastAsia="楷体" w:cs="楷体"/>
          <w:color w:val="auto"/>
          <w:sz w:val="32"/>
          <w:szCs w:val="32"/>
        </w:rPr>
        <w:t>（二）一般公共预算财政拨款支出决算结构情况</w:t>
      </w:r>
      <w:bookmarkEnd w:id="85"/>
      <w:bookmarkEnd w:id="86"/>
      <w:bookmarkEnd w:id="87"/>
      <w:bookmarkEnd w:id="88"/>
      <w:bookmarkEnd w:id="89"/>
      <w:bookmarkEnd w:id="90"/>
    </w:p>
    <w:p>
      <w:pPr>
        <w:spacing w:line="578" w:lineRule="exact"/>
        <w:ind w:firstLine="640" w:firstLineChars="200"/>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年度一般公共预算财政拨款支出</w:t>
      </w:r>
      <w:r>
        <w:rPr>
          <w:rFonts w:hint="default" w:ascii="仿宋_GB2312" w:hAnsi="ˎ̥" w:eastAsia="仿宋_GB2312"/>
          <w:color w:val="auto"/>
          <w:sz w:val="32"/>
          <w:szCs w:val="32"/>
          <w:lang w:val="en-US"/>
        </w:rPr>
        <w:t>228.02</w:t>
      </w:r>
      <w:r>
        <w:rPr>
          <w:rFonts w:hint="eastAsia" w:ascii="仿宋_GB2312" w:hAnsi="ˎ̥" w:eastAsia="仿宋_GB2312"/>
          <w:color w:val="auto"/>
          <w:sz w:val="32"/>
          <w:szCs w:val="32"/>
        </w:rPr>
        <w:t>万元，主要用于以下方面：</w:t>
      </w:r>
      <w:r>
        <w:rPr>
          <w:rFonts w:hint="eastAsia" w:ascii="仿宋_GB2312" w:hAnsi="ˎ̥" w:eastAsia="仿宋_GB2312"/>
          <w:b/>
          <w:color w:val="auto"/>
          <w:sz w:val="32"/>
          <w:szCs w:val="32"/>
        </w:rPr>
        <w:t>一般公共服务（类）</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r>
        <w:rPr>
          <w:rFonts w:hint="eastAsia" w:ascii="仿宋_GB2312" w:hAnsi="ˎ̥" w:eastAsia="仿宋_GB2312"/>
          <w:b/>
          <w:color w:val="auto"/>
          <w:sz w:val="32"/>
          <w:szCs w:val="32"/>
        </w:rPr>
        <w:t>社会保障和就业（类）</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16.6</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7.3</w:t>
      </w:r>
      <w:r>
        <w:rPr>
          <w:rFonts w:hint="eastAsia" w:ascii="仿宋_GB2312" w:hAnsi="ˎ̥" w:eastAsia="仿宋_GB2312"/>
          <w:color w:val="auto"/>
          <w:sz w:val="32"/>
          <w:szCs w:val="32"/>
        </w:rPr>
        <w:t>%；</w:t>
      </w:r>
      <w:r>
        <w:rPr>
          <w:rFonts w:hint="eastAsia" w:ascii="仿宋_GB2312" w:hAnsi="ˎ̥" w:eastAsia="仿宋_GB2312"/>
          <w:b/>
          <w:bCs/>
          <w:color w:val="auto"/>
          <w:sz w:val="32"/>
          <w:szCs w:val="32"/>
        </w:rPr>
        <w:t>住房保障（类）</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9.27</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4.1</w:t>
      </w:r>
      <w:r>
        <w:rPr>
          <w:rFonts w:hint="eastAsia" w:ascii="仿宋_GB2312" w:hAnsi="ˎ̥" w:eastAsia="仿宋_GB2312"/>
          <w:color w:val="auto"/>
          <w:sz w:val="32"/>
          <w:szCs w:val="32"/>
        </w:rPr>
        <w:t>%；</w:t>
      </w:r>
      <w:r>
        <w:rPr>
          <w:rFonts w:hint="eastAsia" w:ascii="仿宋_GB2312" w:hAnsi="ˎ̥" w:eastAsia="仿宋_GB2312"/>
          <w:color w:val="auto"/>
          <w:sz w:val="32"/>
          <w:szCs w:val="32"/>
          <w:lang w:val="en-US" w:eastAsia="zh-CN"/>
        </w:rPr>
        <w:t>卫</w:t>
      </w:r>
      <w:r>
        <w:rPr>
          <w:rFonts w:hint="eastAsia" w:ascii="仿宋_GB2312" w:hAnsi="ˎ̥" w:eastAsia="仿宋_GB2312" w:cs="仿宋_GB2312"/>
          <w:color w:val="auto"/>
          <w:kern w:val="0"/>
          <w:sz w:val="32"/>
          <w:szCs w:val="32"/>
        </w:rPr>
        <w:t>生健康支出1</w:t>
      </w:r>
      <w:r>
        <w:rPr>
          <w:rFonts w:hint="eastAsia" w:ascii="仿宋_GB2312" w:hAnsi="ˎ̥" w:eastAsia="仿宋_GB2312" w:cs="仿宋_GB2312"/>
          <w:color w:val="auto"/>
          <w:kern w:val="0"/>
          <w:sz w:val="32"/>
          <w:szCs w:val="32"/>
          <w:lang w:val="en-US" w:eastAsia="zh-CN"/>
        </w:rPr>
        <w:t>1.5</w:t>
      </w:r>
      <w:r>
        <w:rPr>
          <w:rFonts w:hint="eastAsia" w:ascii="仿宋_GB2312" w:hAnsi="ˎ̥" w:eastAsia="仿宋_GB2312" w:cs="仿宋_GB2312"/>
          <w:color w:val="auto"/>
          <w:kern w:val="0"/>
          <w:sz w:val="32"/>
          <w:szCs w:val="32"/>
        </w:rPr>
        <w:t>万元，占</w:t>
      </w:r>
      <w:r>
        <w:rPr>
          <w:rFonts w:hint="eastAsia" w:ascii="仿宋_GB2312" w:hAnsi="ˎ̥" w:eastAsia="仿宋_GB2312" w:cs="仿宋_GB2312"/>
          <w:color w:val="auto"/>
          <w:kern w:val="0"/>
          <w:sz w:val="32"/>
          <w:szCs w:val="32"/>
          <w:lang w:val="en-US" w:eastAsia="zh-CN"/>
        </w:rPr>
        <w:t>5</w:t>
      </w:r>
      <w:r>
        <w:rPr>
          <w:rFonts w:hint="eastAsia" w:ascii="仿宋_GB2312" w:hAnsi="ˎ̥" w:eastAsia="仿宋_GB2312" w:cs="仿宋_GB2312"/>
          <w:color w:val="auto"/>
          <w:kern w:val="0"/>
          <w:sz w:val="32"/>
          <w:szCs w:val="32"/>
        </w:rPr>
        <w:t>%</w:t>
      </w:r>
      <w:r>
        <w:rPr>
          <w:rFonts w:hint="eastAsia" w:ascii="仿宋_GB2312" w:hAnsi="ˎ̥" w:eastAsia="仿宋_GB2312" w:cs="仿宋_GB2312"/>
          <w:color w:val="auto"/>
          <w:kern w:val="0"/>
          <w:sz w:val="32"/>
          <w:szCs w:val="32"/>
          <w:lang w:eastAsia="zh-CN"/>
        </w:rPr>
        <w:t>；</w:t>
      </w:r>
      <w:r>
        <w:rPr>
          <w:rFonts w:hint="eastAsia" w:ascii="仿宋_GB2312" w:hAnsi="ˎ̥" w:eastAsia="仿宋_GB2312" w:cs="仿宋_GB2312"/>
          <w:color w:val="auto"/>
          <w:kern w:val="0"/>
          <w:sz w:val="32"/>
          <w:szCs w:val="32"/>
        </w:rPr>
        <w:t>教育支出</w:t>
      </w:r>
      <w:r>
        <w:rPr>
          <w:rFonts w:hint="eastAsia" w:ascii="仿宋_GB2312" w:hAnsi="ˎ̥" w:eastAsia="仿宋_GB2312" w:cs="仿宋_GB2312"/>
          <w:color w:val="auto"/>
          <w:kern w:val="0"/>
          <w:sz w:val="32"/>
          <w:szCs w:val="32"/>
          <w:lang w:val="en-US" w:eastAsia="zh-CN"/>
        </w:rPr>
        <w:t>190.66</w:t>
      </w:r>
      <w:r>
        <w:rPr>
          <w:rFonts w:hint="eastAsia" w:ascii="仿宋_GB2312" w:hAnsi="ˎ̥" w:eastAsia="仿宋_GB2312" w:cs="仿宋_GB2312"/>
          <w:color w:val="auto"/>
          <w:kern w:val="0"/>
          <w:sz w:val="32"/>
          <w:szCs w:val="32"/>
        </w:rPr>
        <w:t>.占8</w:t>
      </w:r>
      <w:r>
        <w:rPr>
          <w:rFonts w:hint="eastAsia" w:ascii="仿宋_GB2312" w:hAnsi="ˎ̥" w:eastAsia="仿宋_GB2312" w:cs="仿宋_GB2312"/>
          <w:color w:val="auto"/>
          <w:kern w:val="0"/>
          <w:sz w:val="32"/>
          <w:szCs w:val="32"/>
          <w:lang w:val="en-US" w:eastAsia="zh-CN"/>
        </w:rPr>
        <w:t>3.6</w:t>
      </w:r>
      <w:r>
        <w:rPr>
          <w:rFonts w:hint="eastAsia" w:ascii="仿宋_GB2312" w:hAnsi="ˎ̥" w:eastAsia="仿宋_GB2312" w:cs="仿宋_GB2312"/>
          <w:color w:val="auto"/>
          <w:kern w:val="0"/>
          <w:sz w:val="32"/>
          <w:szCs w:val="32"/>
        </w:rPr>
        <w:t>%</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根据各</w:t>
      </w:r>
      <w:r>
        <w:rPr>
          <w:rFonts w:hint="eastAsia" w:ascii="仿宋_GB2312" w:hAnsi="ˎ̥" w:eastAsia="仿宋_GB2312"/>
          <w:color w:val="auto"/>
          <w:sz w:val="32"/>
          <w:szCs w:val="32"/>
          <w:lang w:val="en-US" w:eastAsia="zh-CN"/>
        </w:rPr>
        <w:t>预算</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单位实际支出涉及的支出功能分类类级科目填列</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bookmarkStart w:id="91" w:name="_Toc21701_WPSOffice_Level2"/>
      <w:bookmarkStart w:id="92" w:name="_Toc15415_WPSOffice_Level2"/>
      <w:bookmarkStart w:id="93" w:name="_Toc22318_WPSOffice_Level2"/>
      <w:bookmarkStart w:id="94" w:name="_Toc25136_WPSOffice_Level2"/>
      <w:bookmarkStart w:id="95" w:name="_Toc9502_WPSOffice_Level2"/>
      <w:bookmarkStart w:id="96" w:name="_Toc29364_WPSOffice_Level2"/>
      <w:r>
        <w:rPr>
          <w:rFonts w:hint="eastAsia" w:ascii="楷体" w:hAnsi="楷体" w:eastAsia="楷体" w:cs="楷体"/>
          <w:color w:val="auto"/>
          <w:sz w:val="32"/>
          <w:szCs w:val="32"/>
        </w:rPr>
        <w:t>（三）一般公共预算财政拨款支出决算具体情况</w:t>
      </w:r>
      <w:bookmarkEnd w:id="91"/>
      <w:bookmarkEnd w:id="92"/>
      <w:bookmarkEnd w:id="93"/>
      <w:bookmarkEnd w:id="94"/>
      <w:bookmarkEnd w:id="95"/>
      <w:bookmarkEnd w:id="96"/>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年度一般公共预算财政拨款支出年初预算为</w:t>
      </w:r>
      <w:r>
        <w:rPr>
          <w:rFonts w:hint="eastAsia" w:ascii="仿宋_GB2312" w:hAnsi="ˎ̥" w:eastAsia="仿宋_GB2312"/>
          <w:color w:val="auto"/>
          <w:sz w:val="32"/>
          <w:szCs w:val="32"/>
          <w:lang w:val="en-US" w:eastAsia="zh-CN"/>
        </w:rPr>
        <w:t>228.02</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228.02</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%。其中：</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color w:val="auto"/>
          <w:sz w:val="32"/>
          <w:szCs w:val="32"/>
        </w:rPr>
      </w:pPr>
      <w:r>
        <w:rPr>
          <w:rFonts w:hint="eastAsia" w:ascii="仿宋_GB2312" w:hAnsi="ˎ̥" w:eastAsia="仿宋_GB2312"/>
          <w:color w:val="auto"/>
          <w:sz w:val="32"/>
          <w:szCs w:val="32"/>
        </w:rPr>
        <w:t>1.</w:t>
      </w:r>
      <w:r>
        <w:rPr>
          <w:rFonts w:hint="eastAsia" w:ascii="仿宋_GB2312" w:hAnsi="ˎ̥" w:eastAsia="仿宋_GB2312"/>
          <w:b/>
          <w:color w:val="auto"/>
          <w:sz w:val="32"/>
          <w:szCs w:val="32"/>
        </w:rPr>
        <w:t>一般公共服务（类）人大事务（款）行政运行（项）。</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年初预算为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万元，支出决算为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widowControl/>
        <w:numPr>
          <w:ilvl w:val="0"/>
          <w:numId w:val="0"/>
        </w:numPr>
        <w:suppressLineNumbers w:val="0"/>
        <w:tabs>
          <w:tab w:val="left" w:pos="0"/>
        </w:tabs>
        <w:spacing w:before="100" w:beforeAutospacing="1" w:after="100" w:afterAutospacing="1"/>
        <w:ind w:right="0" w:rightChars="0" w:firstLine="643" w:firstLineChars="200"/>
        <w:rPr>
          <w:rFonts w:hint="eastAsia" w:ascii="仿宋_GB2312" w:hAnsi="ˎ̥" w:eastAsia="仿宋_GB2312" w:cs="仿宋_GB2312"/>
          <w:b/>
          <w:color w:val="auto"/>
          <w:kern w:val="0"/>
          <w:sz w:val="32"/>
          <w:szCs w:val="32"/>
          <w:shd w:val="clear" w:color="auto" w:fill="FFFFFF"/>
        </w:rPr>
      </w:pPr>
      <w:r>
        <w:rPr>
          <w:rFonts w:hint="eastAsia" w:ascii="仿宋_GB2312" w:hAnsi="ˎ̥" w:eastAsia="仿宋_GB2312" w:cs="仿宋_GB2312"/>
          <w:b/>
          <w:color w:val="auto"/>
          <w:kern w:val="0"/>
          <w:sz w:val="32"/>
          <w:szCs w:val="32"/>
          <w:shd w:val="clear" w:color="auto" w:fill="FFFFFF"/>
          <w:lang w:val="en-US" w:eastAsia="zh-CN"/>
        </w:rPr>
        <w:t>2.</w:t>
      </w:r>
      <w:r>
        <w:rPr>
          <w:rFonts w:hint="eastAsia" w:ascii="仿宋_GB2312" w:hAnsi="ˎ̥" w:eastAsia="仿宋_GB2312" w:cs="仿宋_GB2312"/>
          <w:b/>
          <w:color w:val="auto"/>
          <w:kern w:val="0"/>
          <w:sz w:val="32"/>
          <w:szCs w:val="32"/>
          <w:shd w:val="clear" w:color="auto" w:fill="FFFFFF"/>
        </w:rPr>
        <w:t>社会保障和就业（类）</w:t>
      </w:r>
    </w:p>
    <w:p>
      <w:pPr>
        <w:pStyle w:val="2"/>
        <w:rPr>
          <w:rFonts w:hint="eastAsia"/>
          <w:color w:val="auto"/>
        </w:rPr>
      </w:pPr>
    </w:p>
    <w:p>
      <w:pPr>
        <w:keepNext w:val="0"/>
        <w:keepLines w:val="0"/>
        <w:widowControl/>
        <w:numPr>
          <w:ilvl w:val="0"/>
          <w:numId w:val="0"/>
        </w:numPr>
        <w:suppressLineNumbers w:val="0"/>
        <w:tabs>
          <w:tab w:val="left" w:pos="0"/>
        </w:tabs>
        <w:spacing w:before="100" w:beforeAutospacing="1" w:after="100" w:afterAutospacing="1"/>
        <w:ind w:right="0" w:rightChars="0" w:firstLine="640" w:firstLineChars="200"/>
        <w:rPr>
          <w:rFonts w:hint="eastAsia" w:ascii="仿宋_GB2312" w:hAnsi="ˎ̥" w:eastAsia="仿宋_GB2312" w:cs="仿宋_GB2312"/>
          <w:color w:val="auto"/>
          <w:kern w:val="0"/>
          <w:sz w:val="32"/>
          <w:szCs w:val="32"/>
          <w:shd w:val="clear" w:color="auto" w:fill="FFFFFF"/>
        </w:rPr>
      </w:pPr>
      <w:r>
        <w:rPr>
          <w:rFonts w:hint="eastAsia" w:ascii="仿宋_GB2312" w:hAnsi="ˎ̥" w:eastAsia="仿宋_GB2312" w:cs="仿宋_GB2312"/>
          <w:color w:val="auto"/>
          <w:kern w:val="0"/>
          <w:sz w:val="32"/>
          <w:szCs w:val="32"/>
          <w:shd w:val="clear" w:color="auto" w:fill="FFFFFF"/>
        </w:rPr>
        <w:t>年初预算为</w:t>
      </w:r>
      <w:r>
        <w:rPr>
          <w:rFonts w:hint="eastAsia" w:ascii="仿宋_GB2312" w:hAnsi="ˎ̥" w:eastAsia="仿宋_GB2312" w:cs="仿宋_GB2312"/>
          <w:color w:val="auto"/>
          <w:kern w:val="0"/>
          <w:sz w:val="32"/>
          <w:szCs w:val="32"/>
          <w:shd w:val="clear" w:color="auto" w:fill="FFFFFF"/>
          <w:lang w:val="en-US" w:eastAsia="zh-CN"/>
        </w:rPr>
        <w:t>19.9</w:t>
      </w:r>
      <w:r>
        <w:rPr>
          <w:rFonts w:hint="eastAsia" w:ascii="仿宋_GB2312" w:hAnsi="ˎ̥" w:eastAsia="仿宋_GB2312" w:cs="仿宋_GB2312"/>
          <w:color w:val="auto"/>
          <w:kern w:val="0"/>
          <w:sz w:val="32"/>
          <w:szCs w:val="32"/>
          <w:shd w:val="clear" w:color="auto" w:fill="FFFFFF"/>
        </w:rPr>
        <w:t>万元，支出决算为1</w:t>
      </w:r>
      <w:r>
        <w:rPr>
          <w:rFonts w:hint="eastAsia" w:ascii="仿宋_GB2312" w:hAnsi="ˎ̥" w:eastAsia="仿宋_GB2312" w:cs="仿宋_GB2312"/>
          <w:color w:val="auto"/>
          <w:kern w:val="0"/>
          <w:sz w:val="32"/>
          <w:szCs w:val="32"/>
          <w:shd w:val="clear" w:color="auto" w:fill="FFFFFF"/>
          <w:lang w:val="en-US" w:eastAsia="zh-CN"/>
        </w:rPr>
        <w:t>6.6</w:t>
      </w:r>
      <w:r>
        <w:rPr>
          <w:rFonts w:hint="eastAsia" w:ascii="仿宋_GB2312" w:hAnsi="ˎ̥" w:eastAsia="仿宋_GB2312" w:cs="仿宋_GB2312"/>
          <w:color w:val="auto"/>
          <w:kern w:val="0"/>
          <w:sz w:val="32"/>
          <w:szCs w:val="32"/>
          <w:shd w:val="clear" w:color="auto" w:fill="FFFFFF"/>
        </w:rPr>
        <w:t>万元，完成年初预算的</w:t>
      </w:r>
      <w:r>
        <w:rPr>
          <w:rFonts w:hint="eastAsia" w:ascii="仿宋_GB2312" w:hAnsi="ˎ̥" w:eastAsia="仿宋_GB2312" w:cs="仿宋_GB2312"/>
          <w:color w:val="auto"/>
          <w:kern w:val="0"/>
          <w:sz w:val="32"/>
          <w:szCs w:val="32"/>
          <w:shd w:val="clear" w:color="auto" w:fill="FFFFFF"/>
          <w:lang w:val="en-US" w:eastAsia="zh-CN"/>
        </w:rPr>
        <w:t>7.3</w:t>
      </w:r>
      <w:r>
        <w:rPr>
          <w:rFonts w:hint="eastAsia" w:ascii="仿宋_GB2312" w:hAnsi="ˎ̥" w:eastAsia="仿宋_GB2312" w:cs="仿宋_GB2312"/>
          <w:color w:val="auto"/>
          <w:kern w:val="0"/>
          <w:sz w:val="32"/>
          <w:szCs w:val="32"/>
          <w:shd w:val="clear" w:color="auto" w:fill="FFFFFF"/>
        </w:rPr>
        <w:t>%。决算数小于预算数的主要原因住房公积金缴费基数增加。</w:t>
      </w:r>
    </w:p>
    <w:p>
      <w:pPr>
        <w:keepNext w:val="0"/>
        <w:keepLines w:val="0"/>
        <w:widowControl/>
        <w:numPr>
          <w:ilvl w:val="0"/>
          <w:numId w:val="3"/>
        </w:numPr>
        <w:suppressLineNumbers w:val="0"/>
        <w:tabs>
          <w:tab w:val="left" w:pos="0"/>
        </w:tabs>
        <w:spacing w:before="100" w:beforeAutospacing="1" w:after="100" w:afterAutospacing="1"/>
        <w:ind w:right="0" w:rightChars="0" w:firstLine="643" w:firstLineChars="200"/>
        <w:rPr>
          <w:rFonts w:hint="eastAsia" w:ascii="仿宋_GB2312" w:hAnsi="ˎ̥" w:eastAsia="仿宋_GB2312" w:cs="仿宋_GB2312"/>
          <w:b/>
          <w:color w:val="auto"/>
          <w:kern w:val="0"/>
          <w:sz w:val="32"/>
          <w:szCs w:val="32"/>
          <w:shd w:val="clear" w:color="auto" w:fill="FFFFFF"/>
        </w:rPr>
      </w:pPr>
      <w:r>
        <w:rPr>
          <w:rFonts w:hint="eastAsia" w:ascii="仿宋_GB2312" w:hAnsi="ˎ̥" w:eastAsia="仿宋_GB2312" w:cs="仿宋_GB2312"/>
          <w:b/>
          <w:color w:val="auto"/>
          <w:kern w:val="0"/>
          <w:sz w:val="32"/>
          <w:szCs w:val="32"/>
          <w:shd w:val="clear" w:color="auto" w:fill="FFFFFF"/>
          <w:lang w:val="en-US" w:eastAsia="zh-CN"/>
        </w:rPr>
        <w:t>住房保障</w:t>
      </w:r>
      <w:r>
        <w:rPr>
          <w:rFonts w:hint="eastAsia" w:ascii="仿宋_GB2312" w:hAnsi="ˎ̥" w:eastAsia="仿宋_GB2312" w:cs="仿宋_GB2312"/>
          <w:b/>
          <w:color w:val="auto"/>
          <w:kern w:val="0"/>
          <w:sz w:val="32"/>
          <w:szCs w:val="32"/>
          <w:shd w:val="clear" w:color="auto" w:fill="FFFFFF"/>
        </w:rPr>
        <w:t>（类）</w:t>
      </w:r>
    </w:p>
    <w:p>
      <w:pPr>
        <w:pStyle w:val="2"/>
        <w:numPr>
          <w:ilvl w:val="0"/>
          <w:numId w:val="0"/>
        </w:numPr>
        <w:ind w:firstLine="640" w:firstLineChars="200"/>
        <w:rPr>
          <w:rFonts w:hint="eastAsia" w:eastAsia="宋体"/>
          <w:color w:val="auto"/>
          <w:lang w:val="en-US" w:eastAsia="zh-CN"/>
        </w:rPr>
      </w:pPr>
      <w:r>
        <w:rPr>
          <w:rFonts w:hint="eastAsia" w:ascii="仿宋_GB2312" w:hAnsi="ˎ̥" w:eastAsia="仿宋_GB2312"/>
          <w:color w:val="auto"/>
          <w:sz w:val="32"/>
          <w:szCs w:val="32"/>
          <w:lang w:val="en-US" w:eastAsia="zh-CN"/>
        </w:rPr>
        <w:t>年初预算数位12.4万元，</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决算9.27</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4.1</w:t>
      </w:r>
      <w:r>
        <w:rPr>
          <w:rFonts w:hint="eastAsia" w:ascii="仿宋_GB2312" w:hAnsi="ˎ̥" w:eastAsia="仿宋_GB2312"/>
          <w:color w:val="auto"/>
          <w:sz w:val="32"/>
          <w:szCs w:val="32"/>
        </w:rPr>
        <w:t>%</w:t>
      </w:r>
    </w:p>
    <w:p>
      <w:pPr>
        <w:keepNext w:val="0"/>
        <w:keepLines w:val="0"/>
        <w:widowControl/>
        <w:numPr>
          <w:ilvl w:val="0"/>
          <w:numId w:val="3"/>
        </w:numPr>
        <w:suppressLineNumbers w:val="0"/>
        <w:tabs>
          <w:tab w:val="left" w:pos="0"/>
        </w:tabs>
        <w:spacing w:before="100" w:beforeAutospacing="1" w:after="100" w:afterAutospacing="1"/>
        <w:ind w:right="0" w:rightChars="0" w:firstLine="643" w:firstLineChars="200"/>
        <w:rPr>
          <w:rFonts w:hint="eastAsia" w:ascii="仿宋_GB2312" w:hAnsi="ˎ̥" w:eastAsia="仿宋_GB2312" w:cs="仿宋_GB2312"/>
          <w:b/>
          <w:color w:val="auto"/>
          <w:kern w:val="0"/>
          <w:sz w:val="32"/>
          <w:szCs w:val="32"/>
          <w:shd w:val="clear" w:color="auto" w:fill="FFFFFF"/>
        </w:rPr>
      </w:pPr>
      <w:r>
        <w:rPr>
          <w:rFonts w:hint="eastAsia" w:ascii="仿宋_GB2312" w:hAnsi="ˎ̥" w:eastAsia="仿宋_GB2312" w:cs="仿宋_GB2312"/>
          <w:b/>
          <w:color w:val="auto"/>
          <w:kern w:val="0"/>
          <w:sz w:val="32"/>
          <w:szCs w:val="32"/>
          <w:shd w:val="clear" w:color="auto" w:fill="FFFFFF"/>
          <w:lang w:val="en-US" w:eastAsia="zh-CN"/>
        </w:rPr>
        <w:t>卫生健康</w:t>
      </w:r>
    </w:p>
    <w:p>
      <w:pPr>
        <w:pStyle w:val="2"/>
        <w:rPr>
          <w:rFonts w:hint="eastAsia" w:ascii="仿宋_GB2312" w:hAnsi="ˎ̥" w:eastAsia="仿宋_GB2312" w:cs="仿宋_GB2312"/>
          <w:color w:val="auto"/>
          <w:kern w:val="0"/>
          <w:sz w:val="32"/>
          <w:szCs w:val="32"/>
          <w:lang w:eastAsia="zh-CN"/>
        </w:rPr>
      </w:pPr>
      <w:r>
        <w:rPr>
          <w:rFonts w:hint="eastAsia" w:ascii="仿宋_GB2312" w:hAnsi="ˎ̥" w:eastAsia="仿宋_GB2312" w:cs="仿宋_GB2312"/>
          <w:color w:val="auto"/>
          <w:kern w:val="0"/>
          <w:sz w:val="32"/>
          <w:szCs w:val="32"/>
        </w:rPr>
        <w:t>支出</w:t>
      </w:r>
      <w:r>
        <w:rPr>
          <w:rFonts w:hint="eastAsia" w:ascii="仿宋_GB2312" w:hAnsi="ˎ̥" w:eastAsia="仿宋_GB2312" w:cs="仿宋_GB2312"/>
          <w:color w:val="auto"/>
          <w:kern w:val="0"/>
          <w:sz w:val="32"/>
          <w:szCs w:val="32"/>
          <w:lang w:val="en-US" w:eastAsia="zh-CN"/>
        </w:rPr>
        <w:t>决算</w:t>
      </w:r>
      <w:r>
        <w:rPr>
          <w:rFonts w:hint="eastAsia" w:ascii="仿宋_GB2312" w:hAnsi="ˎ̥" w:eastAsia="仿宋_GB2312" w:cs="仿宋_GB2312"/>
          <w:color w:val="auto"/>
          <w:kern w:val="0"/>
          <w:sz w:val="32"/>
          <w:szCs w:val="32"/>
        </w:rPr>
        <w:t>1</w:t>
      </w:r>
      <w:r>
        <w:rPr>
          <w:rFonts w:hint="eastAsia" w:ascii="仿宋_GB2312" w:hAnsi="ˎ̥" w:eastAsia="仿宋_GB2312" w:cs="仿宋_GB2312"/>
          <w:color w:val="auto"/>
          <w:kern w:val="0"/>
          <w:sz w:val="32"/>
          <w:szCs w:val="32"/>
          <w:lang w:val="en-US" w:eastAsia="zh-CN"/>
        </w:rPr>
        <w:t>1.5</w:t>
      </w:r>
      <w:r>
        <w:rPr>
          <w:rFonts w:hint="eastAsia" w:ascii="仿宋_GB2312" w:hAnsi="ˎ̥" w:eastAsia="仿宋_GB2312" w:cs="仿宋_GB2312"/>
          <w:color w:val="auto"/>
          <w:kern w:val="0"/>
          <w:sz w:val="32"/>
          <w:szCs w:val="32"/>
        </w:rPr>
        <w:t>万元，占</w:t>
      </w:r>
      <w:r>
        <w:rPr>
          <w:rFonts w:hint="eastAsia" w:ascii="仿宋_GB2312" w:hAnsi="ˎ̥" w:eastAsia="仿宋_GB2312" w:cs="仿宋_GB2312"/>
          <w:color w:val="auto"/>
          <w:kern w:val="0"/>
          <w:sz w:val="32"/>
          <w:szCs w:val="32"/>
          <w:lang w:val="en-US" w:eastAsia="zh-CN"/>
        </w:rPr>
        <w:t>5</w:t>
      </w:r>
      <w:r>
        <w:rPr>
          <w:rFonts w:hint="eastAsia" w:ascii="仿宋_GB2312" w:hAnsi="ˎ̥" w:eastAsia="仿宋_GB2312" w:cs="仿宋_GB2312"/>
          <w:color w:val="auto"/>
          <w:kern w:val="0"/>
          <w:sz w:val="32"/>
          <w:szCs w:val="32"/>
        </w:rPr>
        <w:t>%</w:t>
      </w:r>
      <w:r>
        <w:rPr>
          <w:rFonts w:hint="eastAsia" w:ascii="仿宋_GB2312" w:hAnsi="ˎ̥" w:eastAsia="仿宋_GB2312" w:cs="仿宋_GB2312"/>
          <w:color w:val="auto"/>
          <w:kern w:val="0"/>
          <w:sz w:val="32"/>
          <w:szCs w:val="32"/>
          <w:lang w:eastAsia="zh-CN"/>
        </w:rPr>
        <w:t>；</w:t>
      </w:r>
    </w:p>
    <w:p>
      <w:pPr>
        <w:keepNext w:val="0"/>
        <w:keepLines w:val="0"/>
        <w:widowControl/>
        <w:numPr>
          <w:ilvl w:val="0"/>
          <w:numId w:val="3"/>
        </w:numPr>
        <w:suppressLineNumbers w:val="0"/>
        <w:tabs>
          <w:tab w:val="left" w:pos="0"/>
        </w:tabs>
        <w:spacing w:before="100" w:beforeAutospacing="1" w:after="100" w:afterAutospacing="1"/>
        <w:ind w:right="0" w:rightChars="0" w:firstLine="643" w:firstLineChars="200"/>
        <w:rPr>
          <w:rFonts w:hint="eastAsia" w:ascii="仿宋_GB2312" w:hAnsi="ˎ̥" w:eastAsia="仿宋_GB2312"/>
          <w:color w:val="auto"/>
          <w:sz w:val="32"/>
          <w:szCs w:val="32"/>
        </w:rPr>
      </w:pPr>
      <w:r>
        <w:rPr>
          <w:rFonts w:hint="eastAsia" w:ascii="仿宋_GB2312" w:hAnsi="ˎ̥" w:eastAsia="仿宋_GB2312" w:cs="仿宋_GB2312"/>
          <w:b/>
          <w:color w:val="auto"/>
          <w:kern w:val="0"/>
          <w:sz w:val="32"/>
          <w:szCs w:val="32"/>
          <w:shd w:val="clear" w:color="auto" w:fill="FFFFFF"/>
          <w:lang w:val="en-US" w:eastAsia="zh-CN"/>
        </w:rPr>
        <w:t>教育支出</w:t>
      </w:r>
    </w:p>
    <w:p>
      <w:pPr>
        <w:keepNext w:val="0"/>
        <w:keepLines w:val="0"/>
        <w:widowControl/>
        <w:numPr>
          <w:ilvl w:val="0"/>
          <w:numId w:val="0"/>
        </w:numPr>
        <w:suppressLineNumbers w:val="0"/>
        <w:tabs>
          <w:tab w:val="left" w:pos="0"/>
        </w:tabs>
        <w:spacing w:before="100" w:beforeAutospacing="1" w:after="100" w:afterAutospacing="1"/>
        <w:ind w:right="0" w:rightChars="0" w:firstLine="640" w:firstLineChars="200"/>
        <w:rPr>
          <w:rFonts w:hint="eastAsia" w:ascii="仿宋_GB2312" w:hAnsi="ˎ̥" w:eastAsia="仿宋_GB2312"/>
          <w:color w:val="auto"/>
          <w:sz w:val="32"/>
          <w:szCs w:val="32"/>
        </w:rPr>
      </w:pPr>
      <w:r>
        <w:rPr>
          <w:rFonts w:hint="eastAsia" w:ascii="仿宋_GB2312" w:hAnsi="ˎ̥" w:eastAsia="仿宋_GB2312" w:cs="仿宋_GB2312"/>
          <w:color w:val="auto"/>
          <w:kern w:val="0"/>
          <w:sz w:val="32"/>
          <w:szCs w:val="32"/>
          <w:lang w:val="en-US" w:eastAsia="zh-CN"/>
        </w:rPr>
        <w:t>决算</w:t>
      </w:r>
      <w:r>
        <w:rPr>
          <w:rFonts w:hint="eastAsia" w:ascii="仿宋_GB2312" w:hAnsi="ˎ̥" w:eastAsia="仿宋_GB2312" w:cs="仿宋_GB2312"/>
          <w:color w:val="auto"/>
          <w:kern w:val="0"/>
          <w:sz w:val="32"/>
          <w:szCs w:val="32"/>
        </w:rPr>
        <w:t>支出</w:t>
      </w:r>
      <w:r>
        <w:rPr>
          <w:rFonts w:hint="eastAsia" w:ascii="仿宋_GB2312" w:hAnsi="ˎ̥" w:eastAsia="仿宋_GB2312" w:cs="仿宋_GB2312"/>
          <w:color w:val="auto"/>
          <w:kern w:val="0"/>
          <w:sz w:val="32"/>
          <w:szCs w:val="32"/>
          <w:lang w:val="en-US" w:eastAsia="zh-CN"/>
        </w:rPr>
        <w:t>190.66</w:t>
      </w:r>
      <w:r>
        <w:rPr>
          <w:rFonts w:hint="eastAsia" w:ascii="仿宋_GB2312" w:hAnsi="ˎ̥" w:eastAsia="仿宋_GB2312" w:cs="仿宋_GB2312"/>
          <w:color w:val="auto"/>
          <w:kern w:val="0"/>
          <w:sz w:val="32"/>
          <w:szCs w:val="32"/>
        </w:rPr>
        <w:t>.占8</w:t>
      </w:r>
      <w:r>
        <w:rPr>
          <w:rFonts w:hint="eastAsia" w:ascii="仿宋_GB2312" w:hAnsi="ˎ̥" w:eastAsia="仿宋_GB2312" w:cs="仿宋_GB2312"/>
          <w:color w:val="auto"/>
          <w:kern w:val="0"/>
          <w:sz w:val="32"/>
          <w:szCs w:val="32"/>
          <w:lang w:val="en-US" w:eastAsia="zh-CN"/>
        </w:rPr>
        <w:t>3.6</w:t>
      </w:r>
      <w:r>
        <w:rPr>
          <w:rFonts w:hint="eastAsia" w:ascii="仿宋_GB2312" w:hAnsi="ˎ̥" w:eastAsia="仿宋_GB2312" w:cs="仿宋_GB2312"/>
          <w:color w:val="auto"/>
          <w:kern w:val="0"/>
          <w:sz w:val="32"/>
          <w:szCs w:val="32"/>
        </w:rPr>
        <w:t>%</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本部分支出决算数可取自财决公开05表，年初预算数可取自各</w:t>
      </w:r>
      <w:r>
        <w:rPr>
          <w:rFonts w:hint="eastAsia" w:ascii="仿宋_GB2312" w:hAnsi="ˎ̥" w:eastAsia="仿宋_GB2312"/>
          <w:color w:val="auto"/>
          <w:sz w:val="32"/>
          <w:szCs w:val="32"/>
          <w:lang w:val="en-US" w:eastAsia="zh-CN"/>
        </w:rPr>
        <w:t>预算</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单位年初预算大本，根据实际支出涉及的支出功能分类项级科目填列</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color w:val="auto"/>
          <w:sz w:val="32"/>
          <w:szCs w:val="32"/>
        </w:rPr>
      </w:pPr>
      <w:r>
        <w:rPr>
          <w:rFonts w:hint="eastAsia" w:ascii="黑体" w:hAnsi="黑体" w:eastAsia="黑体" w:cs="黑体"/>
          <w:bCs/>
          <w:color w:val="auto"/>
          <w:sz w:val="32"/>
          <w:szCs w:val="32"/>
        </w:rPr>
        <w:t>六、一般公共预算财政拨款基本支出决算情况说明</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年度财政拨款基本支出</w:t>
      </w:r>
      <w:r>
        <w:rPr>
          <w:rFonts w:hint="eastAsia" w:ascii="仿宋_GB2312" w:hAnsi="ˎ̥" w:eastAsia="仿宋_GB2312"/>
          <w:color w:val="auto"/>
          <w:sz w:val="32"/>
          <w:szCs w:val="32"/>
          <w:lang w:val="en-US"/>
        </w:rPr>
        <w:t>128.67</w:t>
      </w:r>
      <w:r>
        <w:rPr>
          <w:rFonts w:hint="eastAsia" w:ascii="仿宋_GB2312" w:hAnsi="ˎ̥" w:eastAsia="仿宋_GB2312"/>
          <w:color w:val="auto"/>
          <w:sz w:val="32"/>
          <w:szCs w:val="32"/>
        </w:rPr>
        <w:t>万元，其中：人员经费</w:t>
      </w:r>
      <w:r>
        <w:rPr>
          <w:rFonts w:ascii="仿宋_GB2312" w:hAnsi="ˎ̥" w:eastAsia="仿宋_GB2312"/>
          <w:color w:val="auto"/>
          <w:sz w:val="32"/>
          <w:szCs w:val="32"/>
          <w:lang w:val="en-US"/>
        </w:rPr>
        <w:t>126.72</w:t>
      </w:r>
      <w:r>
        <w:rPr>
          <w:rFonts w:hint="eastAsia" w:ascii="仿宋_GB2312" w:hAnsi="ˎ̥" w:eastAsia="仿宋_GB2312"/>
          <w:color w:val="auto"/>
          <w:sz w:val="32"/>
          <w:szCs w:val="32"/>
        </w:rPr>
        <w:t>万元，主要包括：工资福利支出中的基本工资、津贴补贴、奖金、伙食补助费、绩效工资、机关事业单位基本养老保险缴费、职业年金缴费、职工基本医疗保险缴费、公务员医疗补助缴费、其他社会保障缴费、住房公积金、医疗费、其他工资福利支出；对个人和家庭的补助中的离休费、退休费、退职（役）费、抚恤金、生活补助、救济费、医疗费补助、助学金、奖励金、个人农业生产补贴、代缴社会保险费、其他对个人和家庭的补助。公用经费</w:t>
      </w:r>
      <w:r>
        <w:rPr>
          <w:rFonts w:ascii="仿宋_GB2312" w:hAnsi="ˎ̥" w:eastAsia="仿宋_GB2312"/>
          <w:color w:val="auto"/>
          <w:sz w:val="32"/>
          <w:szCs w:val="32"/>
          <w:lang w:val="en-US"/>
        </w:rPr>
        <w:t>1.94</w:t>
      </w:r>
      <w:r>
        <w:rPr>
          <w:rFonts w:hint="eastAsia" w:ascii="仿宋_GB2312" w:hAnsi="ˎ̥" w:eastAsia="仿宋_GB2312"/>
          <w:color w:val="auto"/>
          <w:sz w:val="32"/>
          <w:szCs w:val="32"/>
        </w:rPr>
        <w:t>万元，主要包括：商品和服务支出中的办公费、印刷费、咨询费、手续费、水费、电费、邮电费、取暖费、物业管理费、差旅费、因公出国（境）费用、维修（护）费、租赁费、会议费、培训费、公务接待费、专用材料费、被装购置费、专用燃料费、劳务费、委托业务费、工会经费、福利费、公务用车运行维护费、其他交通费用、税金及附加费用、其他商品和服务支出；债务利息及费用支出中的国内债务付息及国外债务付息；资本性支出中的房屋建筑物</w:t>
      </w:r>
      <w:r>
        <w:rPr>
          <w:rFonts w:hint="eastAsia" w:ascii="仿宋_GB2312" w:hAnsi="ˎ̥" w:eastAsia="仿宋_GB2312"/>
          <w:color w:val="auto"/>
          <w:sz w:val="32"/>
          <w:szCs w:val="32"/>
          <w:lang w:val="en-US" w:eastAsia="zh-CN"/>
        </w:rPr>
        <w:t>购</w:t>
      </w:r>
      <w:r>
        <w:rPr>
          <w:rFonts w:hint="eastAsia" w:ascii="仿宋_GB2312" w:hAnsi="ˎ̥" w:eastAsia="仿宋_GB2312"/>
          <w:color w:val="auto"/>
          <w:sz w:val="32"/>
          <w:szCs w:val="32"/>
        </w:rPr>
        <w:t>建、办公设备购置、专用设备购置、基础设施建设、大型修缮、信息网络及软件购置更新、物资储备、土地补偿、安置补助、地上附着物和青苗补偿、拆迁补偿、公务用车购置、其他交通工具购置、文物和陈列品购置、无形资产购置、其他资本性支出等；其他支出中的赠予、国家赔偿费用支出、对民间非营利组织和群众性自治组织补贴和其他支出。</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上述</w:t>
      </w:r>
      <w:r>
        <w:rPr>
          <w:rFonts w:hint="eastAsia" w:ascii="仿宋_GB2312" w:hAnsi="ˎ̥" w:eastAsia="仿宋_GB2312"/>
          <w:color w:val="auto"/>
          <w:sz w:val="32"/>
          <w:szCs w:val="32"/>
          <w:lang w:val="en-US" w:eastAsia="zh-CN"/>
        </w:rPr>
        <w:t>数据</w:t>
      </w:r>
      <w:r>
        <w:rPr>
          <w:rFonts w:hint="eastAsia" w:ascii="仿宋_GB2312" w:hAnsi="ˎ̥" w:eastAsia="仿宋_GB2312"/>
          <w:color w:val="auto"/>
          <w:sz w:val="32"/>
          <w:szCs w:val="32"/>
        </w:rPr>
        <w:t>可取自财决公开06表，各</w:t>
      </w:r>
      <w:r>
        <w:rPr>
          <w:rFonts w:hint="eastAsia" w:ascii="仿宋_GB2312" w:hAnsi="ˎ̥" w:eastAsia="仿宋_GB2312"/>
          <w:color w:val="auto"/>
          <w:sz w:val="32"/>
          <w:szCs w:val="32"/>
          <w:lang w:val="en-US" w:eastAsia="zh-CN"/>
        </w:rPr>
        <w:t>预算</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单位根据实际支出情况，选列相应支出经济分类。）</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七、政府性基金预算财政拨款支出决算情况说明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（一）政府性基金预算财政拨款支出决算总体情况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年度政府性基金预算财政拨款支出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万元，占本年支出合计的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年度相比，政府性基金预算财政拨款支出增加（减少）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万元，增长（下降）</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（二）政府性基金预算财政拨款支出决算结构情况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年度政府性基金预算财政拨款支出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根据各</w:t>
      </w:r>
      <w:r>
        <w:rPr>
          <w:rFonts w:hint="eastAsia" w:ascii="仿宋_GB2312" w:hAnsi="ˎ̥" w:eastAsia="仿宋_GB2312"/>
          <w:color w:val="auto"/>
          <w:sz w:val="32"/>
          <w:szCs w:val="32"/>
          <w:lang w:val="en-US" w:eastAsia="zh-CN"/>
        </w:rPr>
        <w:t>预算</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单位实际支出涉及的支出功能分类类级科目填列</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（三）政府性基金预算财政拨款支出决算具体情况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年度政府性基金预算财政拨款支出年初预算为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根据各</w:t>
      </w:r>
      <w:r>
        <w:rPr>
          <w:rFonts w:hint="eastAsia" w:ascii="仿宋_GB2312" w:hAnsi="ˎ̥" w:eastAsia="仿宋_GB2312"/>
          <w:color w:val="auto"/>
          <w:sz w:val="32"/>
          <w:szCs w:val="32"/>
          <w:lang w:val="en-US" w:eastAsia="zh-CN"/>
        </w:rPr>
        <w:t>预算</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单位实际支出涉及的支出功能分类项级科目填列，本部分</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w:t>
      </w:r>
      <w:r>
        <w:rPr>
          <w:rFonts w:hint="eastAsia" w:ascii="仿宋_GB2312" w:hAnsi="ˎ̥" w:eastAsia="仿宋_GB2312"/>
          <w:color w:val="auto"/>
          <w:sz w:val="32"/>
          <w:szCs w:val="32"/>
          <w:lang w:val="en-US" w:eastAsia="zh-CN"/>
        </w:rPr>
        <w:t>度</w:t>
      </w:r>
      <w:r>
        <w:rPr>
          <w:rFonts w:hint="eastAsia" w:ascii="仿宋_GB2312" w:hAnsi="ˎ̥" w:eastAsia="仿宋_GB2312"/>
          <w:color w:val="auto"/>
          <w:sz w:val="32"/>
          <w:szCs w:val="32"/>
        </w:rPr>
        <w:t>决算相关数据取自财决公开07表；</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w:t>
      </w:r>
      <w:r>
        <w:rPr>
          <w:rFonts w:hint="eastAsia" w:ascii="仿宋_GB2312" w:hAnsi="ˎ̥" w:eastAsia="仿宋_GB2312"/>
          <w:color w:val="auto"/>
          <w:sz w:val="32"/>
          <w:szCs w:val="32"/>
          <w:lang w:val="en-US" w:eastAsia="zh-CN"/>
        </w:rPr>
        <w:t>度</w:t>
      </w:r>
      <w:r>
        <w:rPr>
          <w:rFonts w:hint="eastAsia" w:ascii="仿宋_GB2312" w:hAnsi="ˎ̥" w:eastAsia="仿宋_GB2312"/>
          <w:color w:val="auto"/>
          <w:sz w:val="32"/>
          <w:szCs w:val="32"/>
        </w:rPr>
        <w:t>决算相关数据取自</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lang w:val="en-US" w:eastAsia="zh-CN"/>
        </w:rPr>
        <w:t>年度单位决算报表</w:t>
      </w:r>
      <w:r>
        <w:rPr>
          <w:rFonts w:hint="eastAsia" w:ascii="仿宋_GB2312" w:hAnsi="ˎ̥" w:eastAsia="仿宋_GB2312"/>
          <w:color w:val="auto"/>
          <w:sz w:val="32"/>
          <w:szCs w:val="32"/>
        </w:rPr>
        <w:t>财决09表《政府性基金预算财政拨款收入支出决算表》</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八、国有资本经营预算财政拨款支出决算情况说明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（一）国有资本经营预算财政拨款支出决算总体情况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年度国有资本经营预算财政拨款支出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万元，占本年支出合计的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年度相比，国有资本经营预算财政拨款支出增加（减少）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万元，增长（下降）</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（二）国有资本经营预算财政拨款支出决算结构情况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年度国有资本经营预算财政拨款支出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根据各</w:t>
      </w:r>
      <w:r>
        <w:rPr>
          <w:rFonts w:hint="eastAsia" w:ascii="仿宋_GB2312" w:hAnsi="ˎ̥" w:eastAsia="仿宋_GB2312"/>
          <w:color w:val="auto"/>
          <w:sz w:val="32"/>
          <w:szCs w:val="32"/>
          <w:lang w:val="en-US" w:eastAsia="zh-CN"/>
        </w:rPr>
        <w:t>预算</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单位实际支出涉及的支出功能分类类级科目填列</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（三）国有资本经营预算财政拨款支出决算具体情况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年度国有资本经营预算财政拨款支出年初预算为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根据各</w:t>
      </w:r>
      <w:r>
        <w:rPr>
          <w:rFonts w:hint="eastAsia" w:ascii="仿宋_GB2312" w:hAnsi="ˎ̥" w:eastAsia="仿宋_GB2312"/>
          <w:color w:val="auto"/>
          <w:sz w:val="32"/>
          <w:szCs w:val="32"/>
          <w:lang w:val="en-US" w:eastAsia="zh-CN"/>
        </w:rPr>
        <w:t>预算</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单位实际支出涉及的支出功能分类项级科目填列，本部分</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w:t>
      </w:r>
      <w:r>
        <w:rPr>
          <w:rFonts w:hint="eastAsia" w:ascii="仿宋_GB2312" w:hAnsi="ˎ̥" w:eastAsia="仿宋_GB2312"/>
          <w:color w:val="auto"/>
          <w:sz w:val="32"/>
          <w:szCs w:val="32"/>
          <w:lang w:val="en-US" w:eastAsia="zh-CN"/>
        </w:rPr>
        <w:t>度</w:t>
      </w:r>
      <w:r>
        <w:rPr>
          <w:rFonts w:hint="eastAsia" w:ascii="仿宋_GB2312" w:hAnsi="ˎ̥" w:eastAsia="仿宋_GB2312"/>
          <w:color w:val="auto"/>
          <w:sz w:val="32"/>
          <w:szCs w:val="32"/>
        </w:rPr>
        <w:t>决算相关数据取自财决公开08表</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仿宋_GB2312" w:hAnsi="ˎ̥" w:eastAsia="楷体_GB2312"/>
          <w:color w:val="auto"/>
          <w:sz w:val="32"/>
          <w:szCs w:val="32"/>
        </w:rPr>
      </w:pPr>
      <w:r>
        <w:rPr>
          <w:rFonts w:hint="eastAsia" w:ascii="黑体" w:hAnsi="黑体" w:eastAsia="黑体" w:cs="黑体"/>
          <w:bCs/>
          <w:color w:val="auto"/>
          <w:sz w:val="32"/>
          <w:szCs w:val="32"/>
        </w:rPr>
        <w:t>九、财政拨款“三公”经费支出决算情况说明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r>
        <w:rPr>
          <w:rFonts w:hint="eastAsia" w:ascii="楷体" w:hAnsi="楷体" w:eastAsia="楷体" w:cs="楷体"/>
          <w:bCs/>
          <w:color w:val="auto"/>
          <w:sz w:val="32"/>
          <w:szCs w:val="32"/>
        </w:rPr>
        <w:t>（一）财政拨款“三公”经费支出决算总体情况说明</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 xml:space="preserve">    </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年度财政拨款“三公”经费支出预算为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万元，完成预算的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r>
        <w:rPr>
          <w:rFonts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w:t>
      </w:r>
      <w:r>
        <w:rPr>
          <w:rFonts w:ascii="仿宋_GB2312" w:hAnsi="ˎ̥" w:eastAsia="仿宋_GB2312"/>
          <w:color w:val="auto"/>
          <w:sz w:val="32"/>
          <w:szCs w:val="32"/>
        </w:rPr>
        <w:t>相比，</w:t>
      </w:r>
      <w:r>
        <w:rPr>
          <w:rFonts w:hint="eastAsia" w:ascii="仿宋_GB2312" w:hAnsi="ˎ̥" w:eastAsia="仿宋_GB2312"/>
          <w:color w:val="auto"/>
          <w:sz w:val="32"/>
          <w:szCs w:val="32"/>
        </w:rPr>
        <w:t>“三公”经费支出增加</w:t>
      </w:r>
      <w:r>
        <w:rPr>
          <w:rFonts w:ascii="仿宋_GB2312" w:hAnsi="ˎ̥" w:eastAsia="仿宋_GB2312"/>
          <w:color w:val="auto"/>
          <w:sz w:val="32"/>
          <w:szCs w:val="32"/>
        </w:rPr>
        <w:t>（</w:t>
      </w:r>
      <w:r>
        <w:rPr>
          <w:rFonts w:hint="eastAsia" w:ascii="仿宋_GB2312" w:hAnsi="ˎ̥" w:eastAsia="仿宋_GB2312"/>
          <w:color w:val="auto"/>
          <w:sz w:val="32"/>
          <w:szCs w:val="32"/>
        </w:rPr>
        <w:t>减少</w:t>
      </w:r>
      <w:r>
        <w:rPr>
          <w:rFonts w:ascii="仿宋_GB2312" w:hAnsi="ˎ̥" w:eastAsia="仿宋_GB2312"/>
          <w:color w:val="auto"/>
          <w:sz w:val="32"/>
          <w:szCs w:val="32"/>
        </w:rPr>
        <w:t>）</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r>
        <w:rPr>
          <w:rFonts w:ascii="仿宋_GB2312" w:hAnsi="ˎ̥" w:eastAsia="仿宋_GB2312"/>
          <w:color w:val="auto"/>
          <w:sz w:val="32"/>
          <w:szCs w:val="32"/>
        </w:rPr>
        <w:t>，增长（</w:t>
      </w:r>
      <w:r>
        <w:rPr>
          <w:rFonts w:hint="eastAsia" w:ascii="仿宋_GB2312" w:hAnsi="ˎ̥" w:eastAsia="仿宋_GB2312"/>
          <w:color w:val="auto"/>
          <w:sz w:val="32"/>
          <w:szCs w:val="32"/>
        </w:rPr>
        <w:t>下降</w:t>
      </w:r>
      <w:r>
        <w:rPr>
          <w:rFonts w:ascii="仿宋_GB2312" w:hAnsi="ˎ̥" w:eastAsia="仿宋_GB2312"/>
          <w:color w:val="auto"/>
          <w:sz w:val="32"/>
          <w:szCs w:val="32"/>
        </w:rPr>
        <w:t>）</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楷体" w:hAnsi="楷体" w:eastAsia="楷体" w:cs="楷体"/>
          <w:color w:val="auto"/>
          <w:sz w:val="32"/>
          <w:szCs w:val="32"/>
        </w:rPr>
      </w:pPr>
      <w:r>
        <w:rPr>
          <w:rFonts w:hint="eastAsia" w:ascii="楷体" w:hAnsi="楷体" w:eastAsia="楷体" w:cs="楷体"/>
          <w:b/>
          <w:bCs/>
          <w:color w:val="auto"/>
          <w:sz w:val="32"/>
          <w:szCs w:val="32"/>
        </w:rPr>
        <w:t xml:space="preserve">   </w:t>
      </w:r>
      <w:r>
        <w:rPr>
          <w:rFonts w:hint="eastAsia" w:ascii="楷体" w:hAnsi="楷体" w:eastAsia="楷体" w:cs="楷体"/>
          <w:color w:val="auto"/>
          <w:sz w:val="32"/>
          <w:szCs w:val="32"/>
        </w:rPr>
        <w:t xml:space="preserve"> （二）财政拨款“三公”经费支出决算具体情况说明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年度财政拨款“三公”经费支出决算中，因公出国（境）费支出决算</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%；公务用车购置及运行维护费支出决算</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%；公务接待费支出决算</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%。具体情况如下：</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1.因公出国（境）费</w:t>
      </w:r>
      <w:r>
        <w:rPr>
          <w:rFonts w:hint="eastAsia" w:ascii="仿宋_GB2312" w:hAnsi="ˎ̥" w:eastAsia="仿宋_GB2312"/>
          <w:color w:val="auto"/>
          <w:sz w:val="32"/>
          <w:szCs w:val="32"/>
        </w:rPr>
        <w:t>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因公出国（境）费支出决算</w:t>
      </w:r>
      <w:r>
        <w:rPr>
          <w:rFonts w:hint="eastAsia" w:ascii="仿宋_GB2312" w:hAnsi="ˎ̥" w:eastAsia="仿宋_GB2312"/>
          <w:color w:val="auto"/>
          <w:sz w:val="32"/>
          <w:szCs w:val="32"/>
          <w:lang w:val="en-US" w:eastAsia="zh-CN"/>
        </w:rPr>
        <w:t>数</w:t>
      </w:r>
      <w:r>
        <w:rPr>
          <w:rFonts w:hint="eastAsia" w:ascii="仿宋_GB2312" w:hAnsi="ˎ̥" w:eastAsia="仿宋_GB2312"/>
          <w:color w:val="auto"/>
          <w:sz w:val="32"/>
          <w:szCs w:val="32"/>
        </w:rPr>
        <w:t>比预算数增加（减少）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r>
        <w:rPr>
          <w:rFonts w:hint="eastAsia" w:ascii="仿宋_GB2312" w:hAnsi="ˎ̥" w:eastAsia="仿宋_GB2312"/>
          <w:color w:val="auto"/>
          <w:sz w:val="32"/>
          <w:szCs w:val="32"/>
          <w:lang w:val="en-US" w:eastAsia="zh-CN"/>
        </w:rPr>
        <w:t>完成预算的0</w:t>
      </w:r>
      <w:r>
        <w:rPr>
          <w:rFonts w:hint="default" w:ascii="仿宋_GB2312" w:hAnsi="ˎ̥" w:eastAsia="仿宋_GB2312"/>
          <w:color w:val="auto"/>
          <w:sz w:val="32"/>
          <w:szCs w:val="32"/>
          <w:lang w:val="en-US" w:eastAsia="zh-CN"/>
        </w:rPr>
        <w:t>%</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w:t>
      </w:r>
      <w:r>
        <w:rPr>
          <w:rFonts w:ascii="仿宋_GB2312" w:hAnsi="ˎ̥" w:eastAsia="仿宋_GB2312"/>
          <w:color w:val="auto"/>
          <w:sz w:val="32"/>
          <w:szCs w:val="32"/>
        </w:rPr>
        <w:t>相比，</w:t>
      </w:r>
      <w:r>
        <w:rPr>
          <w:rFonts w:hint="eastAsia" w:ascii="仿宋_GB2312" w:hAnsi="ˎ̥" w:eastAsia="仿宋_GB2312"/>
          <w:color w:val="auto"/>
          <w:sz w:val="32"/>
          <w:szCs w:val="32"/>
        </w:rPr>
        <w:t>因公出国（境）费支出增加</w:t>
      </w:r>
      <w:r>
        <w:rPr>
          <w:rFonts w:ascii="仿宋_GB2312" w:hAnsi="ˎ̥" w:eastAsia="仿宋_GB2312"/>
          <w:color w:val="auto"/>
          <w:sz w:val="32"/>
          <w:szCs w:val="32"/>
        </w:rPr>
        <w:t>（</w:t>
      </w:r>
      <w:r>
        <w:rPr>
          <w:rFonts w:hint="eastAsia" w:ascii="仿宋_GB2312" w:hAnsi="ˎ̥" w:eastAsia="仿宋_GB2312"/>
          <w:color w:val="auto"/>
          <w:sz w:val="32"/>
          <w:szCs w:val="32"/>
        </w:rPr>
        <w:t>减少</w:t>
      </w:r>
      <w:r>
        <w:rPr>
          <w:rFonts w:ascii="仿宋_GB2312" w:hAnsi="ˎ̥" w:eastAsia="仿宋_GB2312"/>
          <w:color w:val="auto"/>
          <w:sz w:val="32"/>
          <w:szCs w:val="32"/>
        </w:rPr>
        <w:t>）</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r>
        <w:rPr>
          <w:rFonts w:ascii="仿宋_GB2312" w:hAnsi="ˎ̥" w:eastAsia="仿宋_GB2312"/>
          <w:color w:val="auto"/>
          <w:sz w:val="32"/>
          <w:szCs w:val="32"/>
        </w:rPr>
        <w:t>，增长（</w:t>
      </w:r>
      <w:r>
        <w:rPr>
          <w:rFonts w:hint="eastAsia" w:ascii="仿宋_GB2312" w:hAnsi="ˎ̥" w:eastAsia="仿宋_GB2312"/>
          <w:color w:val="auto"/>
          <w:sz w:val="32"/>
          <w:szCs w:val="32"/>
        </w:rPr>
        <w:t>下降</w:t>
      </w:r>
      <w:r>
        <w:rPr>
          <w:rFonts w:ascii="仿宋_GB2312" w:hAnsi="ˎ̥" w:eastAsia="仿宋_GB2312"/>
          <w:color w:val="auto"/>
          <w:sz w:val="32"/>
          <w:szCs w:val="32"/>
        </w:rPr>
        <w:t>）</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 xml:space="preserve">    2.公务用车购置及运行维护费</w:t>
      </w:r>
      <w:r>
        <w:rPr>
          <w:rFonts w:hint="eastAsia" w:ascii="仿宋_GB2312" w:hAnsi="ˎ̥" w:eastAsia="仿宋_GB2312"/>
          <w:b w:val="0"/>
          <w:bCs/>
          <w:color w:val="auto"/>
          <w:sz w:val="32"/>
          <w:szCs w:val="32"/>
        </w:rPr>
        <w:t>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公务用车运行维护费</w:t>
      </w:r>
      <w:r>
        <w:rPr>
          <w:rFonts w:hint="eastAsia" w:ascii="仿宋_GB2312" w:hAnsi="ˎ̥" w:eastAsia="仿宋_GB2312"/>
          <w:color w:val="auto"/>
          <w:sz w:val="32"/>
          <w:szCs w:val="32"/>
        </w:rPr>
        <w:t>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Cs/>
          <w:color w:val="auto"/>
          <w:sz w:val="32"/>
          <w:szCs w:val="32"/>
        </w:rPr>
      </w:pPr>
      <w:r>
        <w:rPr>
          <w:rFonts w:hint="eastAsia" w:ascii="仿宋_GB2312" w:hAnsi="ˎ̥" w:eastAsia="仿宋_GB2312"/>
          <w:bCs/>
          <w:color w:val="auto"/>
          <w:sz w:val="32"/>
          <w:szCs w:val="32"/>
        </w:rPr>
        <w:t>公务用车购置及运行维护费支出决算数</w:t>
      </w:r>
      <w:r>
        <w:rPr>
          <w:rFonts w:hint="eastAsia" w:ascii="仿宋_GB2312" w:hAnsi="ˎ̥" w:eastAsia="仿宋_GB2312"/>
          <w:color w:val="auto"/>
          <w:sz w:val="32"/>
          <w:szCs w:val="32"/>
        </w:rPr>
        <w:t>比预算数增加（减少）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r>
        <w:rPr>
          <w:rFonts w:hint="eastAsia" w:ascii="仿宋_GB2312" w:hAnsi="ˎ̥" w:eastAsia="仿宋_GB2312"/>
          <w:color w:val="auto"/>
          <w:sz w:val="32"/>
          <w:szCs w:val="32"/>
          <w:lang w:val="en-US" w:eastAsia="zh-CN"/>
        </w:rPr>
        <w:t>完成预算的0</w:t>
      </w:r>
      <w:r>
        <w:rPr>
          <w:rFonts w:hint="eastAsia" w:ascii="仿宋_GB2312" w:hAnsi="ˎ̥" w:eastAsia="仿宋_GB2312"/>
          <w:color w:val="auto"/>
          <w:sz w:val="32"/>
          <w:szCs w:val="32"/>
        </w:rPr>
        <w:t>%</w:t>
      </w:r>
      <w:r>
        <w:rPr>
          <w:rFonts w:hint="eastAsia" w:ascii="仿宋_GB2312" w:hAnsi="ˎ̥" w:eastAsia="仿宋_GB2312"/>
          <w:color w:val="auto"/>
          <w:sz w:val="32"/>
          <w:szCs w:val="32"/>
          <w:lang w:val="en-US" w:eastAsia="zh-CN"/>
        </w:rPr>
        <w:t>。</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w:t>
      </w:r>
      <w:r>
        <w:rPr>
          <w:rFonts w:ascii="仿宋_GB2312" w:hAnsi="ˎ̥" w:eastAsia="仿宋_GB2312"/>
          <w:color w:val="auto"/>
          <w:sz w:val="32"/>
          <w:szCs w:val="32"/>
        </w:rPr>
        <w:t>相比，</w:t>
      </w:r>
      <w:r>
        <w:rPr>
          <w:rFonts w:hint="eastAsia" w:ascii="仿宋_GB2312" w:hAnsi="ˎ̥" w:eastAsia="仿宋_GB2312"/>
          <w:bCs/>
          <w:color w:val="auto"/>
          <w:sz w:val="32"/>
          <w:szCs w:val="32"/>
        </w:rPr>
        <w:t>公务用车购置及运行维护费</w:t>
      </w:r>
      <w:r>
        <w:rPr>
          <w:rFonts w:hint="eastAsia" w:ascii="仿宋_GB2312" w:hAnsi="ˎ̥" w:eastAsia="仿宋_GB2312"/>
          <w:color w:val="auto"/>
          <w:sz w:val="32"/>
          <w:szCs w:val="32"/>
        </w:rPr>
        <w:t>支出增加</w:t>
      </w:r>
      <w:r>
        <w:rPr>
          <w:rFonts w:ascii="仿宋_GB2312" w:hAnsi="ˎ̥" w:eastAsia="仿宋_GB2312"/>
          <w:color w:val="auto"/>
          <w:sz w:val="32"/>
          <w:szCs w:val="32"/>
        </w:rPr>
        <w:t>（</w:t>
      </w:r>
      <w:r>
        <w:rPr>
          <w:rFonts w:hint="eastAsia" w:ascii="仿宋_GB2312" w:hAnsi="ˎ̥" w:eastAsia="仿宋_GB2312"/>
          <w:color w:val="auto"/>
          <w:sz w:val="32"/>
          <w:szCs w:val="32"/>
        </w:rPr>
        <w:t>减少</w:t>
      </w:r>
      <w:r>
        <w:rPr>
          <w:rFonts w:ascii="仿宋_GB2312" w:hAnsi="ˎ̥" w:eastAsia="仿宋_GB2312"/>
          <w:color w:val="auto"/>
          <w:sz w:val="32"/>
          <w:szCs w:val="32"/>
        </w:rPr>
        <w:t>）</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r>
        <w:rPr>
          <w:rFonts w:ascii="仿宋_GB2312" w:hAnsi="ˎ̥" w:eastAsia="仿宋_GB2312"/>
          <w:color w:val="auto"/>
          <w:sz w:val="32"/>
          <w:szCs w:val="32"/>
        </w:rPr>
        <w:t>，增长（</w:t>
      </w:r>
      <w:r>
        <w:rPr>
          <w:rFonts w:hint="eastAsia" w:ascii="仿宋_GB2312" w:hAnsi="ˎ̥" w:eastAsia="仿宋_GB2312"/>
          <w:color w:val="auto"/>
          <w:sz w:val="32"/>
          <w:szCs w:val="32"/>
        </w:rPr>
        <w:t>下降</w:t>
      </w:r>
      <w:r>
        <w:rPr>
          <w:rFonts w:ascii="仿宋_GB2312" w:hAnsi="ˎ̥" w:eastAsia="仿宋_GB2312"/>
          <w:color w:val="auto"/>
          <w:sz w:val="32"/>
          <w:szCs w:val="32"/>
        </w:rPr>
        <w:t>）</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 xml:space="preserve">    3.公务接待费</w:t>
      </w:r>
      <w:r>
        <w:rPr>
          <w:rFonts w:hint="eastAsia" w:ascii="仿宋_GB2312" w:hAnsi="ˎ̥" w:eastAsia="仿宋_GB2312"/>
          <w:b w:val="0"/>
          <w:bCs/>
          <w:color w:val="auto"/>
          <w:sz w:val="32"/>
          <w:szCs w:val="32"/>
        </w:rPr>
        <w:t>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国内接待费</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万元，国内公务接待</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批次。</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auto"/>
          <w:sz w:val="32"/>
          <w:szCs w:val="32"/>
        </w:rPr>
      </w:pPr>
      <w:r>
        <w:rPr>
          <w:rFonts w:hint="eastAsia" w:ascii="仿宋_GB2312" w:hAnsi="ˎ̥" w:eastAsia="仿宋_GB2312"/>
          <w:b/>
          <w:bCs/>
          <w:color w:val="auto"/>
          <w:sz w:val="32"/>
          <w:szCs w:val="32"/>
        </w:rPr>
        <w:t>国（境）外接待费</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万元，国（境）外公务接待</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批次。</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公务接待费支出决算数比预算数增加（减少）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r>
        <w:rPr>
          <w:rFonts w:hint="eastAsia" w:ascii="仿宋_GB2312" w:hAnsi="ˎ̥" w:eastAsia="仿宋_GB2312"/>
          <w:color w:val="auto"/>
          <w:sz w:val="32"/>
          <w:szCs w:val="32"/>
          <w:lang w:val="en-US" w:eastAsia="zh-CN"/>
        </w:rPr>
        <w:t>完成预算的0</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w:t>
      </w:r>
      <w:r>
        <w:rPr>
          <w:rFonts w:ascii="仿宋_GB2312" w:hAnsi="ˎ̥" w:eastAsia="仿宋_GB2312"/>
          <w:color w:val="auto"/>
          <w:sz w:val="32"/>
          <w:szCs w:val="32"/>
        </w:rPr>
        <w:t>相比，</w:t>
      </w:r>
      <w:r>
        <w:rPr>
          <w:rFonts w:hint="eastAsia" w:ascii="仿宋_GB2312" w:hAnsi="ˎ̥" w:eastAsia="仿宋_GB2312"/>
          <w:bCs/>
          <w:color w:val="auto"/>
          <w:sz w:val="32"/>
          <w:szCs w:val="32"/>
        </w:rPr>
        <w:t>公务接待费</w:t>
      </w:r>
      <w:r>
        <w:rPr>
          <w:rFonts w:hint="eastAsia" w:ascii="仿宋_GB2312" w:hAnsi="ˎ̥" w:eastAsia="仿宋_GB2312"/>
          <w:color w:val="auto"/>
          <w:sz w:val="32"/>
          <w:szCs w:val="32"/>
        </w:rPr>
        <w:t>支出增加</w:t>
      </w:r>
      <w:r>
        <w:rPr>
          <w:rFonts w:ascii="仿宋_GB2312" w:hAnsi="ˎ̥" w:eastAsia="仿宋_GB2312"/>
          <w:color w:val="auto"/>
          <w:sz w:val="32"/>
          <w:szCs w:val="32"/>
        </w:rPr>
        <w:t>（</w:t>
      </w:r>
      <w:r>
        <w:rPr>
          <w:rFonts w:hint="eastAsia" w:ascii="仿宋_GB2312" w:hAnsi="ˎ̥" w:eastAsia="仿宋_GB2312"/>
          <w:color w:val="auto"/>
          <w:sz w:val="32"/>
          <w:szCs w:val="32"/>
        </w:rPr>
        <w:t>减少</w:t>
      </w:r>
      <w:r>
        <w:rPr>
          <w:rFonts w:ascii="仿宋_GB2312" w:hAnsi="ˎ̥" w:eastAsia="仿宋_GB2312"/>
          <w:color w:val="auto"/>
          <w:sz w:val="32"/>
          <w:szCs w:val="32"/>
        </w:rPr>
        <w:t>）</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r>
        <w:rPr>
          <w:rFonts w:ascii="仿宋_GB2312" w:hAnsi="ˎ̥" w:eastAsia="仿宋_GB2312"/>
          <w:color w:val="auto"/>
          <w:sz w:val="32"/>
          <w:szCs w:val="32"/>
        </w:rPr>
        <w:t>，增长（</w:t>
      </w:r>
      <w:r>
        <w:rPr>
          <w:rFonts w:hint="eastAsia" w:ascii="仿宋_GB2312" w:hAnsi="ˎ̥" w:eastAsia="仿宋_GB2312"/>
          <w:color w:val="auto"/>
          <w:sz w:val="32"/>
          <w:szCs w:val="32"/>
        </w:rPr>
        <w:t>下降</w:t>
      </w:r>
      <w:r>
        <w:rPr>
          <w:rFonts w:ascii="仿宋_GB2312" w:hAnsi="ˎ̥" w:eastAsia="仿宋_GB2312"/>
          <w:color w:val="auto"/>
          <w:sz w:val="32"/>
          <w:szCs w:val="32"/>
        </w:rPr>
        <w:t>）</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年度“三公”经费预算数、决算数可取自财决公开09表，出国团组数、出国人次，公务用车购置数、公务用车保有量，接待团组数、接待人次可取自</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决算报表F03表《机构运行信息表》，</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年度相关</w:t>
      </w:r>
      <w:r>
        <w:rPr>
          <w:rFonts w:ascii="仿宋_GB2312" w:hAnsi="ˎ̥" w:eastAsia="仿宋_GB2312"/>
          <w:color w:val="auto"/>
          <w:sz w:val="32"/>
          <w:szCs w:val="32"/>
        </w:rPr>
        <w:t>数据</w:t>
      </w:r>
      <w:r>
        <w:rPr>
          <w:rFonts w:hint="eastAsia" w:ascii="仿宋_GB2312" w:hAnsi="ˎ̥" w:eastAsia="仿宋_GB2312"/>
          <w:color w:val="auto"/>
          <w:sz w:val="32"/>
          <w:szCs w:val="32"/>
        </w:rPr>
        <w:t>可取自</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w:t>
      </w:r>
      <w:r>
        <w:rPr>
          <w:rFonts w:hint="eastAsia" w:ascii="仿宋_GB2312" w:hAnsi="ˎ̥" w:eastAsia="仿宋_GB2312"/>
          <w:color w:val="auto"/>
          <w:sz w:val="32"/>
          <w:szCs w:val="32"/>
          <w:lang w:eastAsia="zh-CN"/>
        </w:rPr>
        <w:t>单位</w:t>
      </w:r>
      <w:r>
        <w:rPr>
          <w:rFonts w:ascii="仿宋_GB2312" w:hAnsi="ˎ̥" w:eastAsia="仿宋_GB2312"/>
          <w:color w:val="auto"/>
          <w:sz w:val="32"/>
          <w:szCs w:val="32"/>
        </w:rPr>
        <w:t>决算报表</w:t>
      </w:r>
      <w:r>
        <w:rPr>
          <w:rFonts w:hint="eastAsia" w:ascii="仿宋_GB2312" w:hAnsi="ˎ̥" w:eastAsia="仿宋_GB2312"/>
          <w:color w:val="auto"/>
          <w:sz w:val="32"/>
          <w:szCs w:val="32"/>
        </w:rPr>
        <w:t>F03表《机构</w:t>
      </w:r>
      <w:r>
        <w:rPr>
          <w:rFonts w:ascii="仿宋_GB2312" w:hAnsi="ˎ̥" w:eastAsia="仿宋_GB2312"/>
          <w:color w:val="auto"/>
          <w:sz w:val="32"/>
          <w:szCs w:val="32"/>
        </w:rPr>
        <w:t>运行信息表》</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十、预算绩效情况说明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r>
        <w:rPr>
          <w:rFonts w:hint="eastAsia" w:ascii="楷体" w:hAnsi="楷体" w:eastAsia="楷体" w:cs="楷体"/>
          <w:bCs/>
          <w:color w:val="auto"/>
          <w:sz w:val="32"/>
          <w:szCs w:val="32"/>
        </w:rPr>
        <w:t>（一）绩效管理工作开展情况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color w:val="auto"/>
          <w:sz w:val="32"/>
          <w:szCs w:val="32"/>
        </w:rPr>
      </w:pPr>
      <w:r>
        <w:rPr>
          <w:rFonts w:hint="eastAsia" w:ascii="仿宋_GB2312" w:eastAsia="仿宋_GB2312"/>
          <w:color w:val="auto"/>
          <w:sz w:val="32"/>
          <w:szCs w:val="32"/>
        </w:rPr>
        <w:t>根据财政预算绩效管理要求，可按照如下格式说明：根据预算管理要求，我</w:t>
      </w:r>
      <w:r>
        <w:rPr>
          <w:rFonts w:hint="eastAsia" w:ascii="仿宋_GB2312" w:eastAsia="仿宋_GB2312"/>
          <w:color w:val="auto"/>
          <w:sz w:val="32"/>
          <w:szCs w:val="32"/>
          <w:lang w:eastAsia="zh-CN"/>
        </w:rPr>
        <w:t>单位</w:t>
      </w:r>
      <w:r>
        <w:rPr>
          <w:rFonts w:hint="eastAsia" w:ascii="仿宋_GB2312" w:eastAsia="仿宋_GB2312"/>
          <w:color w:val="auto"/>
          <w:sz w:val="32"/>
          <w:szCs w:val="32"/>
        </w:rPr>
        <w:t>组织对</w:t>
      </w:r>
      <w:r>
        <w:rPr>
          <w:rFonts w:hint="default" w:ascii="仿宋_GB2312" w:eastAsia="仿宋_GB2312"/>
          <w:color w:val="auto"/>
          <w:sz w:val="32"/>
          <w:szCs w:val="32"/>
          <w:lang w:val="en-US"/>
        </w:rPr>
        <w:t>2024</w:t>
      </w:r>
      <w:r>
        <w:rPr>
          <w:rFonts w:hint="eastAsia" w:ascii="仿宋_GB2312" w:eastAsia="仿宋_GB2312"/>
          <w:color w:val="auto"/>
          <w:sz w:val="32"/>
          <w:szCs w:val="32"/>
        </w:rPr>
        <w:t>年度一般公共预算项目支出全面开展绩效自评</w:t>
      </w:r>
      <w:r>
        <w:rPr>
          <w:rFonts w:hint="default" w:ascii="仿宋_GB2312" w:eastAsia="仿宋_GB2312"/>
          <w:color w:val="auto"/>
          <w:sz w:val="32"/>
          <w:szCs w:val="32"/>
          <w:lang w:val="en-US"/>
        </w:rPr>
        <w:t>,</w:t>
      </w:r>
      <w:r>
        <w:rPr>
          <w:rFonts w:hint="eastAsia" w:ascii="仿宋_GB2312" w:eastAsia="仿宋_GB2312"/>
          <w:color w:val="auto"/>
          <w:sz w:val="32"/>
          <w:szCs w:val="32"/>
          <w:lang w:val="en-US" w:eastAsia="zh-CN"/>
        </w:rPr>
        <w:t>共涉及资金0万元，占一般公共预算项目支出总额的0%</w:t>
      </w:r>
      <w:r>
        <w:rPr>
          <w:rFonts w:hint="eastAsia" w:ascii="仿宋_GB2312" w:eastAsia="仿宋_GB2312"/>
          <w:color w:val="auto"/>
          <w:sz w:val="32"/>
          <w:szCs w:val="32"/>
        </w:rPr>
        <w:t>。</w:t>
      </w:r>
      <w:r>
        <w:rPr>
          <w:rFonts w:hint="eastAsia" w:ascii="仿宋_GB2312" w:eastAsia="仿宋_GB2312"/>
          <w:color w:val="auto"/>
          <w:sz w:val="32"/>
          <w:szCs w:val="32"/>
          <w:lang w:bidi="ar"/>
        </w:rPr>
        <w:t>组织对</w:t>
      </w:r>
      <w:r>
        <w:rPr>
          <w:rFonts w:hint="default" w:ascii="仿宋_GB2312" w:eastAsia="仿宋_GB2312"/>
          <w:color w:val="auto"/>
          <w:sz w:val="32"/>
          <w:szCs w:val="32"/>
          <w:lang w:val="en-US" w:bidi="ar"/>
        </w:rPr>
        <w:t>2024</w:t>
      </w:r>
      <w:r>
        <w:rPr>
          <w:rFonts w:hint="eastAsia" w:ascii="仿宋_GB2312" w:eastAsia="仿宋_GB2312"/>
          <w:color w:val="auto"/>
          <w:sz w:val="32"/>
          <w:szCs w:val="32"/>
          <w:lang w:bidi="ar"/>
        </w:rPr>
        <w:t>年度</w:t>
      </w:r>
      <w:r>
        <w:rPr>
          <w:rFonts w:hint="eastAsia" w:ascii="仿宋_GB2312" w:eastAsia="仿宋_GB2312"/>
          <w:color w:val="auto"/>
          <w:sz w:val="32"/>
          <w:szCs w:val="32"/>
          <w:lang w:val="en-US" w:eastAsia="zh-CN" w:bidi="ar"/>
        </w:rPr>
        <w:t>0个</w:t>
      </w:r>
      <w:r>
        <w:rPr>
          <w:rFonts w:hint="eastAsia" w:ascii="仿宋_GB2312" w:eastAsia="仿宋_GB2312"/>
          <w:color w:val="auto"/>
          <w:sz w:val="32"/>
          <w:szCs w:val="32"/>
          <w:lang w:bidi="ar"/>
        </w:rPr>
        <w:t>政府性基金预算项目开展绩效自评，共涉及资金</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万元，占政府性基金预算项目支出总额的</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%。组织对</w:t>
      </w:r>
      <w:r>
        <w:rPr>
          <w:rFonts w:hint="default" w:ascii="仿宋_GB2312" w:eastAsia="仿宋_GB2312"/>
          <w:color w:val="auto"/>
          <w:sz w:val="32"/>
          <w:szCs w:val="32"/>
          <w:lang w:val="en-US" w:bidi="ar"/>
        </w:rPr>
        <w:t>2024</w:t>
      </w:r>
      <w:r>
        <w:rPr>
          <w:rFonts w:hint="eastAsia" w:ascii="仿宋_GB2312" w:eastAsia="仿宋_GB2312"/>
          <w:color w:val="auto"/>
          <w:sz w:val="32"/>
          <w:szCs w:val="32"/>
          <w:lang w:bidi="ar"/>
        </w:rPr>
        <w:t>年度</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 xml:space="preserve">个国有资本经营预算项目开展绩效自评，共涉及资金 </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万元，占国有资本经营预算项目支出总额的</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color w:val="auto"/>
          <w:sz w:val="32"/>
          <w:szCs w:val="32"/>
        </w:rPr>
      </w:pPr>
      <w:r>
        <w:rPr>
          <w:rFonts w:hint="eastAsia" w:ascii="仿宋_GB2312" w:eastAsia="仿宋_GB2312"/>
          <w:color w:val="auto"/>
          <w:sz w:val="32"/>
          <w:szCs w:val="32"/>
        </w:rPr>
        <w:t>共组织对</w:t>
      </w:r>
      <w:r>
        <w:rPr>
          <w:rFonts w:hint="eastAsia" w:ascii="仿宋_GB2312" w:eastAsia="仿宋_GB2312"/>
          <w:color w:val="auto"/>
          <w:sz w:val="32"/>
          <w:szCs w:val="32"/>
          <w:lang w:val="en-US" w:eastAsia="zh-CN"/>
        </w:rPr>
        <w:t>0</w:t>
      </w:r>
      <w:r>
        <w:rPr>
          <w:rFonts w:hint="eastAsia" w:ascii="仿宋_GB2312" w:eastAsia="仿宋_GB2312"/>
          <w:color w:val="auto"/>
          <w:sz w:val="32"/>
          <w:szCs w:val="32"/>
        </w:rPr>
        <w:t>个项目开展了</w:t>
      </w:r>
      <w:r>
        <w:rPr>
          <w:rFonts w:hint="eastAsia" w:ascii="仿宋_GB2312" w:eastAsia="仿宋_GB2312"/>
          <w:color w:val="auto"/>
          <w:sz w:val="32"/>
          <w:szCs w:val="32"/>
          <w:lang w:eastAsia="zh-CN"/>
        </w:rPr>
        <w:t>单位</w:t>
      </w:r>
      <w:r>
        <w:rPr>
          <w:rFonts w:hint="eastAsia" w:ascii="仿宋_GB2312" w:eastAsia="仿宋_GB2312"/>
          <w:color w:val="auto"/>
          <w:sz w:val="32"/>
          <w:szCs w:val="32"/>
        </w:rPr>
        <w:t>评价，</w:t>
      </w:r>
      <w:r>
        <w:rPr>
          <w:rFonts w:hint="eastAsia" w:ascii="仿宋_GB2312" w:eastAsia="仿宋_GB2312"/>
          <w:color w:val="auto"/>
          <w:sz w:val="32"/>
          <w:szCs w:val="32"/>
          <w:lang w:bidi="ar"/>
        </w:rPr>
        <w:t>涉及一般公共预算支出</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万元，政府性基金预算支出</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万元，国有资本经营预算支出</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万元</w:t>
      </w:r>
      <w:r>
        <w:rPr>
          <w:rFonts w:hint="eastAsia" w:ascii="仿宋_GB2312"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color w:val="auto"/>
          <w:sz w:val="32"/>
          <w:szCs w:val="32"/>
        </w:rPr>
      </w:pPr>
      <w:r>
        <w:rPr>
          <w:rFonts w:hint="eastAsia" w:ascii="楷体" w:hAnsi="楷体" w:eastAsia="楷体" w:cs="楷体"/>
          <w:bCs/>
          <w:color w:val="auto"/>
          <w:sz w:val="32"/>
          <w:szCs w:val="32"/>
        </w:rPr>
        <w:t>（二）</w:t>
      </w:r>
      <w:r>
        <w:rPr>
          <w:rFonts w:hint="eastAsia" w:ascii="楷体" w:hAnsi="楷体" w:eastAsia="楷体" w:cs="楷体"/>
          <w:bCs/>
          <w:color w:val="auto"/>
          <w:sz w:val="32"/>
          <w:szCs w:val="32"/>
          <w:lang w:val="en-US" w:eastAsia="zh-CN"/>
        </w:rPr>
        <w:t>单位</w:t>
      </w:r>
      <w:r>
        <w:rPr>
          <w:rFonts w:hint="eastAsia" w:ascii="楷体" w:hAnsi="楷体" w:eastAsia="楷体" w:cs="楷体"/>
          <w:bCs/>
          <w:color w:val="auto"/>
          <w:sz w:val="32"/>
          <w:szCs w:val="32"/>
        </w:rPr>
        <w:t>决算中项目绩效自评结果</w:t>
      </w:r>
      <w:r>
        <w:rPr>
          <w:rFonts w:hint="eastAsia" w:ascii="楷体" w:hAnsi="楷体" w:eastAsia="楷体" w:cs="楷体"/>
          <w:bCs/>
          <w:color w:val="auto"/>
          <w:sz w:val="32"/>
          <w:szCs w:val="32"/>
          <w:lang w:eastAsia="zh-CN"/>
        </w:rPr>
        <w:t>（</w:t>
      </w:r>
      <w:r>
        <w:rPr>
          <w:rFonts w:hint="eastAsia" w:ascii="楷体" w:hAnsi="楷体" w:eastAsia="楷体" w:cs="楷体"/>
          <w:bCs/>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lang w:val="en-US" w:eastAsia="zh-CN"/>
        </w:rPr>
      </w:pPr>
      <w:r>
        <w:rPr>
          <w:rFonts w:hint="eastAsia" w:ascii="楷体" w:hAnsi="楷体" w:eastAsia="楷体" w:cs="楷体"/>
          <w:bCs/>
          <w:color w:val="auto"/>
          <w:sz w:val="32"/>
          <w:szCs w:val="32"/>
        </w:rPr>
        <w:t>（三）</w:t>
      </w:r>
      <w:r>
        <w:rPr>
          <w:rFonts w:hint="eastAsia" w:ascii="楷体" w:hAnsi="楷体" w:eastAsia="楷体" w:cs="楷体"/>
          <w:bCs/>
          <w:color w:val="auto"/>
          <w:sz w:val="32"/>
          <w:szCs w:val="32"/>
          <w:lang w:val="en-US" w:eastAsia="zh-CN"/>
        </w:rPr>
        <w:t>单位</w:t>
      </w:r>
      <w:r>
        <w:rPr>
          <w:rFonts w:hint="eastAsia" w:ascii="楷体" w:hAnsi="楷体" w:eastAsia="楷体" w:cs="楷体"/>
          <w:bCs/>
          <w:color w:val="auto"/>
          <w:sz w:val="32"/>
          <w:szCs w:val="32"/>
        </w:rPr>
        <w:t>评价结果</w:t>
      </w:r>
      <w:r>
        <w:rPr>
          <w:rFonts w:hint="eastAsia" w:ascii="楷体" w:hAnsi="楷体" w:eastAsia="楷体" w:cs="楷体"/>
          <w:bCs/>
          <w:color w:val="auto"/>
          <w:sz w:val="32"/>
          <w:szCs w:val="32"/>
          <w:lang w:eastAsia="zh-CN"/>
        </w:rPr>
        <w:t>（</w:t>
      </w:r>
      <w:r>
        <w:rPr>
          <w:rFonts w:hint="eastAsia" w:ascii="楷体" w:hAnsi="楷体" w:eastAsia="楷体" w:cs="楷体"/>
          <w:bCs/>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r>
        <w:rPr>
          <w:rFonts w:hint="eastAsia" w:ascii="楷体" w:hAnsi="楷体" w:eastAsia="楷体" w:cs="楷体"/>
          <w:bCs/>
          <w:color w:val="auto"/>
          <w:sz w:val="32"/>
          <w:szCs w:val="32"/>
        </w:rPr>
        <w:t>（四）财政评价结果（</w:t>
      </w:r>
      <w:r>
        <w:rPr>
          <w:rFonts w:hint="eastAsia" w:ascii="楷体" w:hAnsi="楷体" w:eastAsia="楷体" w:cs="楷体"/>
          <w:bCs/>
          <w:color w:val="auto"/>
          <w:sz w:val="32"/>
          <w:szCs w:val="32"/>
          <w:lang w:val="en-US" w:eastAsia="zh-CN"/>
        </w:rPr>
        <w:t>无</w:t>
      </w:r>
      <w:r>
        <w:rPr>
          <w:rFonts w:hint="eastAsia" w:ascii="楷体" w:hAnsi="楷体" w:eastAsia="楷体" w:cs="楷体"/>
          <w:bCs/>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十一、其他重要事项情况说明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bookmarkStart w:id="97" w:name="_Toc15565_WPSOffice_Level2"/>
      <w:bookmarkStart w:id="98" w:name="_Toc5978_WPSOffice_Level2"/>
      <w:bookmarkStart w:id="99" w:name="_Toc32639_WPSOffice_Level2"/>
      <w:bookmarkStart w:id="100" w:name="_Toc23598_WPSOffice_Level2"/>
      <w:bookmarkStart w:id="101" w:name="_Toc15262_WPSOffice_Level2"/>
      <w:bookmarkStart w:id="102" w:name="_Toc18325_WPSOffice_Level2"/>
      <w:r>
        <w:rPr>
          <w:rFonts w:hint="eastAsia" w:ascii="楷体" w:hAnsi="楷体" w:eastAsia="楷体" w:cs="楷体"/>
          <w:bCs/>
          <w:color w:val="auto"/>
          <w:sz w:val="32"/>
          <w:szCs w:val="32"/>
        </w:rPr>
        <w:t>（一）机关运行经费支出情况</w:t>
      </w:r>
      <w:bookmarkEnd w:id="97"/>
      <w:bookmarkEnd w:id="98"/>
      <w:bookmarkEnd w:id="99"/>
      <w:bookmarkEnd w:id="100"/>
      <w:bookmarkEnd w:id="101"/>
      <w:bookmarkEnd w:id="102"/>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w:t>
      </w:r>
      <w:r>
        <w:rPr>
          <w:rFonts w:hint="eastAsia" w:ascii="仿宋_GB2312" w:hAnsi="ˎ̥" w:eastAsia="仿宋_GB2312"/>
          <w:color w:val="auto"/>
          <w:sz w:val="32"/>
          <w:szCs w:val="32"/>
          <w:lang w:val="en-US" w:eastAsia="zh-CN"/>
        </w:rPr>
        <w:t>屯昌县南坤在黄岭幼儿园</w:t>
      </w:r>
      <w:r>
        <w:rPr>
          <w:rFonts w:hint="eastAsia" w:ascii="仿宋_GB2312" w:hAnsi="ˎ̥" w:eastAsia="仿宋_GB2312"/>
          <w:color w:val="auto"/>
          <w:sz w:val="32"/>
          <w:szCs w:val="32"/>
        </w:rPr>
        <w:t>单位机关运行经费</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万元（为</w:t>
      </w:r>
      <w:r>
        <w:rPr>
          <w:rFonts w:hint="eastAsia" w:ascii="仿宋_GB2312" w:hAnsi="ˎ̥" w:eastAsia="仿宋_GB2312"/>
          <w:color w:val="auto"/>
          <w:sz w:val="32"/>
          <w:szCs w:val="32"/>
          <w:lang w:val="en-US" w:eastAsia="zh-CN"/>
        </w:rPr>
        <w:t>单位</w:t>
      </w:r>
      <w:r>
        <w:rPr>
          <w:rFonts w:hint="eastAsia" w:ascii="仿宋_GB2312" w:hAnsi="ˎ̥" w:eastAsia="仿宋_GB2312"/>
          <w:color w:val="auto"/>
          <w:sz w:val="32"/>
          <w:szCs w:val="32"/>
        </w:rPr>
        <w:t>决算中行政单位和参公事业单位财政拨款基本支出中公用经费支出之和，事业单位没有机关运行经费支出），比年初预算增加（减少）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r>
        <w:rPr>
          <w:rFonts w:hint="eastAsia" w:ascii="仿宋_GB2312" w:hAnsi="ˎ̥" w:eastAsia="仿宋_GB2312"/>
          <w:color w:val="auto"/>
          <w:sz w:val="32"/>
          <w:szCs w:val="32"/>
          <w:lang w:val="en-US" w:eastAsia="zh-CN"/>
        </w:rPr>
        <w:t>完成预算的0</w:t>
      </w:r>
      <w:r>
        <w:rPr>
          <w:rFonts w:hint="eastAsia" w:ascii="仿宋_GB2312" w:hAnsi="ˎ̥" w:eastAsia="仿宋_GB2312"/>
          <w:color w:val="auto"/>
          <w:sz w:val="32"/>
          <w:szCs w:val="32"/>
        </w:rPr>
        <w:t>%</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lang w:val="en-US" w:eastAsia="zh-CN"/>
        </w:rPr>
        <w:t>与2023年度相比，机关运行经费</w:t>
      </w:r>
      <w:r>
        <w:rPr>
          <w:rFonts w:hint="eastAsia" w:ascii="仿宋_GB2312" w:hAnsi="ˎ̥" w:eastAsia="仿宋_GB2312"/>
          <w:color w:val="auto"/>
          <w:sz w:val="32"/>
          <w:szCs w:val="32"/>
        </w:rPr>
        <w:t>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lang w:val="en-US" w:eastAsia="zh-CN"/>
        </w:rPr>
        <w:t>增长（下降）0%。</w:t>
      </w: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机关运行经费预算数可取自</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决算报表财决01-1表《财政拨款收入支出决算总表》，年初预算数-一般公共预算财政拨款-公用经费，注意</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汇总公开决算时，因事业单位没有机关运行经费支出，故</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汇总的机关运行经费预算数应为</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所属的各行政单位或参公单位的汇总数；决算数可取自</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决算报表F03表《机构运行信息表》“机关运行经费”栏。）</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bookmarkStart w:id="103" w:name="_Toc25333_WPSOffice_Level2"/>
      <w:bookmarkStart w:id="104" w:name="_Toc32689_WPSOffice_Level2"/>
      <w:bookmarkStart w:id="105" w:name="_Toc13084_WPSOffice_Level2"/>
      <w:bookmarkStart w:id="106" w:name="_Toc30383_WPSOffice_Level2"/>
      <w:bookmarkStart w:id="107" w:name="_Toc23966_WPSOffice_Level2"/>
      <w:bookmarkStart w:id="108" w:name="_Toc3131_WPSOffice_Level2"/>
      <w:r>
        <w:rPr>
          <w:rFonts w:hint="eastAsia" w:ascii="楷体" w:hAnsi="楷体" w:eastAsia="楷体" w:cs="楷体"/>
          <w:bCs/>
          <w:color w:val="auto"/>
          <w:sz w:val="32"/>
          <w:szCs w:val="32"/>
        </w:rPr>
        <w:t>（二）政府采购支出情况</w:t>
      </w:r>
      <w:bookmarkEnd w:id="103"/>
      <w:bookmarkEnd w:id="104"/>
      <w:bookmarkEnd w:id="105"/>
      <w:bookmarkEnd w:id="106"/>
      <w:bookmarkEnd w:id="107"/>
      <w:bookmarkEnd w:id="108"/>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left"/>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w:t>
      </w:r>
      <w:r>
        <w:rPr>
          <w:rFonts w:hint="eastAsia" w:ascii="仿宋_GB2312" w:hAnsi="ˎ̥" w:eastAsia="仿宋_GB2312"/>
          <w:color w:val="auto"/>
          <w:sz w:val="32"/>
          <w:szCs w:val="32"/>
          <w:lang w:val="en-US" w:eastAsia="zh-CN"/>
        </w:rPr>
        <w:t>屯昌县南坤镇黄岭幼儿园</w:t>
      </w:r>
      <w:r>
        <w:rPr>
          <w:rFonts w:hint="eastAsia" w:ascii="仿宋_GB2312" w:hAnsi="ˎ̥" w:eastAsia="仿宋_GB2312"/>
          <w:color w:val="auto"/>
          <w:sz w:val="32"/>
          <w:szCs w:val="32"/>
        </w:rPr>
        <w:t>（单位）政府采购支出总额</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万元，其中：政府采购货物支出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万元、政府采购工程支出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万元、政府采购服务支出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万元。授予中小企业合同金额</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万元，占政府采购支出总额的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上述政府采购支出相关</w:t>
      </w:r>
      <w:r>
        <w:rPr>
          <w:rFonts w:hint="eastAsia" w:ascii="仿宋_GB2312" w:hAnsi="ˎ̥" w:eastAsia="仿宋_GB2312"/>
          <w:color w:val="auto"/>
          <w:sz w:val="32"/>
          <w:szCs w:val="32"/>
          <w:lang w:val="en-US" w:eastAsia="zh-CN"/>
        </w:rPr>
        <w:t>数据</w:t>
      </w:r>
      <w:r>
        <w:rPr>
          <w:rFonts w:hint="eastAsia" w:ascii="仿宋_GB2312" w:hAnsi="ˎ̥" w:eastAsia="仿宋_GB2312"/>
          <w:color w:val="auto"/>
          <w:sz w:val="32"/>
          <w:szCs w:val="32"/>
        </w:rPr>
        <w:t>取自</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决算报表F03表《机构运行信息表》，授予中小企业和小微企业合同金额由各</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查阅本</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相关资料填写。）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bookmarkStart w:id="109" w:name="_Toc6016_WPSOffice_Level2"/>
      <w:bookmarkStart w:id="110" w:name="_Toc527_WPSOffice_Level2"/>
      <w:bookmarkStart w:id="111" w:name="_Toc19989_WPSOffice_Level2"/>
      <w:bookmarkStart w:id="112" w:name="_Toc15129_WPSOffice_Level2"/>
      <w:bookmarkStart w:id="113" w:name="_Toc29584_WPSOffice_Level2"/>
      <w:bookmarkStart w:id="114" w:name="_Toc10902_WPSOffice_Level2"/>
      <w:r>
        <w:rPr>
          <w:rFonts w:hint="eastAsia" w:ascii="楷体" w:hAnsi="楷体" w:eastAsia="楷体" w:cs="楷体"/>
          <w:bCs/>
          <w:color w:val="auto"/>
          <w:sz w:val="32"/>
          <w:szCs w:val="32"/>
        </w:rPr>
        <w:t>（三）国有资产占用情况</w:t>
      </w:r>
      <w:bookmarkEnd w:id="109"/>
      <w:bookmarkEnd w:id="110"/>
      <w:bookmarkEnd w:id="111"/>
      <w:bookmarkEnd w:id="112"/>
      <w:bookmarkEnd w:id="113"/>
      <w:bookmarkEnd w:id="114"/>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bCs/>
          <w:color w:val="auto"/>
          <w:sz w:val="32"/>
          <w:szCs w:val="32"/>
        </w:rPr>
        <w:t>截至</w:t>
      </w:r>
      <w:r>
        <w:rPr>
          <w:rFonts w:hint="default" w:ascii="仿宋_GB2312" w:hAnsi="ˎ̥" w:eastAsia="仿宋_GB2312"/>
          <w:bCs/>
          <w:color w:val="auto"/>
          <w:sz w:val="32"/>
          <w:szCs w:val="32"/>
          <w:lang w:val="en-US"/>
        </w:rPr>
        <w:t>2024</w:t>
      </w:r>
      <w:r>
        <w:rPr>
          <w:rFonts w:hint="eastAsia" w:ascii="仿宋_GB2312" w:hAnsi="ˎ̥" w:eastAsia="仿宋_GB2312"/>
          <w:bCs/>
          <w:color w:val="auto"/>
          <w:sz w:val="32"/>
          <w:szCs w:val="32"/>
        </w:rPr>
        <w:t>年12月31日，本</w:t>
      </w:r>
      <w:r>
        <w:rPr>
          <w:rFonts w:hint="eastAsia" w:ascii="仿宋_GB2312" w:hAnsi="ˎ̥" w:eastAsia="仿宋_GB2312"/>
          <w:bCs/>
          <w:color w:val="auto"/>
          <w:sz w:val="32"/>
          <w:szCs w:val="32"/>
          <w:lang w:eastAsia="zh-CN"/>
        </w:rPr>
        <w:t>单位</w:t>
      </w:r>
      <w:r>
        <w:rPr>
          <w:rFonts w:hint="eastAsia" w:ascii="仿宋_GB2312" w:hAnsi="ˎ̥" w:eastAsia="仿宋_GB2312"/>
          <w:bCs/>
          <w:color w:val="auto"/>
          <w:sz w:val="32"/>
          <w:szCs w:val="32"/>
        </w:rPr>
        <w:t>拥有</w:t>
      </w:r>
      <w:r>
        <w:rPr>
          <w:rFonts w:hint="eastAsia" w:ascii="仿宋_GB2312" w:hAnsi="ˎ̥" w:eastAsia="仿宋_GB2312"/>
          <w:color w:val="auto"/>
          <w:sz w:val="32"/>
          <w:szCs w:val="32"/>
        </w:rPr>
        <w:t>房屋面积</w:t>
      </w:r>
      <w:r>
        <w:rPr>
          <w:rFonts w:hint="eastAsia" w:ascii="仿宋_GB2312" w:hAnsi="ˎ̥" w:eastAsia="仿宋_GB2312"/>
          <w:color w:val="auto"/>
          <w:sz w:val="32"/>
          <w:szCs w:val="32"/>
          <w:lang w:val="en-US" w:eastAsia="zh-CN"/>
        </w:rPr>
        <w:t>3155.96</w:t>
      </w:r>
      <w:r>
        <w:rPr>
          <w:rFonts w:hint="eastAsia" w:ascii="仿宋_GB2312" w:hAnsi="ˎ̥" w:eastAsia="仿宋_GB2312"/>
          <w:color w:val="auto"/>
          <w:sz w:val="32"/>
          <w:szCs w:val="32"/>
        </w:rPr>
        <w:t>平方米</w:t>
      </w:r>
      <w:r>
        <w:rPr>
          <w:rFonts w:hint="eastAsia" w:ascii="仿宋_GB2312" w:hAnsi="ˎ̥" w:eastAsia="仿宋_GB2312"/>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color w:val="auto"/>
          <w:sz w:val="32"/>
          <w:szCs w:val="32"/>
          <w:lang w:val="en-US" w:eastAsia="zh-CN"/>
        </w:rPr>
      </w:pPr>
      <w:r>
        <w:rPr>
          <w:rFonts w:hint="eastAsia" w:ascii="仿宋_GB2312" w:hAnsi="ˎ̥" w:eastAsia="仿宋_GB2312"/>
          <w:color w:val="auto"/>
          <w:sz w:val="32"/>
          <w:szCs w:val="32"/>
        </w:rPr>
        <w:t>本</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共有车辆</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辆，其中，副部（省）级及以上领导用车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辆、主要负责人用车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辆、机要通信用车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辆、应急保障用车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辆、执法执勤用车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辆、特种专业技术用车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辆、离退休干部服务用车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辆、其他用车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w:t>
      </w:r>
      <w:r>
        <w:rPr>
          <w:rFonts w:hint="eastAsia" w:ascii="仿宋_GB2312" w:hAnsi="ˎ̥" w:eastAsia="仿宋_GB2312"/>
          <w:color w:val="auto"/>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单价100万元（含）以上设备（不含车辆）</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台（套）。</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上述国有资产占用情况相关数</w:t>
      </w:r>
      <w:r>
        <w:rPr>
          <w:rFonts w:hint="eastAsia" w:ascii="仿宋_GB2312" w:hAnsi="ˎ̥" w:eastAsia="仿宋_GB2312"/>
          <w:color w:val="auto"/>
          <w:sz w:val="32"/>
          <w:szCs w:val="32"/>
          <w:lang w:val="en-US" w:eastAsia="zh-CN"/>
        </w:rPr>
        <w:t>据</w:t>
      </w:r>
      <w:r>
        <w:rPr>
          <w:rFonts w:hint="eastAsia" w:ascii="仿宋_GB2312" w:hAnsi="ˎ̥" w:eastAsia="仿宋_GB2312"/>
          <w:color w:val="auto"/>
          <w:sz w:val="32"/>
          <w:szCs w:val="32"/>
        </w:rPr>
        <w:t>取自</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决算F0</w:t>
      </w:r>
      <w:r>
        <w:rPr>
          <w:rFonts w:hint="default" w:ascii="仿宋_GB2312" w:hAnsi="ˎ̥" w:eastAsia="仿宋_GB2312"/>
          <w:color w:val="auto"/>
          <w:sz w:val="32"/>
          <w:szCs w:val="32"/>
          <w:lang w:val="en-US"/>
        </w:rPr>
        <w:t>2</w:t>
      </w:r>
      <w:r>
        <w:rPr>
          <w:rFonts w:hint="eastAsia" w:ascii="仿宋_GB2312" w:hAnsi="ˎ̥" w:eastAsia="仿宋_GB2312"/>
          <w:color w:val="auto"/>
          <w:sz w:val="32"/>
          <w:szCs w:val="32"/>
        </w:rPr>
        <w:t>表《预算支出相关信息表》、F03表《机构运行信息表》。）</w:t>
      </w: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color w:val="auto"/>
          <w:sz w:val="32"/>
          <w:szCs w:val="32"/>
        </w:rPr>
      </w:pPr>
      <w:bookmarkStart w:id="115" w:name="_Toc11039_WPSOffice_Level1"/>
      <w:bookmarkStart w:id="116" w:name="_Toc8874_WPSOffice_Level1"/>
      <w:bookmarkStart w:id="117" w:name="_Toc17580_WPSOffice_Level1"/>
      <w:bookmarkStart w:id="118" w:name="_Toc4398_WPSOffice_Level1"/>
      <w:bookmarkStart w:id="119" w:name="_Toc8808_WPSOffice_Level1"/>
      <w:bookmarkStart w:id="120" w:name="_Toc15425_WPSOffice_Level1"/>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color w:val="auto"/>
          <w:sz w:val="32"/>
          <w:szCs w:val="32"/>
        </w:rPr>
      </w:pPr>
      <w:r>
        <w:rPr>
          <w:rFonts w:hint="eastAsia" w:ascii="黑体" w:hAnsi="ˎ̥" w:eastAsia="黑体"/>
          <w:color w:val="auto"/>
          <w:sz w:val="32"/>
          <w:szCs w:val="32"/>
        </w:rPr>
        <w:t>第四部分  名词解释</w:t>
      </w:r>
      <w:bookmarkEnd w:id="115"/>
      <w:bookmarkEnd w:id="116"/>
      <w:bookmarkEnd w:id="117"/>
      <w:bookmarkEnd w:id="118"/>
      <w:bookmarkEnd w:id="119"/>
      <w:bookmarkEnd w:id="120"/>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color w:val="auto"/>
          <w:sz w:val="32"/>
          <w:szCs w:val="32"/>
        </w:rPr>
      </w:pPr>
    </w:p>
    <w:p>
      <w:pPr>
        <w:keepNext w:val="0"/>
        <w:keepLines w:val="0"/>
        <w:pageBreakBefore w:val="0"/>
        <w:widowControl w:val="0"/>
        <w:numPr>
          <w:ilvl w:val="0"/>
          <w:numId w:val="4"/>
        </w:numPr>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财政拨款收入：指同级政府财政</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当年拨付的各类财政拨款。</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二、上级补助收入：指事业单位从主管</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和上级单位取得的非财政补助收入。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三、事业收入：指事业单位开展专业业务活动及辅助活动取得的收入。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四、经营收入：指事业单位在专业业务活动及其辅助活动之外开展非独立核算经营活动取得的收入。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五、附属单位上缴收入：指事业单位取得附属独立核算单位根据有关规定上缴的收入。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六、其他收入：指除上述“财政拨款收入”“事业收入”“上级补助收入”“经营收入”“附属单位上缴收入”等以外的收入。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七、使用非财政拨款结余：指事业单位在当年的“财政拨款收入”“事业收入”“经营收入”“其他收入”等不足以安排当年支出的情况下，使用非同级财政拨款结余资金弥补本年度收支缺口。</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八、年初结转和结余：指以前年度尚未完成、结转到本年按有关规定继续使用的资金，或项目已完成等产生的结余资金。</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九、结余分配：指事业单位缴纳企业所得税以及从非财政拨款结余或经营结余中提取各类结余的情况。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十、年末结转和结余：指本年度或以前年度预算安排、因客观条件发生变化无法按原计划实施，需要延迟到以后年度按有关规定继续使用的资金（不包括事业单位非财政拨款结余和专用结余）。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十一、基本支出：指为保障机构正常运转、完成日常工作任务而发生的人员支出和公用支出。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十二、项目支出：指在基本支出之外为完成特定行政任务和事业发展目标所发生的支出。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十三、经营支出：指事业单位在专业业务活动及其辅助活动之外开展非独立核算经营活动发生的支出。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四、“三公”经费：纳入本级财政预决算管理的“三公”经费，是指用一般公共预算财政拨款、政府性基金预算财政拨款及国有资本经营预算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及燃料费、维修费、过路过桥费、保险费、安全奖励费用等支出；公务接待费反映单位按规定开支的各类公务接待（含外宾接待）费用。</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color w:val="auto"/>
        </w:rPr>
      </w:pPr>
      <w:r>
        <w:rPr>
          <w:rFonts w:hint="eastAsia" w:ascii="仿宋_GB2312" w:hAnsi="ˎ̥" w:eastAsia="仿宋_GB2312"/>
          <w:color w:val="auto"/>
          <w:sz w:val="32"/>
          <w:szCs w:val="32"/>
        </w:rPr>
        <w:t>十五、机关运行经费：为保障行政单位（含参照公务员法管理的事业单位）运行使用一般公共预算财政拨款安排的基本支出经费用于购买货物和服务的各项资金，包括办公及印刷费、邮电费、差旅费、会议费、福利费、日常维修费、专用材料及一般设备购置费、办公用房水电费、办公用房取暖费、办公用房物业管理费、公务用车运行维护费以及其他费用等。</w:t>
      </w:r>
    </w:p>
    <w:bookmarkEnd w:id="121"/>
    <w:sectPr>
      <w:footerReference r:id="rId3" w:type="default"/>
      <w:footerReference r:id="rId4" w:type="even"/>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ˎ̥">
    <w:altName w:val="微软雅黑"/>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小标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18</w:t>
    </w:r>
    <w: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1"/>
      </w:rPr>
    </w:pPr>
    <w:r>
      <w:fldChar w:fldCharType="begin"/>
    </w:r>
    <w:r>
      <w:rPr>
        <w:rStyle w:val="11"/>
      </w:rPr>
      <w:instrText xml:space="preserve">PAGE  </w:instrText>
    </w:r>
    <w:r>
      <w:fldChar w:fldCharType="separate"/>
    </w:r>
    <w:r>
      <w:fldChar w:fldCharType="end"/>
    </w:r>
  </w:p>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FFC2DCC"/>
    <w:multiLevelType w:val="singleLevel"/>
    <w:tmpl w:val="AFFC2DCC"/>
    <w:lvl w:ilvl="0" w:tentative="0">
      <w:start w:val="1"/>
      <w:numFmt w:val="chineseCounting"/>
      <w:suff w:val="nothing"/>
      <w:lvlText w:val="%1、"/>
      <w:lvlJc w:val="left"/>
      <w:rPr>
        <w:rFonts w:hint="eastAsia"/>
      </w:rPr>
    </w:lvl>
  </w:abstractNum>
  <w:abstractNum w:abstractNumId="1">
    <w:nsid w:val="68FEB328"/>
    <w:multiLevelType w:val="singleLevel"/>
    <w:tmpl w:val="68FEB328"/>
    <w:lvl w:ilvl="0" w:tentative="0">
      <w:start w:val="1"/>
      <w:numFmt w:val="chineseCounting"/>
      <w:suff w:val="nothing"/>
      <w:lvlText w:val="%1、"/>
      <w:lvlJc w:val="left"/>
    </w:lvl>
  </w:abstractNum>
  <w:abstractNum w:abstractNumId="2">
    <w:nsid w:val="68FEC193"/>
    <w:multiLevelType w:val="singleLevel"/>
    <w:tmpl w:val="68FEC193"/>
    <w:lvl w:ilvl="0" w:tentative="0">
      <w:start w:val="3"/>
      <w:numFmt w:val="decimal"/>
      <w:suff w:val="nothing"/>
      <w:lvlText w:val="%1."/>
      <w:lvlJc w:val="left"/>
    </w:lvl>
  </w:abstractNum>
  <w:abstractNum w:abstractNumId="3">
    <w:nsid w:val="72109F8D"/>
    <w:multiLevelType w:val="singleLevel"/>
    <w:tmpl w:val="72109F8D"/>
    <w:lvl w:ilvl="0" w:tentative="0">
      <w:start w:val="7"/>
      <w:numFmt w:val="chineseCounting"/>
      <w:suff w:val="nothing"/>
      <w:lvlText w:val="%1、"/>
      <w:lvlJc w:val="left"/>
      <w:rPr>
        <w:rFonts w:hint="eastAsia"/>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VlZThlZDk5ZTQ4MTFjNGY3MjIxNTdiOWMzZmQwMWMifQ=="/>
  </w:docVars>
  <w:rsids>
    <w:rsidRoot w:val="A7F73C99"/>
    <w:rsid w:val="00064A91"/>
    <w:rsid w:val="000718C4"/>
    <w:rsid w:val="000779B0"/>
    <w:rsid w:val="001E4E23"/>
    <w:rsid w:val="001E510D"/>
    <w:rsid w:val="001F28C1"/>
    <w:rsid w:val="001F4EC0"/>
    <w:rsid w:val="00213789"/>
    <w:rsid w:val="002A6E07"/>
    <w:rsid w:val="0034456B"/>
    <w:rsid w:val="003D2F77"/>
    <w:rsid w:val="004C755C"/>
    <w:rsid w:val="004D515A"/>
    <w:rsid w:val="004D5572"/>
    <w:rsid w:val="0050273F"/>
    <w:rsid w:val="00513897"/>
    <w:rsid w:val="00530C81"/>
    <w:rsid w:val="005C43A2"/>
    <w:rsid w:val="005E64FB"/>
    <w:rsid w:val="005F5987"/>
    <w:rsid w:val="00602EED"/>
    <w:rsid w:val="006B0D64"/>
    <w:rsid w:val="00731FC7"/>
    <w:rsid w:val="00740E64"/>
    <w:rsid w:val="00754F6E"/>
    <w:rsid w:val="007A4101"/>
    <w:rsid w:val="008232A9"/>
    <w:rsid w:val="00896ADB"/>
    <w:rsid w:val="009A2744"/>
    <w:rsid w:val="00A54A37"/>
    <w:rsid w:val="00A70448"/>
    <w:rsid w:val="00AA19F3"/>
    <w:rsid w:val="00AC28EE"/>
    <w:rsid w:val="00AC3F0E"/>
    <w:rsid w:val="00B36E61"/>
    <w:rsid w:val="00B409FF"/>
    <w:rsid w:val="00B4133E"/>
    <w:rsid w:val="00B54DE8"/>
    <w:rsid w:val="00B63E9E"/>
    <w:rsid w:val="00BC0439"/>
    <w:rsid w:val="00C04C21"/>
    <w:rsid w:val="00C7436A"/>
    <w:rsid w:val="00CA0F14"/>
    <w:rsid w:val="00CA536B"/>
    <w:rsid w:val="00CB0D1E"/>
    <w:rsid w:val="00CD6E49"/>
    <w:rsid w:val="00CD794A"/>
    <w:rsid w:val="00DB612B"/>
    <w:rsid w:val="00DC2A37"/>
    <w:rsid w:val="00E07782"/>
    <w:rsid w:val="00E70EA3"/>
    <w:rsid w:val="00F0336A"/>
    <w:rsid w:val="00F06DA9"/>
    <w:rsid w:val="00F103D6"/>
    <w:rsid w:val="00F25220"/>
    <w:rsid w:val="00FA2884"/>
    <w:rsid w:val="00FC03DC"/>
    <w:rsid w:val="00FC5708"/>
    <w:rsid w:val="09201287"/>
    <w:rsid w:val="0FC80124"/>
    <w:rsid w:val="136F98C7"/>
    <w:rsid w:val="14593058"/>
    <w:rsid w:val="17427E68"/>
    <w:rsid w:val="1755065F"/>
    <w:rsid w:val="1AFC29C9"/>
    <w:rsid w:val="1CA52F2E"/>
    <w:rsid w:val="1E3630B9"/>
    <w:rsid w:val="20427E1D"/>
    <w:rsid w:val="26EEC2B5"/>
    <w:rsid w:val="29472309"/>
    <w:rsid w:val="2B406E77"/>
    <w:rsid w:val="2C2A0C43"/>
    <w:rsid w:val="2D1E73A5"/>
    <w:rsid w:val="32717154"/>
    <w:rsid w:val="34B63260"/>
    <w:rsid w:val="37FDA7E2"/>
    <w:rsid w:val="3A314D88"/>
    <w:rsid w:val="3A746883"/>
    <w:rsid w:val="3CA15DE9"/>
    <w:rsid w:val="3FE61EE5"/>
    <w:rsid w:val="406508EE"/>
    <w:rsid w:val="408D6263"/>
    <w:rsid w:val="41B40CEE"/>
    <w:rsid w:val="48317291"/>
    <w:rsid w:val="485F7024"/>
    <w:rsid w:val="48E70666"/>
    <w:rsid w:val="4C6877E5"/>
    <w:rsid w:val="4D6A468D"/>
    <w:rsid w:val="4EA86137"/>
    <w:rsid w:val="56CA7FD0"/>
    <w:rsid w:val="57FA38D1"/>
    <w:rsid w:val="5F7D3333"/>
    <w:rsid w:val="61385890"/>
    <w:rsid w:val="687436E1"/>
    <w:rsid w:val="6D9F3B8A"/>
    <w:rsid w:val="6DA45C50"/>
    <w:rsid w:val="6E9A7825"/>
    <w:rsid w:val="6F670F9B"/>
    <w:rsid w:val="737450E0"/>
    <w:rsid w:val="74054476"/>
    <w:rsid w:val="742F38C4"/>
    <w:rsid w:val="74AB66DC"/>
    <w:rsid w:val="74C4154C"/>
    <w:rsid w:val="75956FFF"/>
    <w:rsid w:val="77AA2D01"/>
    <w:rsid w:val="7CDE1DBD"/>
    <w:rsid w:val="7D943A85"/>
    <w:rsid w:val="7DB0448C"/>
    <w:rsid w:val="7E5F9AA4"/>
    <w:rsid w:val="8FFC8888"/>
    <w:rsid w:val="A7F73C99"/>
    <w:rsid w:val="BFFE3BF4"/>
    <w:rsid w:val="DFEBDA37"/>
    <w:rsid w:val="EF6FCA1D"/>
    <w:rsid w:val="EFFF57D6"/>
    <w:rsid w:val="FD33A2D0"/>
    <w:rsid w:val="FF7FA20F"/>
    <w:rsid w:val="FFFE81A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customStyle="1" w:styleId="2">
    <w:name w:val="正文-公1"/>
    <w:basedOn w:val="3"/>
    <w:next w:val="1"/>
    <w:qFormat/>
    <w:uiPriority w:val="0"/>
    <w:pPr>
      <w:ind w:firstLine="200" w:firstLineChars="200"/>
    </w:pPr>
  </w:style>
  <w:style w:type="paragraph" w:customStyle="1" w:styleId="3">
    <w:name w:val="正文 New New New New New New New New New New New New New New New New New New New New New New New New New New New New New New New New New New New New New New New New New New New New New New New New New New New New New New New New New New New New New New Ne"/>
    <w:next w:val="2"/>
    <w:qFormat/>
    <w:uiPriority w:val="0"/>
    <w:pPr>
      <w:widowControl w:val="0"/>
      <w:jc w:val="both"/>
    </w:pPr>
    <w:rPr>
      <w:rFonts w:ascii="Times New Roman" w:hAnsi="Times New Roman" w:eastAsia="宋体" w:cs="Times New Roman"/>
      <w:kern w:val="2"/>
      <w:sz w:val="21"/>
      <w:szCs w:val="22"/>
      <w:lang w:val="en-US" w:eastAsia="zh-CN"/>
    </w:rPr>
  </w:style>
  <w:style w:type="paragraph" w:styleId="4">
    <w:name w:val="annotation text"/>
    <w:basedOn w:val="1"/>
    <w:link w:val="13"/>
    <w:qFormat/>
    <w:uiPriority w:val="0"/>
    <w:pPr>
      <w:jc w:val="left"/>
    </w:pPr>
  </w:style>
  <w:style w:type="paragraph" w:styleId="5">
    <w:name w:val="Balloon Text"/>
    <w:basedOn w:val="1"/>
    <w:link w:val="14"/>
    <w:qFormat/>
    <w:uiPriority w:val="0"/>
    <w:rPr>
      <w:sz w:val="18"/>
      <w:szCs w:val="18"/>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link w:val="15"/>
    <w:qFormat/>
    <w:uiPriority w:val="0"/>
    <w:pPr>
      <w:pBdr>
        <w:bottom w:val="single" w:color="auto" w:sz="6" w:space="1"/>
      </w:pBdr>
      <w:tabs>
        <w:tab w:val="center" w:pos="4153"/>
        <w:tab w:val="right" w:pos="8306"/>
      </w:tabs>
      <w:snapToGrid w:val="0"/>
      <w:jc w:val="center"/>
    </w:pPr>
    <w:rPr>
      <w:sz w:val="18"/>
      <w:szCs w:val="18"/>
    </w:rPr>
  </w:style>
  <w:style w:type="paragraph" w:styleId="8">
    <w:name w:val="annotation subject"/>
    <w:basedOn w:val="4"/>
    <w:next w:val="4"/>
    <w:link w:val="16"/>
    <w:qFormat/>
    <w:uiPriority w:val="0"/>
    <w:rPr>
      <w:b/>
      <w:bCs/>
    </w:rPr>
  </w:style>
  <w:style w:type="character" w:styleId="11">
    <w:name w:val="page number"/>
    <w:qFormat/>
    <w:uiPriority w:val="0"/>
  </w:style>
  <w:style w:type="character" w:styleId="12">
    <w:name w:val="annotation reference"/>
    <w:qFormat/>
    <w:uiPriority w:val="0"/>
    <w:rPr>
      <w:sz w:val="21"/>
      <w:szCs w:val="21"/>
    </w:rPr>
  </w:style>
  <w:style w:type="character" w:customStyle="1" w:styleId="13">
    <w:name w:val="批注文字 Char"/>
    <w:link w:val="4"/>
    <w:qFormat/>
    <w:uiPriority w:val="0"/>
    <w:rPr>
      <w:kern w:val="2"/>
      <w:sz w:val="21"/>
      <w:szCs w:val="24"/>
    </w:rPr>
  </w:style>
  <w:style w:type="character" w:customStyle="1" w:styleId="14">
    <w:name w:val="批注框文本 Char"/>
    <w:link w:val="5"/>
    <w:qFormat/>
    <w:uiPriority w:val="0"/>
    <w:rPr>
      <w:kern w:val="2"/>
      <w:sz w:val="18"/>
      <w:szCs w:val="18"/>
    </w:rPr>
  </w:style>
  <w:style w:type="character" w:customStyle="1" w:styleId="15">
    <w:name w:val="页眉 Char"/>
    <w:link w:val="7"/>
    <w:qFormat/>
    <w:uiPriority w:val="0"/>
    <w:rPr>
      <w:kern w:val="2"/>
      <w:sz w:val="18"/>
      <w:szCs w:val="18"/>
    </w:rPr>
  </w:style>
  <w:style w:type="character" w:customStyle="1" w:styleId="16">
    <w:name w:val="批注主题 Char"/>
    <w:link w:val="8"/>
    <w:qFormat/>
    <w:uiPriority w:val="0"/>
    <w:rPr>
      <w:b/>
      <w:bCs/>
      <w:kern w:val="2"/>
      <w:sz w:val="21"/>
      <w:szCs w:val="24"/>
    </w:rPr>
  </w:style>
  <w:style w:type="paragraph" w:customStyle="1" w:styleId="17">
    <w:name w:val="WPSOffice手动目录 1"/>
    <w:qFormat/>
    <w:uiPriority w:val="0"/>
    <w:rPr>
      <w:rFonts w:ascii="Times New Roman" w:hAnsi="Times New Roman" w:eastAsia="宋体" w:cs="Times New Roman"/>
      <w:lang w:val="en-US" w:eastAsia="zh-CN" w:bidi="ar-SA"/>
    </w:rPr>
  </w:style>
  <w:style w:type="paragraph" w:customStyle="1" w:styleId="18">
    <w:name w:val="WPSOffice手动目录 2"/>
    <w:qFormat/>
    <w:uiPriority w:val="0"/>
    <w:pPr>
      <w:ind w:leftChars="200"/>
    </w:pPr>
    <w:rPr>
      <w:rFonts w:ascii="Times New Roman" w:hAnsi="Times New Roman" w:eastAsia="宋体" w:cs="Times New Roman"/>
      <w:lang w:val="en-US" w:eastAsia="zh-CN" w:bidi="ar-SA"/>
    </w:rPr>
  </w:style>
  <w:style w:type="paragraph" w:customStyle="1" w:styleId="19">
    <w:name w:val="正文1 Char Char Char"/>
    <w:basedOn w:val="1"/>
    <w:qFormat/>
    <w:uiPriority w:val="0"/>
    <w:pPr>
      <w:spacing w:line="360" w:lineRule="auto"/>
      <w:ind w:firstLine="20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1163</Words>
  <Characters>2480</Characters>
  <Lines>67</Lines>
  <Paragraphs>18</Paragraphs>
  <TotalTime>2</TotalTime>
  <ScaleCrop>false</ScaleCrop>
  <LinksUpToDate>false</LinksUpToDate>
  <CharactersWithSpaces>2528</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2024-07-24T03:26:00Z</dcterms:created>
  <dc:creator>uos</dc:creator>
  <cp:lastModifiedBy>子净</cp:lastModifiedBy>
  <cp:lastPrinted>2023-08-03T00:58:00Z</cp:lastPrinted>
  <dcterms:modified xsi:type="dcterms:W3CDTF">2025-10-28T00:55:42Z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03AE7F14E2DC4BACB053764200FF950D_13</vt:lpwstr>
  </property>
  <property fmtid="{D5CDD505-2E9C-101B-9397-08002B2CF9AE}" pid="4" name="KSOTemplateDocerSaveRecord">
    <vt:lpwstr>eyJoZGlkIjoiY2VlZThlZDk5ZTQ4MTFjNGY3MjIxNTdiOWMzZmQwMWMiLCJ1c2VySWQiOiIyMzQ5MTc1OTYifQ==</vt:lpwstr>
  </property>
</Properties>
</file>