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屯昌县屯城镇大陆坡幼儿园2024年度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Theme="majorEastAsia" w:hAnsiTheme="majorEastAsia" w:eastAsiaTheme="majorEastAsia" w:cstheme="majorEastAsia"/>
          <w:b/>
          <w:bCs/>
          <w:color w:val="auto"/>
          <w:sz w:val="44"/>
          <w:szCs w:val="44"/>
        </w:rPr>
      </w:pPr>
      <w:bookmarkStart w:id="119" w:name="_GoBack"/>
      <w:bookmarkEnd w:id="119"/>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10720_WPSOffice_Level1"/>
      <w:bookmarkStart w:id="3" w:name="_Toc32433_WPSOffice_Level1"/>
      <w:bookmarkStart w:id="4" w:name="_Toc22941_WPSOffice_Level1"/>
      <w:bookmarkStart w:id="5" w:name="_Toc10049_WPSOffice_Level1"/>
      <w:bookmarkStart w:id="6" w:name="_Toc23465_WPSOffice_Level1"/>
      <w:bookmarkStart w:id="7" w:name="_Toc1704_WPSOffice_Level1"/>
      <w:bookmarkStart w:id="8" w:name="_Toc24238_WPSOffice_Level2"/>
      <w:bookmarkStart w:id="9" w:name="_Toc14159_WPSOffice_Level2"/>
      <w:bookmarkStart w:id="10" w:name="_Toc20205_WPSOffice_Level2"/>
      <w:bookmarkStart w:id="11" w:name="_Toc26580_WPSOffice_Level2"/>
      <w:bookmarkStart w:id="12" w:name="_Toc20274_WPSOffice_Level2"/>
      <w:bookmarkStart w:id="13" w:name="_Toc32622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（一）为适应现代教育发展的需要，深化教育改革，全面贯彻国家的教育方针，积极推进素质教育，全面提高教育教学质量和办学效益。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二）实行保育和教育相结合的原则，对幼儿实施体、智、德、美诸方面全面发展的教育，促进其身心和谐发展。通过组织、指挥、协调、控制等管理职能，合理利用幼儿园建设与事业发展的各种资源，确保保教质量的提高，较好的实现预期的教育培养目标和服务队伍、服务家长的任务。</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黑体" w:hAnsi="黑体" w:eastAsia="黑体" w:cs="黑体"/>
          <w:color w:val="auto"/>
          <w:sz w:val="32"/>
          <w:szCs w:val="32"/>
        </w:rPr>
      </w:pPr>
      <w:r>
        <w:rPr>
          <w:rFonts w:hint="eastAsia" w:ascii="楷体" w:hAnsi="楷体" w:eastAsia="楷体" w:cs="楷体"/>
          <w:color w:val="auto"/>
          <w:kern w:val="0"/>
          <w:sz w:val="32"/>
          <w:szCs w:val="32"/>
        </w:rPr>
        <w:t>（三）幼儿园管理人员和有关幼教执行人员遵照一定的教育方针和保教工作的客观规律，优质高效的实现国家所规定的培养目标和幼儿园工作任务。</w:t>
      </w:r>
    </w:p>
    <w:p>
      <w:pPr>
        <w:spacing w:line="578" w:lineRule="exact"/>
        <w:ind w:firstLine="640" w:firstLineChars="200"/>
        <w:rPr>
          <w:rFonts w:hint="eastAsia" w:ascii="黑体" w:hAnsi="黑体" w:eastAsia="黑体" w:cs="黑体"/>
          <w:color w:val="auto"/>
          <w:sz w:val="32"/>
          <w:szCs w:val="32"/>
        </w:rPr>
      </w:pPr>
      <w:bookmarkStart w:id="14" w:name="_Toc24059_WPSOffice_Level2"/>
      <w:bookmarkStart w:id="15" w:name="_Toc4833_WPSOffice_Level2"/>
      <w:bookmarkStart w:id="16" w:name="_Toc17796_WPSOffice_Level2"/>
      <w:bookmarkStart w:id="17" w:name="_Toc6572_WPSOffice_Level2"/>
      <w:bookmarkStart w:id="18" w:name="_Toc24474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方正楷体_GBK" w:hAnsi="方正楷体_GBK" w:eastAsia="仿宋_GB2312" w:cs="方正楷体_GBK"/>
          <w:color w:val="auto"/>
          <w:sz w:val="32"/>
          <w:szCs w:val="32"/>
          <w:lang w:val="en-US" w:eastAsia="zh-CN"/>
        </w:rPr>
      </w:pPr>
      <w:r>
        <w:rPr>
          <w:rFonts w:hint="eastAsia" w:ascii="仿宋_GB2312" w:hAnsi="ˎ̥" w:eastAsia="仿宋_GB2312"/>
          <w:color w:val="auto"/>
          <w:sz w:val="32"/>
          <w:szCs w:val="32"/>
        </w:rPr>
        <w:t>纳入</w:t>
      </w:r>
      <w:r>
        <w:rPr>
          <w:rFonts w:hint="eastAsia" w:ascii="仿宋_GB2312" w:hAnsi="ˎ̥" w:eastAsia="仿宋_GB2312" w:cs="仿宋_GB2312"/>
          <w:color w:val="auto"/>
          <w:kern w:val="0"/>
          <w:sz w:val="32"/>
          <w:szCs w:val="32"/>
          <w:shd w:val="clear" w:color="auto" w:fill="FFFFFF"/>
        </w:rPr>
        <w:t>屯昌县屯城镇大陆坡幼儿园</w:t>
      </w: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w:t>
      </w:r>
      <w:r>
        <w:rPr>
          <w:rFonts w:hint="eastAsia" w:ascii="仿宋_GB2312" w:hAnsi="ˎ̥" w:eastAsia="仿宋_GB2312"/>
          <w:color w:val="auto"/>
          <w:sz w:val="32"/>
          <w:szCs w:val="32"/>
          <w:lang w:val="en-US" w:eastAsia="zh-CN"/>
        </w:rPr>
        <w:t>括：</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100" w:afterAutospacing="1" w:line="590" w:lineRule="exact"/>
        <w:ind w:left="0" w:right="0" w:firstLine="640" w:firstLineChars="200"/>
        <w:jc w:val="left"/>
        <w:textAlignment w:val="auto"/>
        <w:rPr>
          <w:rFonts w:hint="eastAsia" w:ascii="黑体" w:hAnsi="ˎ̥" w:eastAsia="黑体"/>
          <w:color w:val="auto"/>
          <w:sz w:val="32"/>
          <w:szCs w:val="32"/>
        </w:rPr>
      </w:pPr>
      <w:r>
        <w:rPr>
          <w:rFonts w:hint="eastAsia" w:ascii="仿宋_GB2312" w:hAnsi="ˎ̥" w:eastAsia="仿宋_GB2312" w:cs="仿宋_GB2312"/>
          <w:color w:val="auto"/>
          <w:sz w:val="32"/>
          <w:szCs w:val="32"/>
          <w:shd w:val="clear" w:color="auto" w:fill="FFFFFF"/>
          <w:lang w:eastAsia="zh-CN"/>
        </w:rPr>
        <w:t>屯昌县屯城镇大陆坡幼儿园单位本级</w:t>
      </w:r>
      <w:bookmarkStart w:id="19" w:name="_Toc30690_WPSOffice_Level1"/>
      <w:bookmarkStart w:id="20" w:name="_Toc6234_WPSOffice_Level1"/>
      <w:bookmarkStart w:id="21" w:name="_Toc8164_WPSOffice_Level1"/>
      <w:bookmarkStart w:id="22" w:name="_Toc30451_WPSOffice_Level1"/>
      <w:bookmarkStart w:id="23" w:name="_Toc15521_WPSOffice_Level1"/>
      <w:bookmarkStart w:id="24" w:name="_Toc28253_WPSOffice_Level1"/>
      <w:bookmarkStart w:id="25" w:name="_Toc6211_WPSOffice_Level2"/>
      <w:bookmarkStart w:id="26" w:name="_Toc11518_WPSOffice_Level2"/>
      <w:bookmarkStart w:id="27" w:name="_Toc4029_WPSOffice_Level2"/>
      <w:bookmarkStart w:id="28" w:name="_Toc32472_WPSOffice_Level2"/>
      <w:bookmarkStart w:id="29" w:name="_Toc32695_WPSOffice_Level2"/>
      <w:bookmarkStart w:id="30" w:name="_Toc8867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6621_WPSOffice_Level2"/>
      <w:bookmarkStart w:id="32" w:name="_Toc30334_WPSOffice_Level2"/>
      <w:bookmarkStart w:id="33" w:name="_Toc28622_WPSOffice_Level2"/>
      <w:bookmarkStart w:id="34" w:name="_Toc23139_WPSOffice_Level2"/>
      <w:bookmarkStart w:id="35" w:name="_Toc25608_WPSOffice_Level2"/>
      <w:bookmarkStart w:id="36" w:name="_Toc14349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7626_WPSOffice_Level2"/>
      <w:bookmarkStart w:id="38" w:name="_Toc5489_WPSOffice_Level2"/>
      <w:bookmarkStart w:id="39" w:name="_Toc17858_WPSOffice_Level2"/>
      <w:bookmarkStart w:id="40" w:name="_Toc3262_WPSOffice_Level2"/>
      <w:bookmarkStart w:id="41" w:name="_Toc14658_WPSOffice_Level2"/>
      <w:bookmarkStart w:id="42" w:name="_Toc13854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7988_WPSOffice_Level2"/>
      <w:bookmarkStart w:id="44" w:name="_Toc23591_WPSOffice_Level2"/>
      <w:bookmarkStart w:id="45" w:name="_Toc13701_WPSOffice_Level2"/>
      <w:bookmarkStart w:id="46" w:name="_Toc4265_WPSOffice_Level2"/>
      <w:bookmarkStart w:id="47" w:name="_Toc23493_WPSOffice_Level2"/>
      <w:bookmarkStart w:id="48" w:name="_Toc2141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3829_WPSOffice_Level2"/>
      <w:bookmarkStart w:id="50" w:name="_Toc22783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25362_WPSOffice_Level2"/>
      <w:bookmarkStart w:id="56" w:name="_Toc5343_WPSOffice_Level2"/>
      <w:bookmarkStart w:id="57" w:name="_Toc2632_WPSOffice_Level2"/>
      <w:bookmarkStart w:id="58" w:name="_Toc17283_WPSOffice_Level2"/>
      <w:bookmarkStart w:id="59" w:name="_Toc17833_WPSOffice_Level2"/>
      <w:bookmarkStart w:id="60" w:name="_Toc837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5594_WPSOffice_Level2"/>
      <w:bookmarkStart w:id="62" w:name="_Toc11799_WPSOffice_Level2"/>
      <w:bookmarkStart w:id="63" w:name="_Toc13345_WPSOffice_Level2"/>
      <w:bookmarkStart w:id="64" w:name="_Toc6020_WPSOffice_Level2"/>
      <w:bookmarkStart w:id="65" w:name="_Toc1533_WPSOffice_Level2"/>
      <w:bookmarkStart w:id="66" w:name="_Toc21310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29886_WPSOffice_Level2"/>
      <w:bookmarkStart w:id="68" w:name="_Toc1820_WPSOffice_Level2"/>
      <w:bookmarkStart w:id="69" w:name="_Toc9377_WPSOffice_Level2"/>
      <w:bookmarkStart w:id="70" w:name="_Toc19961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16686_WPSOffice_Level1"/>
      <w:bookmarkStart w:id="72" w:name="_Toc31264_WPSOffice_Level1"/>
      <w:bookmarkStart w:id="73" w:name="_Toc4402_WPSOffice_Level1"/>
      <w:bookmarkStart w:id="74" w:name="_Toc27590_WPSOffice_Level1"/>
      <w:bookmarkStart w:id="75" w:name="_Toc29683_WPSOffice_Level1"/>
      <w:bookmarkStart w:id="76"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254.93</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254.93</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80.12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23.91</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一</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rPr>
        <w:t>教职工人数</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，人员经费</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；二是</w:t>
      </w:r>
      <w:r>
        <w:rPr>
          <w:rFonts w:hint="default" w:ascii="仿宋_GB2312" w:hAnsi="ˎ̥" w:eastAsia="仿宋_GB2312" w:cs="仿宋_GB2312"/>
          <w:color w:val="auto"/>
          <w:kern w:val="0"/>
          <w:sz w:val="32"/>
          <w:szCs w:val="32"/>
          <w:shd w:val="clear" w:color="auto" w:fill="FFFFFF"/>
        </w:rPr>
        <w:t>在校生人数减少</w:t>
      </w:r>
      <w:r>
        <w:rPr>
          <w:rFonts w:hint="eastAsia" w:ascii="仿宋_GB2312" w:hAnsi="ˎ̥" w:eastAsia="仿宋_GB2312" w:cs="仿宋_GB2312"/>
          <w:color w:val="auto"/>
          <w:kern w:val="0"/>
          <w:sz w:val="32"/>
          <w:szCs w:val="32"/>
          <w:shd w:val="clear" w:color="auto" w:fill="FFFFFF"/>
          <w:lang w:eastAsia="zh-CN"/>
        </w:rPr>
        <w:t>，</w:t>
      </w:r>
      <w:r>
        <w:rPr>
          <w:rFonts w:hint="default" w:ascii="仿宋_GB2312" w:hAnsi="ˎ̥" w:eastAsia="仿宋_GB2312" w:cs="仿宋_GB2312"/>
          <w:color w:val="auto"/>
          <w:kern w:val="0"/>
          <w:sz w:val="32"/>
          <w:szCs w:val="32"/>
          <w:shd w:val="clear" w:color="auto" w:fill="FFFFFF"/>
        </w:rPr>
        <w:t>保教费和生均经费减少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0.01</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0.01</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254.93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254.93</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178.29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69.94</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76.65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30.06</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80.12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23.91</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rPr>
        <w:t>教职工人数</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，人员经费</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；二是</w:t>
      </w:r>
      <w:r>
        <w:rPr>
          <w:rFonts w:hint="default" w:ascii="仿宋_GB2312" w:hAnsi="ˎ̥" w:eastAsia="仿宋_GB2312" w:cs="仿宋_GB2312"/>
          <w:color w:val="auto"/>
          <w:kern w:val="0"/>
          <w:sz w:val="32"/>
          <w:szCs w:val="32"/>
          <w:shd w:val="clear" w:color="auto" w:fill="FFFFFF"/>
        </w:rPr>
        <w:t>在校生人数减少</w:t>
      </w:r>
      <w:r>
        <w:rPr>
          <w:rFonts w:hint="eastAsia" w:ascii="仿宋_GB2312" w:hAnsi="ˎ̥" w:eastAsia="仿宋_GB2312" w:cs="仿宋_GB2312"/>
          <w:color w:val="auto"/>
          <w:kern w:val="0"/>
          <w:sz w:val="32"/>
          <w:szCs w:val="32"/>
          <w:shd w:val="clear" w:color="auto" w:fill="FFFFFF"/>
          <w:lang w:eastAsia="zh-CN"/>
        </w:rPr>
        <w:t>，</w:t>
      </w:r>
      <w:r>
        <w:rPr>
          <w:rFonts w:hint="default" w:ascii="仿宋_GB2312" w:hAnsi="ˎ̥" w:eastAsia="仿宋_GB2312" w:cs="仿宋_GB2312"/>
          <w:color w:val="auto"/>
          <w:kern w:val="0"/>
          <w:sz w:val="32"/>
          <w:szCs w:val="32"/>
          <w:shd w:val="clear" w:color="auto" w:fill="FFFFFF"/>
        </w:rPr>
        <w:t>保教费和生均经费减少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80.12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23.91</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rPr>
        <w:t>教职工人数</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，人员经费</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；二是</w:t>
      </w:r>
      <w:r>
        <w:rPr>
          <w:rFonts w:hint="default" w:ascii="仿宋_GB2312" w:hAnsi="ˎ̥" w:eastAsia="仿宋_GB2312" w:cs="仿宋_GB2312"/>
          <w:color w:val="auto"/>
          <w:kern w:val="0"/>
          <w:sz w:val="32"/>
          <w:szCs w:val="32"/>
          <w:shd w:val="clear" w:color="auto" w:fill="FFFFFF"/>
        </w:rPr>
        <w:t>在校生人数减少</w:t>
      </w:r>
      <w:r>
        <w:rPr>
          <w:rFonts w:hint="eastAsia" w:ascii="仿宋_GB2312" w:hAnsi="ˎ̥" w:eastAsia="仿宋_GB2312" w:cs="仿宋_GB2312"/>
          <w:color w:val="auto"/>
          <w:kern w:val="0"/>
          <w:sz w:val="32"/>
          <w:szCs w:val="32"/>
          <w:shd w:val="clear" w:color="auto" w:fill="FFFFFF"/>
          <w:lang w:eastAsia="zh-CN"/>
        </w:rPr>
        <w:t>，</w:t>
      </w:r>
      <w:r>
        <w:rPr>
          <w:rFonts w:hint="default" w:ascii="仿宋_GB2312" w:hAnsi="ˎ̥" w:eastAsia="仿宋_GB2312" w:cs="仿宋_GB2312"/>
          <w:color w:val="auto"/>
          <w:kern w:val="0"/>
          <w:sz w:val="32"/>
          <w:szCs w:val="32"/>
          <w:shd w:val="clear" w:color="auto" w:fill="FFFFFF"/>
        </w:rPr>
        <w:t>保教费和生均经费减少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3694_WPSOffice_Level2"/>
      <w:bookmarkStart w:id="78" w:name="_Toc9989_WPSOffice_Level2"/>
      <w:bookmarkStart w:id="79" w:name="_Toc21737_WPSOffice_Level2"/>
      <w:bookmarkStart w:id="80" w:name="_Toc19665_WPSOffice_Level2"/>
      <w:bookmarkStart w:id="81" w:name="_Toc17398_WPSOffice_Level2"/>
      <w:bookmarkStart w:id="82" w:name="_Toc2300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99.99</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80.12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23.91</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rPr>
        <w:t>教职工人数</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，人员经费</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rPr>
        <w:t>；二是</w:t>
      </w:r>
      <w:r>
        <w:rPr>
          <w:rFonts w:hint="default" w:ascii="仿宋_GB2312" w:hAnsi="ˎ̥" w:eastAsia="仿宋_GB2312" w:cs="仿宋_GB2312"/>
          <w:color w:val="auto"/>
          <w:kern w:val="0"/>
          <w:sz w:val="32"/>
          <w:szCs w:val="32"/>
          <w:shd w:val="clear" w:color="auto" w:fill="FFFFFF"/>
        </w:rPr>
        <w:t>在校生人数减少</w:t>
      </w:r>
      <w:r>
        <w:rPr>
          <w:rFonts w:hint="eastAsia" w:ascii="仿宋_GB2312" w:hAnsi="ˎ̥" w:eastAsia="仿宋_GB2312" w:cs="仿宋_GB2312"/>
          <w:color w:val="auto"/>
          <w:kern w:val="0"/>
          <w:sz w:val="32"/>
          <w:szCs w:val="32"/>
          <w:shd w:val="clear" w:color="auto" w:fill="FFFFFF"/>
          <w:lang w:eastAsia="zh-CN"/>
        </w:rPr>
        <w:t>，</w:t>
      </w:r>
      <w:r>
        <w:rPr>
          <w:rFonts w:hint="default" w:ascii="仿宋_GB2312" w:hAnsi="ˎ̥" w:eastAsia="仿宋_GB2312" w:cs="仿宋_GB2312"/>
          <w:color w:val="auto"/>
          <w:kern w:val="0"/>
          <w:sz w:val="32"/>
          <w:szCs w:val="32"/>
          <w:shd w:val="clear" w:color="auto" w:fill="FFFFFF"/>
        </w:rPr>
        <w:t>保教费和生均经费减少</w:t>
      </w:r>
      <w:r>
        <w:rPr>
          <w:rFonts w:hint="eastAsia" w:ascii="仿宋_GB2312" w:hAnsi="ˎ̥" w:eastAsia="仿宋_GB2312"/>
          <w:color w:val="auto"/>
          <w:sz w:val="32"/>
          <w:szCs w:val="32"/>
        </w:rPr>
        <w:t>。</w:t>
      </w:r>
      <w:bookmarkStart w:id="83" w:name="_Toc2711_WPSOffice_Level2"/>
      <w:bookmarkStart w:id="84" w:name="_Toc18793_WPSOffice_Level2"/>
      <w:bookmarkStart w:id="85" w:name="_Toc27767_WPSOffice_Level2"/>
      <w:bookmarkStart w:id="86" w:name="_Toc23864_WPSOffice_Level2"/>
      <w:bookmarkStart w:id="87" w:name="_Toc19075_WPSOffice_Level2"/>
      <w:bookmarkStart w:id="88" w:name="_Toc19535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eastAsia="zh-CN"/>
        </w:rPr>
        <w:t>教育</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200.86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78.79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22.97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9.02</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18.11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7.1</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w:t>
      </w:r>
      <w:r>
        <w:rPr>
          <w:rFonts w:hint="eastAsia" w:ascii="仿宋_GB2312" w:hAnsi="ˎ̥" w:eastAsia="仿宋_GB2312"/>
          <w:color w:val="auto"/>
          <w:sz w:val="32"/>
          <w:szCs w:val="32"/>
        </w:rPr>
        <w:t>支出12.98</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5.09</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1701_WPSOffice_Level2"/>
      <w:bookmarkStart w:id="90" w:name="_Toc22318_WPSOffice_Level2"/>
      <w:bookmarkStart w:id="91" w:name="_Toc29364_WPSOffice_Level2"/>
      <w:bookmarkStart w:id="92" w:name="_Toc9502_WPSOffice_Level2"/>
      <w:bookmarkStart w:id="93" w:name="_Toc15415_WPSOffice_Level2"/>
      <w:bookmarkStart w:id="94" w:name="_Toc25136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189.59</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254.92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134.46</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olor w:val="auto"/>
          <w:sz w:val="32"/>
          <w:szCs w:val="32"/>
        </w:rPr>
        <w:t>2.</w:t>
      </w:r>
      <w:r>
        <w:rPr>
          <w:rFonts w:hint="eastAsia" w:ascii="仿宋_GB2312" w:hAnsi="ˎ̥" w:eastAsia="仿宋_GB2312" w:cs="仿宋_GB2312"/>
          <w:b/>
          <w:color w:val="auto"/>
          <w:kern w:val="0"/>
          <w:sz w:val="32"/>
          <w:szCs w:val="32"/>
          <w:shd w:val="clear" w:color="auto" w:fill="FFFFFF"/>
        </w:rPr>
        <w:t>教育支出（类）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130.06</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200.87</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154.44</w:t>
      </w:r>
      <w:r>
        <w:rPr>
          <w:rFonts w:hint="eastAsia"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大</w:t>
      </w:r>
      <w:r>
        <w:rPr>
          <w:rFonts w:hint="eastAsia" w:ascii="仿宋_GB2312" w:hAnsi="ˎ̥" w:eastAsia="仿宋_GB2312" w:cs="仿宋_GB2312"/>
          <w:color w:val="auto"/>
          <w:kern w:val="0"/>
          <w:sz w:val="32"/>
          <w:szCs w:val="32"/>
          <w:shd w:val="clear" w:color="auto" w:fill="FFFFFF"/>
        </w:rPr>
        <w:t>于预算数的主要原因是增加了</w:t>
      </w:r>
      <w:r>
        <w:rPr>
          <w:rFonts w:hint="eastAsia" w:ascii="仿宋_GB2312" w:hAnsi="ˎ̥" w:eastAsia="仿宋_GB2312" w:cs="仿宋_GB2312"/>
          <w:color w:val="auto"/>
          <w:kern w:val="0"/>
          <w:sz w:val="32"/>
          <w:szCs w:val="32"/>
          <w:shd w:val="clear" w:color="auto" w:fill="FFFFFF"/>
          <w:lang w:eastAsia="zh-CN"/>
        </w:rPr>
        <w:t>人员经费类项目以及项目支出</w:t>
      </w:r>
      <w:r>
        <w:rPr>
          <w:rFonts w:hint="eastAsia" w:ascii="仿宋_GB2312" w:hAnsi="ˎ̥" w:eastAsia="仿宋_GB2312" w:cs="仿宋_GB2312"/>
          <w:color w:val="auto"/>
          <w:kern w:val="0"/>
          <w:sz w:val="32"/>
          <w:szCs w:val="32"/>
          <w:shd w:val="clear" w:color="auto" w:fill="FFFFFF"/>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90" w:lineRule="exact"/>
        <w:ind w:left="420" w:leftChars="200" w:right="0" w:rightChars="0" w:firstLine="321" w:firstLineChars="100"/>
        <w:jc w:val="left"/>
        <w:textAlignment w:val="auto"/>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rPr>
        <w:t>社会保障和就业（类）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24.83</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22.97</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92.51</w:t>
      </w:r>
      <w:r>
        <w:rPr>
          <w:rFonts w:hint="eastAsia"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eastAsia"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shd w:val="clear" w:color="auto" w:fill="FFFFFF"/>
          <w:lang w:eastAsia="zh-CN"/>
        </w:rPr>
        <w:t>有人员调出县外，在编人员减少</w:t>
      </w:r>
      <w:r>
        <w:rPr>
          <w:rFonts w:hint="eastAsia" w:ascii="仿宋_GB2312" w:hAnsi="ˎ̥" w:eastAsia="仿宋_GB2312" w:cs="仿宋_GB2312"/>
          <w:color w:val="auto"/>
          <w:kern w:val="0"/>
          <w:sz w:val="32"/>
          <w:szCs w:val="32"/>
          <w:shd w:val="clear" w:color="auto" w:fill="FFFFFF"/>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rightChars="0" w:firstLine="643" w:firstLineChars="200"/>
        <w:jc w:val="left"/>
        <w:textAlignment w:val="auto"/>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rPr>
        <w:t>4.住房保障（类）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年初预算为14.</w:t>
      </w:r>
      <w:r>
        <w:rPr>
          <w:rFonts w:hint="eastAsia" w:ascii="仿宋_GB2312" w:hAnsi="ˎ̥" w:eastAsia="仿宋_GB2312" w:cs="仿宋_GB2312"/>
          <w:color w:val="auto"/>
          <w:kern w:val="0"/>
          <w:sz w:val="32"/>
          <w:szCs w:val="32"/>
          <w:shd w:val="clear" w:color="auto" w:fill="FFFFFF"/>
          <w:lang w:val="en-US" w:eastAsia="zh-CN"/>
        </w:rPr>
        <w:t>6</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12.98</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88.9</w:t>
      </w:r>
      <w:r>
        <w:rPr>
          <w:rFonts w:hint="eastAsia"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eastAsia"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shd w:val="clear" w:color="auto" w:fill="FFFFFF"/>
          <w:lang w:eastAsia="zh-CN"/>
        </w:rPr>
        <w:t>有人员调出县外，在编人员减少</w:t>
      </w:r>
      <w:r>
        <w:rPr>
          <w:rFonts w:hint="eastAsia" w:ascii="仿宋_GB2312" w:hAnsi="ˎ̥" w:eastAsia="仿宋_GB2312" w:cs="仿宋_GB2312"/>
          <w:color w:val="auto"/>
          <w:kern w:val="0"/>
          <w:sz w:val="32"/>
          <w:szCs w:val="32"/>
          <w:shd w:val="clear" w:color="auto" w:fill="FFFFFF"/>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90" w:lineRule="exact"/>
        <w:ind w:leftChars="300" w:right="0" w:rightChars="0"/>
        <w:jc w:val="left"/>
        <w:textAlignment w:val="auto"/>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lang w:val="en-US" w:eastAsia="zh-CN"/>
        </w:rPr>
        <w:t>5.</w:t>
      </w:r>
      <w:r>
        <w:rPr>
          <w:rFonts w:hint="eastAsia" w:ascii="仿宋_GB2312" w:hAnsi="ˎ̥" w:eastAsia="仿宋_GB2312" w:cs="仿宋_GB2312"/>
          <w:b/>
          <w:color w:val="auto"/>
          <w:kern w:val="0"/>
          <w:sz w:val="32"/>
          <w:szCs w:val="32"/>
          <w:shd w:val="clear" w:color="auto" w:fill="FFFFFF"/>
        </w:rPr>
        <w:t>卫生健康支出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90" w:lineRule="exact"/>
        <w:ind w:right="0" w:rightChars="0" w:firstLine="640" w:firstLineChars="200"/>
        <w:jc w:val="left"/>
        <w:textAlignment w:val="auto"/>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20.11</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18.11</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90.05</w:t>
      </w:r>
      <w:r>
        <w:rPr>
          <w:rFonts w:hint="eastAsia" w:ascii="仿宋_GB2312" w:hAnsi="ˎ̥" w:eastAsia="仿宋_GB2312" w:cs="仿宋_GB2312"/>
          <w:color w:val="auto"/>
          <w:kern w:val="0"/>
          <w:sz w:val="32"/>
          <w:szCs w:val="32"/>
          <w:shd w:val="clear" w:color="auto" w:fill="FFFFFF"/>
        </w:rPr>
        <w:t>%。决算数大于预算数的主要原因</w:t>
      </w:r>
      <w:r>
        <w:rPr>
          <w:rFonts w:hint="eastAsia" w:ascii="仿宋_GB2312" w:hAnsi="ˎ̥" w:eastAsia="仿宋_GB2312" w:cs="仿宋_GB2312"/>
          <w:color w:val="auto"/>
          <w:kern w:val="0"/>
          <w:sz w:val="32"/>
          <w:szCs w:val="32"/>
          <w:shd w:val="clear" w:color="auto" w:fill="FFFFFF"/>
          <w:lang w:eastAsia="zh-CN"/>
        </w:rPr>
        <w:t>是有人员调出县外，在编人员减少</w:t>
      </w:r>
      <w:r>
        <w:rPr>
          <w:rFonts w:hint="eastAsia" w:ascii="仿宋_GB2312" w:hAnsi="ˎ̥" w:eastAsia="仿宋_GB2312" w:cs="仿宋_GB2312"/>
          <w:color w:val="auto"/>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178.28</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175.88</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2.40</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eastAsia="zh-CN"/>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lang w:eastAsia="zh-CN"/>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个国有资本经营预算项目开展绩效自评，共涉及资金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本年没有进行相关工作</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（单位）在</w:t>
      </w:r>
      <w:r>
        <w:rPr>
          <w:rFonts w:hint="eastAsia" w:ascii="仿宋_GB2312" w:eastAsia="仿宋_GB2312"/>
          <w:color w:val="auto"/>
          <w:sz w:val="32"/>
          <w:szCs w:val="32"/>
          <w:lang w:eastAsia="zh-CN"/>
        </w:rPr>
        <w:t>单位</w:t>
      </w:r>
      <w:r>
        <w:rPr>
          <w:rFonts w:hint="eastAsia" w:ascii="仿宋_GB2312" w:eastAsia="仿宋_GB2312"/>
          <w:color w:val="auto"/>
          <w:sz w:val="32"/>
          <w:szCs w:val="32"/>
        </w:rPr>
        <w:t>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eastAsia="zh-CN" w:bidi="ar"/>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zh-CN"/>
        </w:rPr>
      </w:pPr>
      <w:r>
        <w:rPr>
          <w:rFonts w:hint="eastAsia" w:ascii="仿宋_GB2312" w:eastAsia="仿宋_GB2312"/>
          <w:color w:val="auto"/>
          <w:sz w:val="32"/>
          <w:szCs w:val="32"/>
          <w:lang w:val="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32639_WPSOffice_Level2"/>
      <w:bookmarkStart w:id="96" w:name="_Toc18325_WPSOffice_Level2"/>
      <w:bookmarkStart w:id="97" w:name="_Toc5978_WPSOffice_Level2"/>
      <w:bookmarkStart w:id="98" w:name="_Toc23598_WPSOffice_Level2"/>
      <w:bookmarkStart w:id="99" w:name="_Toc15565_WPSOffice_Level2"/>
      <w:bookmarkStart w:id="100" w:name="_Toc15262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屯昌县屯城镇大陆坡幼儿园</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30383_WPSOffice_Level2"/>
      <w:bookmarkStart w:id="102" w:name="_Toc13084_WPSOffice_Level2"/>
      <w:bookmarkStart w:id="103" w:name="_Toc3131_WPSOffice_Level2"/>
      <w:bookmarkStart w:id="104" w:name="_Toc23966_WPSOffice_Level2"/>
      <w:bookmarkStart w:id="105" w:name="_Toc25333_WPSOffice_Level2"/>
      <w:bookmarkStart w:id="106" w:name="_Toc32689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屯昌县屯城镇大陆坡幼儿园</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527_WPSOffice_Level2"/>
      <w:bookmarkStart w:id="108" w:name="_Toc15129_WPSOffice_Level2"/>
      <w:bookmarkStart w:id="109" w:name="_Toc10902_WPSOffice_Level2"/>
      <w:bookmarkStart w:id="110" w:name="_Toc19989_WPSOffice_Level2"/>
      <w:bookmarkStart w:id="111" w:name="_Toc6016_WPSOffice_Level2"/>
      <w:bookmarkStart w:id="112" w:name="_Toc29584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s="仿宋_GB2312"/>
          <w:color w:val="auto"/>
          <w:kern w:val="0"/>
          <w:sz w:val="32"/>
          <w:szCs w:val="32"/>
        </w:rPr>
        <w:t>9310.68</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15425_WPSOffice_Level1"/>
      <w:bookmarkStart w:id="114" w:name="_Toc17580_WPSOffice_Level1"/>
      <w:bookmarkStart w:id="115" w:name="_Toc8874_WPSOffice_Level1"/>
      <w:bookmarkStart w:id="116" w:name="_Toc8808_WPSOffice_Level1"/>
      <w:bookmarkStart w:id="117" w:name="_Toc11039_WPSOffice_Level1"/>
      <w:bookmarkStart w:id="118"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F24CE5"/>
    <w:multiLevelType w:val="singleLevel"/>
    <w:tmpl w:val="97F24CE5"/>
    <w:lvl w:ilvl="0" w:tentative="0">
      <w:start w:val="3"/>
      <w:numFmt w:val="decimal"/>
      <w:lvlText w:val="%1."/>
      <w:lvlJc w:val="left"/>
      <w:pPr>
        <w:tabs>
          <w:tab w:val="left" w:pos="312"/>
        </w:tabs>
      </w:p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BABF9D0C"/>
    <w:multiLevelType w:val="singleLevel"/>
    <w:tmpl w:val="BABF9D0C"/>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abstractNum w:abstractNumId="4">
    <w:nsid w:val="7D773804"/>
    <w:multiLevelType w:val="singleLevel"/>
    <w:tmpl w:val="7D773804"/>
    <w:lvl w:ilvl="0" w:tentative="0">
      <w:start w:val="1"/>
      <w:numFmt w:val="chineseCounting"/>
      <w:suff w:val="nothing"/>
      <w:lvlText w:val="（%1）"/>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64E0B97"/>
    <w:rsid w:val="09201287"/>
    <w:rsid w:val="0FC80124"/>
    <w:rsid w:val="124E520C"/>
    <w:rsid w:val="136F98C7"/>
    <w:rsid w:val="17427E68"/>
    <w:rsid w:val="1755065F"/>
    <w:rsid w:val="1AFC29C9"/>
    <w:rsid w:val="1CA52F2E"/>
    <w:rsid w:val="1E3630B9"/>
    <w:rsid w:val="210B438A"/>
    <w:rsid w:val="23923ED7"/>
    <w:rsid w:val="269C295E"/>
    <w:rsid w:val="26E57EED"/>
    <w:rsid w:val="26EEC2B5"/>
    <w:rsid w:val="29472309"/>
    <w:rsid w:val="2B406E77"/>
    <w:rsid w:val="2C2A0C43"/>
    <w:rsid w:val="2D1E73A5"/>
    <w:rsid w:val="32717154"/>
    <w:rsid w:val="34B63260"/>
    <w:rsid w:val="37FDA7E2"/>
    <w:rsid w:val="38486A76"/>
    <w:rsid w:val="3A314D88"/>
    <w:rsid w:val="3A746883"/>
    <w:rsid w:val="3CA15DE9"/>
    <w:rsid w:val="3CBD2399"/>
    <w:rsid w:val="3FE61EE5"/>
    <w:rsid w:val="406508EE"/>
    <w:rsid w:val="408D6263"/>
    <w:rsid w:val="41B40CEE"/>
    <w:rsid w:val="46FA1BAD"/>
    <w:rsid w:val="48317291"/>
    <w:rsid w:val="485F7024"/>
    <w:rsid w:val="48E70666"/>
    <w:rsid w:val="49E452CB"/>
    <w:rsid w:val="4A6B1F61"/>
    <w:rsid w:val="4C6877E5"/>
    <w:rsid w:val="4D6A468D"/>
    <w:rsid w:val="4EA86137"/>
    <w:rsid w:val="53BE5192"/>
    <w:rsid w:val="56CA7FD0"/>
    <w:rsid w:val="57FA38D1"/>
    <w:rsid w:val="5F7D3333"/>
    <w:rsid w:val="61385890"/>
    <w:rsid w:val="61CB4F14"/>
    <w:rsid w:val="64674C3C"/>
    <w:rsid w:val="687436E1"/>
    <w:rsid w:val="6DA45C50"/>
    <w:rsid w:val="6E9227D9"/>
    <w:rsid w:val="6E9A7825"/>
    <w:rsid w:val="6F670F9B"/>
    <w:rsid w:val="737450E0"/>
    <w:rsid w:val="74054476"/>
    <w:rsid w:val="742F38C4"/>
    <w:rsid w:val="74AB66DC"/>
    <w:rsid w:val="74C4154C"/>
    <w:rsid w:val="75956FFF"/>
    <w:rsid w:val="77AA2D01"/>
    <w:rsid w:val="7CDE1DBD"/>
    <w:rsid w:val="7D943A85"/>
    <w:rsid w:val="7DB0448C"/>
    <w:rsid w:val="7E5F9AA4"/>
    <w:rsid w:val="7E9E1668"/>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5</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2025-10-27T07:40:40Z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