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屯昌县南坤镇藤寨幼儿园2024年度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val="en-US" w:eastAsia="zh-CN"/>
        </w:rPr>
        <w:t>单位</w:t>
      </w:r>
      <w:r>
        <w:rPr>
          <w:rFonts w:hint="eastAsia" w:ascii="方正小标宋_GBK" w:hAnsi="方正小标宋_GBK" w:eastAsia="方正小标宋_GBK" w:cs="方正小标宋_GBK"/>
          <w:b w:val="0"/>
          <w:bCs w:val="0"/>
          <w:sz w:val="44"/>
          <w:szCs w:val="44"/>
        </w:rPr>
        <w:t>决算公开报告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eastAsia="zh-CN"/>
        </w:rPr>
        <w:t>单位</w:t>
      </w:r>
      <w:r>
        <w:rPr>
          <w:rFonts w:hint="eastAsia" w:ascii="仿宋" w:hAnsi="仿宋" w:eastAsia="仿宋" w:cs="仿宋"/>
          <w:sz w:val="32"/>
          <w:szCs w:val="32"/>
        </w:rPr>
        <w:t>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center"/>
        <w:rPr>
          <w:rFonts w:hint="eastAsia" w:ascii="黑体" w:hAnsi="ˎ̥" w:eastAsia="黑体"/>
          <w:sz w:val="32"/>
          <w:szCs w:val="32"/>
        </w:rPr>
      </w:pPr>
      <w:bookmarkStart w:id="2" w:name="_Toc1704_WPSOffice_Level1"/>
      <w:bookmarkStart w:id="3" w:name="_Toc10720_WPSOffice_Level1"/>
      <w:bookmarkStart w:id="4" w:name="_Toc32433_WPSOffice_Level1"/>
      <w:bookmarkStart w:id="5" w:name="_Toc23465_WPSOffice_Level1"/>
      <w:bookmarkStart w:id="6" w:name="_Toc22941_WPSOffice_Level1"/>
      <w:bookmarkStart w:id="7" w:name="_Toc10049_WPSOffice_Level1"/>
      <w:bookmarkStart w:id="8" w:name="_Toc24238_WPSOffice_Level2"/>
      <w:bookmarkStart w:id="9" w:name="_Toc20274_WPSOffice_Level2"/>
      <w:bookmarkStart w:id="10" w:name="_Toc32622_WPSOffice_Level2"/>
      <w:bookmarkStart w:id="11" w:name="_Toc14159_WPSOffice_Level2"/>
      <w:bookmarkStart w:id="12" w:name="_Toc20205_WPSOffice_Level2"/>
      <w:bookmarkStart w:id="13" w:name="_Toc26580_WPSOffice_Level2"/>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bookmarkEnd w:id="8"/>
    <w:p>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lang w:eastAsia="zh-CN"/>
        </w:rPr>
        <w:t>单位</w:t>
      </w:r>
      <w:r>
        <w:rPr>
          <w:rFonts w:hint="eastAsia" w:ascii="黑体" w:hAnsi="黑体" w:eastAsia="黑体" w:cs="黑体"/>
          <w:sz w:val="32"/>
          <w:szCs w:val="32"/>
        </w:rPr>
        <w:t>职责</w:t>
      </w:r>
      <w:bookmarkEnd w:id="9"/>
      <w:bookmarkEnd w:id="10"/>
      <w:bookmarkEnd w:id="11"/>
      <w:bookmarkEnd w:id="12"/>
      <w:bookmarkEnd w:id="13"/>
    </w:p>
    <w:p>
      <w:pPr>
        <w:pStyle w:val="16"/>
        <w:keepNext w:val="0"/>
        <w:keepLines w:val="0"/>
        <w:pageBreakBefore w:val="0"/>
        <w:widowControl/>
        <w:tabs>
          <w:tab w:val="right" w:leader="dot" w:pos="8306"/>
        </w:tabs>
        <w:kinsoku/>
        <w:wordWrap/>
        <w:overflowPunct/>
        <w:topLinePunct w:val="0"/>
        <w:autoSpaceDE/>
        <w:autoSpaceDN/>
        <w:bidi w:val="0"/>
        <w:adjustRightInd/>
        <w:snapToGrid/>
        <w:spacing w:line="578" w:lineRule="exact"/>
        <w:ind w:left="0" w:leftChars="0" w:right="0" w:rightChars="0" w:firstLine="640" w:firstLineChars="200"/>
        <w:jc w:val="left"/>
        <w:textAlignment w:val="auto"/>
        <w:outlineLvl w:val="9"/>
        <w:rPr>
          <w:rFonts w:hint="default" w:ascii="仿宋_GB2312" w:hAnsi="ˎ̥" w:eastAsia="仿宋_GB2312" w:cs="仿宋_GB2312"/>
          <w:color w:val="auto"/>
          <w:kern w:val="0"/>
          <w:sz w:val="32"/>
          <w:szCs w:val="32"/>
          <w:lang w:val="en-US" w:eastAsia="zh-CN" w:bidi="ar-SA"/>
        </w:rPr>
      </w:pPr>
      <w:r>
        <w:rPr>
          <w:rFonts w:hint="eastAsia" w:ascii="仿宋_GB2312" w:hAnsi="ˎ̥" w:eastAsia="仿宋_GB2312" w:cs="仿宋_GB2312"/>
          <w:color w:val="auto"/>
          <w:kern w:val="0"/>
          <w:sz w:val="32"/>
          <w:szCs w:val="32"/>
          <w:lang w:val="en-US" w:eastAsia="zh-CN" w:bidi="ar-SA"/>
        </w:rPr>
        <w:t>（</w:t>
      </w:r>
      <w:r>
        <w:rPr>
          <w:rFonts w:hint="default" w:ascii="仿宋_GB2312" w:hAnsi="ˎ̥" w:eastAsia="仿宋_GB2312" w:cs="仿宋_GB2312"/>
          <w:color w:val="auto"/>
          <w:kern w:val="0"/>
          <w:sz w:val="32"/>
          <w:szCs w:val="32"/>
          <w:lang w:val="en-US" w:eastAsia="zh-CN" w:bidi="ar-SA"/>
        </w:rPr>
        <w:t>一）基本职能</w:t>
      </w:r>
    </w:p>
    <w:p>
      <w:pPr>
        <w:pStyle w:val="18"/>
        <w:keepNext w:val="0"/>
        <w:keepLines w:val="0"/>
        <w:pageBreakBefore w:val="0"/>
        <w:kinsoku/>
        <w:wordWrap/>
        <w:overflowPunct/>
        <w:topLinePunct w:val="0"/>
        <w:autoSpaceDE/>
        <w:autoSpaceDN/>
        <w:bidi w:val="0"/>
        <w:adjustRightInd/>
        <w:spacing w:line="590" w:lineRule="exact"/>
        <w:ind w:left="0" w:leftChars="0" w:right="0" w:rightChars="0" w:firstLine="640" w:firstLineChars="200"/>
        <w:jc w:val="left"/>
        <w:textAlignment w:val="auto"/>
        <w:outlineLvl w:val="9"/>
        <w:rPr>
          <w:rFonts w:ascii="仿宋_GB2312" w:hAnsi="黑体" w:eastAsia="仿宋_GB2312" w:cs="仿宋_GB2312"/>
          <w:sz w:val="32"/>
          <w:szCs w:val="32"/>
        </w:rPr>
      </w:pPr>
      <w:bookmarkStart w:id="14" w:name="_Toc4833_WPSOffice_Level2"/>
      <w:bookmarkStart w:id="15" w:name="_Toc24474_WPSOffice_Level2"/>
      <w:bookmarkStart w:id="16" w:name="_Toc17796_WPSOffice_Level2"/>
      <w:bookmarkStart w:id="17" w:name="_Toc24059_WPSOffice_Level2"/>
      <w:bookmarkStart w:id="18" w:name="_Toc6572_WPSOffice_Level2"/>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实行保育和教育相结合的原则，为家长解除后顾之忧，热忧为家长服务。</w:t>
      </w:r>
    </w:p>
    <w:p>
      <w:pPr>
        <w:pStyle w:val="18"/>
        <w:keepNext w:val="0"/>
        <w:keepLines w:val="0"/>
        <w:pageBreakBefore w:val="0"/>
        <w:kinsoku/>
        <w:wordWrap/>
        <w:overflowPunct/>
        <w:topLinePunct w:val="0"/>
        <w:autoSpaceDE/>
        <w:autoSpaceDN/>
        <w:bidi w:val="0"/>
        <w:adjustRightInd/>
        <w:spacing w:line="590" w:lineRule="exact"/>
        <w:ind w:left="0" w:leftChars="0"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为儿童提供健康、丰富的生活和活动环境，促进幼儿体智德美等和谐发展，全面实施素质教育。</w:t>
      </w:r>
    </w:p>
    <w:p>
      <w:pPr>
        <w:pStyle w:val="18"/>
        <w:keepNext w:val="0"/>
        <w:keepLines w:val="0"/>
        <w:pageBreakBefore w:val="0"/>
        <w:kinsoku/>
        <w:wordWrap/>
        <w:overflowPunct/>
        <w:topLinePunct w:val="0"/>
        <w:autoSpaceDE/>
        <w:autoSpaceDN/>
        <w:bidi w:val="0"/>
        <w:adjustRightInd/>
        <w:spacing w:line="590" w:lineRule="exact"/>
        <w:ind w:left="0" w:leftChars="0" w:right="0" w:rightChars="0" w:firstLine="640" w:firstLineChars="200"/>
        <w:jc w:val="left"/>
        <w:textAlignment w:val="auto"/>
        <w:outlineLvl w:val="9"/>
        <w:rPr>
          <w:rFonts w:ascii="仿宋_GB2312" w:hAnsi="黑体" w:eastAsia="仿宋_GB2312" w:cs="仿宋_GB2312"/>
          <w:sz w:val="32"/>
          <w:szCs w:val="32"/>
        </w:rPr>
      </w:pP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严格执行幼儿园安全、卫生保健制度，保证幼儿身心健康和生命安全。</w:t>
      </w:r>
    </w:p>
    <w:p>
      <w:pPr>
        <w:pStyle w:val="18"/>
        <w:keepNext w:val="0"/>
        <w:keepLines w:val="0"/>
        <w:pageBreakBefore w:val="0"/>
        <w:kinsoku/>
        <w:wordWrap/>
        <w:overflowPunct/>
        <w:topLinePunct w:val="0"/>
        <w:autoSpaceDE/>
        <w:autoSpaceDN/>
        <w:bidi w:val="0"/>
        <w:adjustRightInd/>
        <w:spacing w:line="590" w:lineRule="exact"/>
        <w:ind w:left="0" w:leftChars="0" w:right="0" w:rightChars="0" w:firstLine="640" w:firstLineChars="200"/>
        <w:jc w:val="left"/>
        <w:textAlignment w:val="auto"/>
        <w:outlineLvl w:val="9"/>
        <w:rPr>
          <w:rFonts w:ascii="仿宋_GB2312" w:hAnsi="黑体" w:eastAsia="仿宋_GB2312" w:cs="仿宋_GB2312"/>
          <w:sz w:val="32"/>
          <w:szCs w:val="32"/>
        </w:rPr>
      </w:pPr>
      <w:r>
        <w:rPr>
          <w:rFonts w:hint="eastAsia" w:ascii="仿宋_GB2312" w:hAnsi="黑体" w:eastAsia="仿宋_GB2312" w:cs="仿宋_GB2312"/>
          <w:sz w:val="32"/>
          <w:szCs w:val="32"/>
        </w:rPr>
        <w:t>（</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）充分利用幼儿和社区的资源优势，面向家长开展多种形式的早期教育宣传、指导等服务，促进家庭教育质量的不断提高。</w:t>
      </w:r>
    </w:p>
    <w:p>
      <w:pPr>
        <w:pStyle w:val="18"/>
        <w:keepNext w:val="0"/>
        <w:keepLines w:val="0"/>
        <w:pageBreakBefore w:val="0"/>
        <w:kinsoku/>
        <w:wordWrap/>
        <w:overflowPunct/>
        <w:topLinePunct w:val="0"/>
        <w:autoSpaceDE/>
        <w:autoSpaceDN/>
        <w:bidi w:val="0"/>
        <w:adjustRightInd/>
        <w:spacing w:line="590" w:lineRule="exact"/>
        <w:ind w:left="0" w:leftChars="0" w:right="0" w:rightChars="0" w:firstLine="640" w:firstLineChars="200"/>
        <w:jc w:val="left"/>
        <w:textAlignment w:val="auto"/>
        <w:outlineLvl w:val="9"/>
        <w:rPr>
          <w:rFonts w:ascii="仿宋_GB2312" w:hAnsi="黑体" w:eastAsia="仿宋_GB2312" w:cs="仿宋_GB2312"/>
          <w:sz w:val="32"/>
          <w:szCs w:val="32"/>
        </w:rPr>
      </w:pPr>
      <w:r>
        <w:rPr>
          <w:rFonts w:hint="eastAsia" w:ascii="仿宋_GB2312" w:hAnsi="黑体" w:eastAsia="仿宋_GB2312" w:cs="仿宋_GB2312"/>
          <w:sz w:val="32"/>
          <w:szCs w:val="32"/>
        </w:rPr>
        <w:t>（</w:t>
      </w: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）贯彻幼儿教育法规、传播科学教育理念、开展教育科学研究、培训师资，发挥示范性幼儿园的示范、辐射作用。</w:t>
      </w:r>
    </w:p>
    <w:p>
      <w:pPr>
        <w:spacing w:line="578" w:lineRule="exact"/>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）承办上级主管部门交办的其他工作。</w:t>
      </w: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lang w:val="en-US"/>
        </w:rPr>
      </w:pPr>
      <w:r>
        <w:rPr>
          <w:rFonts w:hint="eastAsia" w:ascii="仿宋_GB2312" w:hAnsi="ˎ̥" w:eastAsia="仿宋_GB2312"/>
          <w:sz w:val="32"/>
          <w:szCs w:val="32"/>
          <w:lang w:val="en-US"/>
        </w:rPr>
        <w:t>纳入</w:t>
      </w:r>
      <w:r>
        <w:rPr>
          <w:rFonts w:hint="eastAsia" w:ascii="仿宋_GB2312" w:hAnsi="ˎ̥" w:eastAsia="仿宋_GB2312"/>
          <w:sz w:val="32"/>
          <w:szCs w:val="32"/>
          <w:lang w:val="en-US" w:eastAsia="zh-CN"/>
        </w:rPr>
        <w:t>屯昌县南坤镇藤寨幼儿园</w:t>
      </w:r>
      <w:r>
        <w:rPr>
          <w:rFonts w:hint="default" w:ascii="仿宋_GB2312" w:hAnsi="ˎ̥" w:eastAsia="仿宋_GB2312"/>
          <w:sz w:val="32"/>
          <w:szCs w:val="32"/>
          <w:lang w:val="en-US"/>
        </w:rPr>
        <w:t>2024</w:t>
      </w:r>
      <w:r>
        <w:rPr>
          <w:rFonts w:hint="eastAsia" w:ascii="仿宋_GB2312" w:hAnsi="ˎ̥" w:eastAsia="仿宋_GB2312"/>
          <w:sz w:val="32"/>
          <w:szCs w:val="32"/>
          <w:lang w:val="en-US"/>
        </w:rPr>
        <w:t>年度</w:t>
      </w:r>
      <w:r>
        <w:rPr>
          <w:rFonts w:hint="eastAsia" w:ascii="仿宋_GB2312" w:hAnsi="ˎ̥" w:eastAsia="仿宋_GB2312"/>
          <w:sz w:val="32"/>
          <w:szCs w:val="32"/>
          <w:lang w:val="en-US" w:eastAsia="zh-CN"/>
        </w:rPr>
        <w:t>单位</w:t>
      </w:r>
      <w:r>
        <w:rPr>
          <w:rFonts w:hint="eastAsia" w:ascii="仿宋_GB2312" w:hAnsi="ˎ̥" w:eastAsia="仿宋_GB2312"/>
          <w:sz w:val="32"/>
          <w:szCs w:val="32"/>
          <w:lang w:val="en-US"/>
        </w:rPr>
        <w:t>决算编制范围的单位共</w:t>
      </w:r>
      <w:r>
        <w:rPr>
          <w:rFonts w:hint="eastAsia" w:ascii="仿宋_GB2312" w:hAnsi="ˎ̥" w:eastAsia="仿宋_GB2312"/>
          <w:sz w:val="32"/>
          <w:szCs w:val="32"/>
          <w:lang w:val="en-US" w:eastAsia="zh-CN"/>
        </w:rPr>
        <w:t>1</w:t>
      </w:r>
      <w:r>
        <w:rPr>
          <w:rFonts w:hint="eastAsia" w:ascii="仿宋_GB2312" w:hAnsi="ˎ̥" w:eastAsia="仿宋_GB2312"/>
          <w:sz w:val="32"/>
          <w:szCs w:val="32"/>
          <w:lang w:val="en-US"/>
        </w:rPr>
        <w:t>个，包括：</w:t>
      </w:r>
    </w:p>
    <w:p>
      <w:pPr>
        <w:spacing w:line="578" w:lineRule="exact"/>
        <w:ind w:firstLine="640" w:firstLineChars="200"/>
        <w:rPr>
          <w:rFonts w:hint="eastAsia" w:ascii="方正楷体_GBK" w:hAnsi="方正楷体_GBK" w:eastAsia="方正楷体_GBK" w:cs="方正楷体_GBK"/>
          <w:sz w:val="32"/>
          <w:szCs w:val="32"/>
        </w:rPr>
      </w:pPr>
      <w:bookmarkStart w:id="19" w:name="_Toc24421_WPSOffice_Level2"/>
      <w:bookmarkStart w:id="20" w:name="_Toc25738_WPSOffice_Level2"/>
      <w:r>
        <w:rPr>
          <w:rFonts w:hint="eastAsia" w:ascii="方正楷体_GBK" w:hAnsi="方正楷体_GBK" w:eastAsia="方正楷体_GBK" w:cs="方正楷体_GBK"/>
          <w:sz w:val="32"/>
          <w:szCs w:val="32"/>
        </w:rPr>
        <w:t>（一）</w:t>
      </w:r>
      <w:r>
        <w:rPr>
          <w:rFonts w:hint="eastAsia" w:ascii="方正楷体_GBK" w:hAnsi="方正楷体_GBK" w:eastAsia="方正楷体_GBK" w:cs="方正楷体_GBK"/>
          <w:sz w:val="32"/>
          <w:szCs w:val="32"/>
          <w:lang w:val="en-US" w:eastAsia="zh-CN"/>
        </w:rPr>
        <w:t>屯昌县南坤镇藤寨幼儿园</w:t>
      </w:r>
      <w:r>
        <w:rPr>
          <w:rFonts w:hint="eastAsia" w:ascii="方正楷体_GBK" w:hAnsi="方正楷体_GBK" w:eastAsia="方正楷体_GBK" w:cs="方正楷体_GBK"/>
          <w:sz w:val="32"/>
          <w:szCs w:val="32"/>
        </w:rPr>
        <w:t>本级</w:t>
      </w:r>
      <w:bookmarkEnd w:id="19"/>
      <w:bookmarkEnd w:id="20"/>
    </w:p>
    <w:p>
      <w:pPr>
        <w:spacing w:line="578" w:lineRule="exact"/>
        <w:rPr>
          <w:rFonts w:hint="eastAsia" w:ascii="仿宋_GB2312" w:hAnsi="ˎ̥" w:eastAsia="仿宋_GB2312"/>
          <w:sz w:val="32"/>
          <w:szCs w:val="32"/>
        </w:rPr>
      </w:pPr>
    </w:p>
    <w:p>
      <w:pPr>
        <w:spacing w:line="578" w:lineRule="exact"/>
        <w:jc w:val="center"/>
        <w:rPr>
          <w:rFonts w:hint="eastAsia" w:ascii="黑体" w:hAnsi="ˎ̥" w:eastAsia="黑体"/>
          <w:sz w:val="32"/>
          <w:szCs w:val="32"/>
        </w:rPr>
      </w:pPr>
      <w:bookmarkStart w:id="122" w:name="_GoBack"/>
      <w:bookmarkEnd w:id="122"/>
      <w:bookmarkStart w:id="21" w:name="_Toc30690_WPSOffice_Level1"/>
      <w:bookmarkStart w:id="22" w:name="_Toc8164_WPSOffice_Level1"/>
      <w:bookmarkStart w:id="23" w:name="_Toc6234_WPSOffice_Level1"/>
      <w:bookmarkStart w:id="24" w:name="_Toc30451_WPSOffice_Level1"/>
      <w:bookmarkStart w:id="25" w:name="_Toc15521_WPSOffice_Level1"/>
      <w:bookmarkStart w:id="26" w:name="_Toc28253_WPSOffice_Level1"/>
      <w:bookmarkStart w:id="27" w:name="_Toc11518_WPSOffice_Level2"/>
      <w:bookmarkStart w:id="28" w:name="_Toc32695_WPSOffice_Level2"/>
      <w:bookmarkStart w:id="29" w:name="_Toc8867_WPSOffice_Level2"/>
      <w:bookmarkStart w:id="30" w:name="_Toc6211_WPSOffice_Level2"/>
      <w:bookmarkStart w:id="31" w:name="_Toc4029_WPSOffice_Level2"/>
      <w:bookmarkStart w:id="32" w:name="_Toc32472_WPSOffice_Level2"/>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val="en-US" w:eastAsia="zh-CN"/>
        </w:rPr>
        <w:t>单位</w:t>
      </w:r>
      <w:r>
        <w:rPr>
          <w:rFonts w:hint="eastAsia" w:ascii="黑体" w:hAnsi="ˎ̥" w:eastAsia="黑体"/>
          <w:sz w:val="32"/>
          <w:szCs w:val="32"/>
        </w:rPr>
        <w:t>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sz w:val="32"/>
          <w:szCs w:val="32"/>
        </w:rPr>
      </w:pPr>
      <w:bookmarkStart w:id="33" w:name="_Toc25608_WPSOffice_Level2"/>
      <w:bookmarkStart w:id="34" w:name="_Toc30334_WPSOffice_Level2"/>
      <w:bookmarkStart w:id="35" w:name="_Toc26621_WPSOffice_Level2"/>
      <w:bookmarkStart w:id="36" w:name="_Toc28622_WPSOffice_Level2"/>
      <w:bookmarkStart w:id="37" w:name="_Toc14349_WPSOffice_Level2"/>
      <w:bookmarkStart w:id="38" w:name="_Toc23139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17858_WPSOffice_Level2"/>
      <w:bookmarkStart w:id="40" w:name="_Toc5489_WPSOffice_Level2"/>
      <w:bookmarkStart w:id="41" w:name="_Toc17626_WPSOffice_Level2"/>
      <w:bookmarkStart w:id="42" w:name="_Toc13854_WPSOffice_Level2"/>
      <w:bookmarkStart w:id="43" w:name="_Toc3262_WPSOffice_Level2"/>
      <w:bookmarkStart w:id="44" w:name="_Toc1465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23591_WPSOffice_Level2"/>
      <w:bookmarkStart w:id="46" w:name="_Toc4265_WPSOffice_Level2"/>
      <w:bookmarkStart w:id="47" w:name="_Toc7988_WPSOffice_Level2"/>
      <w:bookmarkStart w:id="48" w:name="_Toc13701_WPSOffice_Level2"/>
      <w:bookmarkStart w:id="49" w:name="_Toc23493_WPSOffice_Level2"/>
      <w:bookmarkStart w:id="50" w:name="_Toc21415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sz w:val="32"/>
          <w:szCs w:val="32"/>
        </w:rPr>
      </w:pPr>
      <w:bookmarkStart w:id="51" w:name="_Toc23829_WPSOffice_Level2"/>
      <w:bookmarkStart w:id="52" w:name="_Toc22783_WPSOffice_Level2"/>
      <w:bookmarkStart w:id="53" w:name="_Toc7879_WPSOffice_Level2"/>
      <w:bookmarkStart w:id="54" w:name="_Toc25166_WPSOffice_Level2"/>
      <w:bookmarkStart w:id="55" w:name="_Toc13516_WPSOffice_Level2"/>
      <w:bookmarkStart w:id="56" w:name="_Toc2158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25362_WPSOffice_Level2"/>
      <w:bookmarkStart w:id="58" w:name="_Toc8373_WPSOffice_Level2"/>
      <w:bookmarkStart w:id="59" w:name="_Toc5343_WPSOffice_Level2"/>
      <w:bookmarkStart w:id="60" w:name="_Toc2632_WPSOffice_Level2"/>
      <w:bookmarkStart w:id="61" w:name="_Toc17283_WPSOffice_Level2"/>
      <w:bookmarkStart w:id="62" w:name="_Toc1783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3" w:name="_Toc1533_WPSOffice_Level2"/>
      <w:bookmarkStart w:id="64" w:name="_Toc11799_WPSOffice_Level2"/>
      <w:bookmarkStart w:id="65" w:name="_Toc13345_WPSOffice_Level2"/>
      <w:bookmarkStart w:id="66" w:name="_Toc21310_WPSOffice_Level2"/>
      <w:bookmarkStart w:id="67" w:name="_Toc5594_WPSOffice_Level2"/>
      <w:bookmarkStart w:id="68" w:name="_Toc6020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9" w:name="_Toc19961_WPSOffice_Level2"/>
      <w:bookmarkStart w:id="70" w:name="_Toc1820_WPSOffice_Level2"/>
      <w:bookmarkStart w:id="71" w:name="_Toc9377_WPSOffice_Level2"/>
      <w:bookmarkStart w:id="72" w:name="_Toc29886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3" w:name="_Toc16686_WPSOffice_Level1"/>
      <w:bookmarkStart w:id="74" w:name="_Toc28629_WPSOffice_Level1"/>
      <w:bookmarkStart w:id="75" w:name="_Toc31264_WPSOffice_Level1"/>
      <w:bookmarkStart w:id="76" w:name="_Toc27590_WPSOffice_Level1"/>
      <w:bookmarkStart w:id="77" w:name="_Toc4402_WPSOffice_Level1"/>
      <w:bookmarkStart w:id="78" w:name="_Toc29683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val="en-US" w:eastAsia="zh-CN"/>
        </w:rPr>
        <w:t>单位</w:t>
      </w:r>
      <w:r>
        <w:rPr>
          <w:rFonts w:hint="eastAsia" w:ascii="黑体" w:hAnsi="ˎ̥" w:eastAsia="黑体"/>
          <w:sz w:val="32"/>
          <w:szCs w:val="32"/>
        </w:rPr>
        <w:t>决算情况说明</w:t>
      </w:r>
      <w:bookmarkEnd w:id="73"/>
      <w:bookmarkEnd w:id="74"/>
      <w:bookmarkEnd w:id="75"/>
      <w:bookmarkEnd w:id="76"/>
      <w:bookmarkEnd w:id="77"/>
      <w:bookmarkEnd w:id="78"/>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sz w:val="32"/>
          <w:szCs w:val="32"/>
          <w:lang w:val="en-US"/>
        </w:rPr>
        <w:t>238.14</w:t>
      </w:r>
      <w:r>
        <w:rPr>
          <w:rFonts w:hint="eastAsia" w:ascii="仿宋_GB2312" w:hAnsi="ˎ̥" w:eastAsia="仿宋_GB2312"/>
          <w:sz w:val="32"/>
          <w:szCs w:val="32"/>
        </w:rPr>
        <w:t>万元，支出总计</w:t>
      </w:r>
      <w:r>
        <w:rPr>
          <w:rFonts w:hint="default" w:ascii="仿宋_GB2312" w:hAnsi="ˎ̥" w:eastAsia="仿宋_GB2312"/>
          <w:sz w:val="32"/>
          <w:szCs w:val="32"/>
          <w:lang w:val="en-US"/>
        </w:rPr>
        <w:t>238.14</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年度相比，收入、支出总计各减少</w:t>
      </w:r>
      <w:r>
        <w:rPr>
          <w:rFonts w:hint="eastAsia" w:ascii="仿宋_GB2312" w:hAnsi="ˎ̥" w:eastAsia="仿宋_GB2312"/>
          <w:sz w:val="32"/>
          <w:szCs w:val="32"/>
          <w:lang w:val="en-US" w:eastAsia="zh-CN"/>
        </w:rPr>
        <w:t>68.32</w:t>
      </w:r>
      <w:r>
        <w:rPr>
          <w:rFonts w:hint="eastAsia" w:ascii="仿宋_GB2312" w:hAnsi="ˎ̥" w:eastAsia="仿宋_GB2312"/>
          <w:sz w:val="32"/>
          <w:szCs w:val="32"/>
        </w:rPr>
        <w:t>万元，下降</w:t>
      </w:r>
      <w:r>
        <w:rPr>
          <w:rFonts w:hint="eastAsia" w:ascii="仿宋_GB2312" w:hAnsi="ˎ̥" w:eastAsia="仿宋_GB2312"/>
          <w:sz w:val="32"/>
          <w:szCs w:val="32"/>
          <w:lang w:val="en-US" w:eastAsia="zh-CN"/>
        </w:rPr>
        <w:t>22</w:t>
      </w:r>
      <w:r>
        <w:rPr>
          <w:rFonts w:hint="eastAsia" w:ascii="仿宋_GB2312" w:hAnsi="ˎ̥" w:eastAsia="仿宋_GB2312"/>
          <w:sz w:val="32"/>
          <w:szCs w:val="32"/>
        </w:rPr>
        <w:t>%。主要原因：一是教育支出</w:t>
      </w:r>
      <w:r>
        <w:rPr>
          <w:rFonts w:hint="eastAsia" w:ascii="仿宋_GB2312" w:hAnsi="ˎ̥" w:eastAsia="仿宋_GB2312"/>
          <w:sz w:val="32"/>
          <w:szCs w:val="32"/>
          <w:lang w:val="en-US" w:eastAsia="zh-CN"/>
        </w:rPr>
        <w:t>减少63.15元</w:t>
      </w:r>
      <w:r>
        <w:rPr>
          <w:rFonts w:hint="eastAsia" w:ascii="仿宋_GB2312" w:hAnsi="ˎ̥" w:eastAsia="仿宋_GB2312"/>
          <w:sz w:val="32"/>
          <w:szCs w:val="32"/>
        </w:rPr>
        <w:t>；二是社会保障和就业支出</w:t>
      </w:r>
      <w:r>
        <w:rPr>
          <w:rFonts w:hint="eastAsia" w:ascii="仿宋_GB2312" w:hAnsi="ˎ̥" w:eastAsia="仿宋_GB2312"/>
          <w:sz w:val="32"/>
          <w:szCs w:val="32"/>
          <w:lang w:val="en-US" w:eastAsia="zh-CN"/>
        </w:rPr>
        <w:t>减少2.19元；三是卫生健康支出减少1.92元；四是住房保障支出减少1.06元。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rPr>
      </w:pPr>
      <w:r>
        <w:rPr>
          <w:rFonts w:hint="eastAsia" w:ascii="仿宋_GB2312" w:hAnsi="ˎ̥" w:eastAsia="仿宋_GB2312"/>
          <w:sz w:val="32"/>
          <w:szCs w:val="32"/>
          <w:lang w:val="en-US"/>
        </w:rPr>
        <w:t>本年</w:t>
      </w:r>
      <w:r>
        <w:rPr>
          <w:rFonts w:hint="default" w:ascii="仿宋_GB2312" w:hAnsi="ˎ̥" w:eastAsia="仿宋_GB2312"/>
          <w:sz w:val="32"/>
          <w:szCs w:val="32"/>
          <w:lang w:val="en-US"/>
        </w:rPr>
        <w:t>收入237.96</w:t>
      </w:r>
      <w:r>
        <w:rPr>
          <w:rFonts w:hint="eastAsia" w:ascii="仿宋_GB2312" w:hAnsi="ˎ̥" w:eastAsia="仿宋_GB2312"/>
          <w:sz w:val="32"/>
          <w:szCs w:val="32"/>
          <w:lang w:val="en-US"/>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rPr>
      </w:pPr>
      <w:r>
        <w:rPr>
          <w:rFonts w:hint="eastAsia" w:ascii="仿宋_GB2312" w:hAnsi="ˎ̥" w:eastAsia="仿宋_GB2312"/>
          <w:sz w:val="32"/>
          <w:szCs w:val="32"/>
          <w:lang w:val="en-US"/>
        </w:rPr>
        <w:t>使用非财政拨款结余</w:t>
      </w:r>
      <w:r>
        <w:rPr>
          <w:rFonts w:hint="default" w:ascii="仿宋_GB2312" w:hAnsi="ˎ̥" w:eastAsia="仿宋_GB2312"/>
          <w:sz w:val="32"/>
          <w:szCs w:val="32"/>
          <w:lang w:val="en-US"/>
        </w:rPr>
        <w:t>0.00</w:t>
      </w:r>
      <w:r>
        <w:rPr>
          <w:rFonts w:hint="eastAsia" w:ascii="仿宋_GB2312" w:hAnsi="ˎ̥" w:eastAsia="仿宋_GB2312"/>
          <w:sz w:val="32"/>
          <w:szCs w:val="32"/>
          <w:lang w:val="en-US"/>
        </w:rPr>
        <w:t>万元，较</w:t>
      </w:r>
      <w:r>
        <w:rPr>
          <w:rFonts w:hint="default" w:ascii="仿宋_GB2312" w:hAnsi="ˎ̥" w:eastAsia="仿宋_GB2312"/>
          <w:sz w:val="32"/>
          <w:szCs w:val="32"/>
          <w:lang w:val="en-US"/>
        </w:rPr>
        <w:t>2023</w:t>
      </w:r>
      <w:r>
        <w:rPr>
          <w:rFonts w:hint="eastAsia" w:ascii="仿宋_GB2312" w:hAnsi="ˎ̥" w:eastAsia="仿宋_GB2312"/>
          <w:sz w:val="32"/>
          <w:szCs w:val="32"/>
          <w:lang w:val="en-US"/>
        </w:rPr>
        <w:t>年度决算数增加（减少）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万元，主要原因是</w:t>
      </w:r>
      <w:r>
        <w:rPr>
          <w:rFonts w:hint="eastAsia" w:ascii="仿宋_GB2312" w:hAnsi="ˎ̥" w:eastAsia="仿宋_GB2312"/>
          <w:sz w:val="32"/>
          <w:szCs w:val="32"/>
          <w:lang w:val="en-US" w:eastAsia="zh-CN"/>
        </w:rPr>
        <w:t>无</w:t>
      </w:r>
      <w:r>
        <w:rPr>
          <w:rFonts w:hint="eastAsia" w:ascii="仿宋_GB2312" w:hAnsi="ˎ̥" w:eastAsia="仿宋_GB2312"/>
          <w:sz w:val="32"/>
          <w:szCs w:val="32"/>
          <w:lang w:val="en-US"/>
        </w:rPr>
        <w:t>非财政拨款结余。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rPr>
      </w:pPr>
      <w:r>
        <w:rPr>
          <w:rFonts w:hint="eastAsia" w:ascii="仿宋_GB2312" w:hAnsi="ˎ̥" w:eastAsia="仿宋_GB2312"/>
          <w:sz w:val="32"/>
          <w:szCs w:val="32"/>
          <w:lang w:val="en-US"/>
        </w:rPr>
        <w:t>年初结转结余</w:t>
      </w:r>
      <w:r>
        <w:rPr>
          <w:rFonts w:hint="default" w:ascii="仿宋_GB2312" w:hAnsi="ˎ̥" w:eastAsia="仿宋_GB2312"/>
          <w:sz w:val="32"/>
          <w:szCs w:val="32"/>
          <w:lang w:val="en-US"/>
        </w:rPr>
        <w:t>0.18</w:t>
      </w:r>
      <w:r>
        <w:rPr>
          <w:rFonts w:hint="eastAsia" w:ascii="仿宋_GB2312" w:hAnsi="ˎ̥" w:eastAsia="仿宋_GB2312"/>
          <w:sz w:val="32"/>
          <w:szCs w:val="32"/>
          <w:lang w:val="en-US"/>
        </w:rPr>
        <w:t>万元，主要是</w:t>
      </w:r>
      <w:r>
        <w:rPr>
          <w:rFonts w:hint="default" w:ascii="仿宋_GB2312" w:hAnsi="ˎ̥" w:eastAsia="仿宋_GB2312"/>
          <w:sz w:val="32"/>
          <w:szCs w:val="32"/>
          <w:lang w:val="en-US"/>
        </w:rPr>
        <w:t>项目支出结余结转</w:t>
      </w:r>
      <w:r>
        <w:rPr>
          <w:rFonts w:hint="eastAsia" w:ascii="仿宋_GB2312" w:hAnsi="ˎ̥" w:eastAsia="仿宋_GB2312"/>
          <w:sz w:val="32"/>
          <w:szCs w:val="32"/>
          <w:lang w:val="en-US"/>
        </w:rPr>
        <w:t>，较</w:t>
      </w:r>
      <w:r>
        <w:rPr>
          <w:rFonts w:hint="default" w:ascii="仿宋_GB2312" w:hAnsi="ˎ̥" w:eastAsia="仿宋_GB2312"/>
          <w:sz w:val="32"/>
          <w:szCs w:val="32"/>
          <w:lang w:val="en-US"/>
        </w:rPr>
        <w:t>2023</w:t>
      </w:r>
      <w:r>
        <w:rPr>
          <w:rFonts w:hint="eastAsia" w:ascii="仿宋_GB2312" w:hAnsi="ˎ̥" w:eastAsia="仿宋_GB2312"/>
          <w:sz w:val="32"/>
          <w:szCs w:val="32"/>
          <w:lang w:val="en-US"/>
        </w:rPr>
        <w:t>年度决算数增加（减少）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%，主要原因是</w:t>
      </w:r>
      <w:r>
        <w:rPr>
          <w:rFonts w:hint="eastAsia" w:ascii="仿宋_GB2312" w:hAnsi="ˎ̥" w:eastAsia="仿宋_GB2312"/>
          <w:sz w:val="32"/>
          <w:szCs w:val="32"/>
          <w:lang w:val="en-US" w:eastAsia="zh-CN"/>
        </w:rPr>
        <w:t>项目资金未支出</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rPr>
      </w:pPr>
      <w:r>
        <w:rPr>
          <w:rFonts w:hint="eastAsia" w:ascii="仿宋_GB2312" w:hAnsi="ˎ̥" w:eastAsia="仿宋_GB2312"/>
          <w:sz w:val="32"/>
          <w:szCs w:val="32"/>
          <w:lang w:val="en-US"/>
        </w:rPr>
        <w:t>本年支出</w:t>
      </w:r>
      <w:r>
        <w:rPr>
          <w:rFonts w:hint="default" w:ascii="仿宋_GB2312" w:hAnsi="ˎ̥" w:eastAsia="仿宋_GB2312"/>
          <w:sz w:val="32"/>
          <w:szCs w:val="32"/>
          <w:lang w:val="en-US"/>
        </w:rPr>
        <w:t>237.96</w:t>
      </w:r>
      <w:r>
        <w:rPr>
          <w:rFonts w:hint="eastAsia" w:ascii="仿宋_GB2312" w:hAnsi="ˎ̥" w:eastAsia="仿宋_GB2312"/>
          <w:sz w:val="32"/>
          <w:szCs w:val="32"/>
          <w:lang w:val="en-US"/>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rPr>
      </w:pPr>
      <w:r>
        <w:rPr>
          <w:rFonts w:hint="eastAsia" w:ascii="仿宋_GB2312" w:hAnsi="ˎ̥" w:eastAsia="仿宋_GB2312"/>
          <w:sz w:val="32"/>
          <w:szCs w:val="32"/>
          <w:lang w:val="en-US"/>
        </w:rPr>
        <w:t>结余分配</w:t>
      </w:r>
      <w:r>
        <w:rPr>
          <w:rFonts w:hint="default" w:ascii="仿宋_GB2312" w:hAnsi="ˎ̥" w:eastAsia="仿宋_GB2312"/>
          <w:sz w:val="32"/>
          <w:szCs w:val="32"/>
          <w:lang w:val="en-US"/>
        </w:rPr>
        <w:t>0.00</w:t>
      </w:r>
      <w:r>
        <w:rPr>
          <w:rFonts w:hint="eastAsia" w:ascii="仿宋_GB2312" w:hAnsi="ˎ̥" w:eastAsia="仿宋_GB2312"/>
          <w:sz w:val="32"/>
          <w:szCs w:val="32"/>
          <w:lang w:val="en-US"/>
        </w:rPr>
        <w:t>万元，主要是</w:t>
      </w:r>
      <w:r>
        <w:rPr>
          <w:rFonts w:hint="eastAsia" w:ascii="仿宋_GB2312" w:hAnsi="ˎ̥" w:eastAsia="仿宋_GB2312"/>
          <w:sz w:val="32"/>
          <w:szCs w:val="32"/>
          <w:lang w:val="en-US" w:eastAsia="zh-CN"/>
        </w:rPr>
        <w:t>无结余分配资金</w:t>
      </w:r>
      <w:r>
        <w:rPr>
          <w:rFonts w:hint="eastAsia" w:ascii="仿宋_GB2312" w:hAnsi="ˎ̥" w:eastAsia="仿宋_GB2312"/>
          <w:sz w:val="32"/>
          <w:szCs w:val="32"/>
          <w:lang w:val="en-US"/>
        </w:rPr>
        <w:t>，较</w:t>
      </w:r>
      <w:r>
        <w:rPr>
          <w:rFonts w:hint="default" w:ascii="仿宋_GB2312" w:hAnsi="ˎ̥" w:eastAsia="仿宋_GB2312"/>
          <w:sz w:val="32"/>
          <w:szCs w:val="32"/>
          <w:lang w:val="en-US"/>
        </w:rPr>
        <w:t>2023</w:t>
      </w:r>
      <w:r>
        <w:rPr>
          <w:rFonts w:hint="eastAsia" w:ascii="仿宋_GB2312" w:hAnsi="ˎ̥" w:eastAsia="仿宋_GB2312"/>
          <w:sz w:val="32"/>
          <w:szCs w:val="32"/>
          <w:lang w:val="en-US"/>
        </w:rPr>
        <w:t>年度决算数增加（减少）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%，主要原因是</w:t>
      </w:r>
      <w:r>
        <w:rPr>
          <w:rFonts w:hint="eastAsia" w:ascii="仿宋_GB2312" w:hAnsi="ˎ̥" w:eastAsia="仿宋_GB2312"/>
          <w:sz w:val="32"/>
          <w:szCs w:val="32"/>
          <w:lang w:val="en-US" w:eastAsia="zh-CN"/>
        </w:rPr>
        <w:t>无结余分配资金</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rPr>
      </w:pPr>
      <w:r>
        <w:rPr>
          <w:rFonts w:hint="eastAsia" w:ascii="仿宋_GB2312" w:hAnsi="ˎ̥" w:eastAsia="仿宋_GB2312"/>
          <w:sz w:val="32"/>
          <w:szCs w:val="32"/>
          <w:lang w:val="en-US"/>
        </w:rPr>
        <w:t>年末结转结余</w:t>
      </w:r>
      <w:r>
        <w:rPr>
          <w:rFonts w:hint="default" w:ascii="仿宋_GB2312" w:hAnsi="ˎ̥" w:eastAsia="仿宋_GB2312"/>
          <w:sz w:val="32"/>
          <w:szCs w:val="32"/>
          <w:lang w:val="en-US"/>
        </w:rPr>
        <w:t>0.18</w:t>
      </w:r>
      <w:r>
        <w:rPr>
          <w:rFonts w:hint="eastAsia" w:ascii="仿宋_GB2312" w:hAnsi="ˎ̥" w:eastAsia="仿宋_GB2312"/>
          <w:sz w:val="32"/>
          <w:szCs w:val="32"/>
          <w:lang w:val="en-US"/>
        </w:rPr>
        <w:t>万元，主要是</w:t>
      </w:r>
      <w:r>
        <w:rPr>
          <w:rFonts w:hint="default" w:ascii="仿宋_GB2312" w:hAnsi="ˎ̥" w:eastAsia="仿宋_GB2312"/>
          <w:sz w:val="32"/>
          <w:szCs w:val="32"/>
          <w:lang w:val="en-US"/>
        </w:rPr>
        <w:t>项目支出结余结转</w:t>
      </w:r>
      <w:r>
        <w:rPr>
          <w:rFonts w:hint="eastAsia" w:ascii="仿宋_GB2312" w:hAnsi="ˎ̥" w:eastAsia="仿宋_GB2312"/>
          <w:sz w:val="32"/>
          <w:szCs w:val="32"/>
          <w:lang w:val="en-US"/>
        </w:rPr>
        <w:t>，较</w:t>
      </w:r>
      <w:r>
        <w:rPr>
          <w:rFonts w:hint="default" w:ascii="仿宋_GB2312" w:hAnsi="ˎ̥" w:eastAsia="仿宋_GB2312"/>
          <w:sz w:val="32"/>
          <w:szCs w:val="32"/>
          <w:lang w:val="en-US"/>
        </w:rPr>
        <w:t>2023</w:t>
      </w:r>
      <w:r>
        <w:rPr>
          <w:rFonts w:hint="eastAsia" w:ascii="仿宋_GB2312" w:hAnsi="ˎ̥" w:eastAsia="仿宋_GB2312"/>
          <w:sz w:val="32"/>
          <w:szCs w:val="32"/>
          <w:lang w:val="en-US"/>
        </w:rPr>
        <w:t>年度决算数增加（减少）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%，主要原因是</w:t>
      </w:r>
      <w:r>
        <w:rPr>
          <w:rFonts w:hint="eastAsia" w:ascii="仿宋_GB2312" w:hAnsi="ˎ̥" w:eastAsia="仿宋_GB2312"/>
          <w:sz w:val="32"/>
          <w:szCs w:val="32"/>
          <w:lang w:val="en-US" w:eastAsia="zh-CN"/>
        </w:rPr>
        <w:t>项目资金未支出</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w:t>
      </w:r>
      <w:r>
        <w:rPr>
          <w:rFonts w:hint="eastAsia" w:ascii="仿宋_GB2312" w:hAnsi="ˎ̥" w:eastAsia="仿宋_GB2312"/>
          <w:sz w:val="32"/>
          <w:szCs w:val="32"/>
          <w:lang w:val="en-US"/>
        </w:rPr>
        <w:t xml:space="preserve">  本年收入</w:t>
      </w:r>
      <w:r>
        <w:rPr>
          <w:rFonts w:hint="default" w:ascii="仿宋_GB2312" w:hAnsi="ˎ̥" w:eastAsia="仿宋_GB2312"/>
          <w:sz w:val="32"/>
          <w:szCs w:val="32"/>
          <w:lang w:val="en-US"/>
        </w:rPr>
        <w:t>237.96</w:t>
      </w:r>
      <w:r>
        <w:rPr>
          <w:rFonts w:hint="eastAsia" w:ascii="仿宋_GB2312" w:hAnsi="ˎ̥" w:eastAsia="仿宋_GB2312"/>
          <w:sz w:val="32"/>
          <w:szCs w:val="32"/>
          <w:lang w:val="en-US"/>
        </w:rPr>
        <w:t>万元，其中：财政拨款收入</w:t>
      </w:r>
      <w:r>
        <w:rPr>
          <w:rFonts w:hint="default" w:ascii="仿宋_GB2312" w:hAnsi="ˎ̥" w:eastAsia="仿宋_GB2312"/>
          <w:sz w:val="32"/>
          <w:szCs w:val="32"/>
          <w:lang w:val="en-US"/>
        </w:rPr>
        <w:t>237.96</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100</w:t>
      </w:r>
      <w:r>
        <w:rPr>
          <w:rFonts w:hint="eastAsia" w:ascii="仿宋_GB2312" w:hAnsi="ˎ̥" w:eastAsia="仿宋_GB2312"/>
          <w:sz w:val="32"/>
          <w:szCs w:val="32"/>
          <w:lang w:val="en-US"/>
        </w:rPr>
        <w:t>%；上级补助收入</w:t>
      </w:r>
      <w:r>
        <w:rPr>
          <w:rFonts w:hint="default" w:ascii="仿宋_GB2312" w:hAnsi="ˎ̥" w:eastAsia="仿宋_GB2312"/>
          <w:sz w:val="32"/>
          <w:szCs w:val="32"/>
          <w:lang w:val="en-US"/>
        </w:rPr>
        <w:t>0.00</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%；事业收入</w:t>
      </w:r>
      <w:r>
        <w:rPr>
          <w:rFonts w:hint="default" w:ascii="仿宋_GB2312" w:hAnsi="ˎ̥" w:eastAsia="仿宋_GB2312"/>
          <w:sz w:val="32"/>
          <w:szCs w:val="32"/>
          <w:lang w:val="en-US"/>
        </w:rPr>
        <w:t>0.00</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%；经营收入</w:t>
      </w:r>
      <w:r>
        <w:rPr>
          <w:rFonts w:hint="default" w:ascii="仿宋_GB2312" w:hAnsi="ˎ̥" w:eastAsia="仿宋_GB2312"/>
          <w:sz w:val="32"/>
          <w:szCs w:val="32"/>
          <w:lang w:val="en-US"/>
        </w:rPr>
        <w:t>0.00</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%；附属单位上缴收入</w:t>
      </w:r>
      <w:r>
        <w:rPr>
          <w:rFonts w:hint="default" w:ascii="仿宋_GB2312" w:hAnsi="ˎ̥" w:eastAsia="仿宋_GB2312"/>
          <w:sz w:val="32"/>
          <w:szCs w:val="32"/>
          <w:lang w:val="en-US"/>
        </w:rPr>
        <w:t>0.00</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%；其他收入</w:t>
      </w:r>
      <w:r>
        <w:rPr>
          <w:rFonts w:hint="default" w:ascii="仿宋_GB2312" w:hAnsi="ˎ̥" w:eastAsia="仿宋_GB2312"/>
          <w:sz w:val="32"/>
          <w:szCs w:val="32"/>
          <w:lang w:val="en-US"/>
        </w:rPr>
        <w:t>0.00</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rPr>
      </w:pPr>
      <w:r>
        <w:rPr>
          <w:rFonts w:hint="eastAsia" w:ascii="仿宋_GB2312" w:hAnsi="ˎ̥" w:eastAsia="仿宋_GB2312"/>
          <w:sz w:val="32"/>
          <w:szCs w:val="32"/>
          <w:lang w:val="en-US"/>
        </w:rPr>
        <w:t>本年支出</w:t>
      </w:r>
      <w:r>
        <w:rPr>
          <w:rFonts w:hint="default" w:ascii="仿宋_GB2312" w:hAnsi="ˎ̥" w:eastAsia="仿宋_GB2312"/>
          <w:sz w:val="32"/>
          <w:szCs w:val="32"/>
          <w:lang w:val="en-US"/>
        </w:rPr>
        <w:t>237.96</w:t>
      </w:r>
      <w:r>
        <w:rPr>
          <w:rFonts w:hint="eastAsia" w:ascii="仿宋_GB2312" w:hAnsi="ˎ̥" w:eastAsia="仿宋_GB2312"/>
          <w:sz w:val="32"/>
          <w:szCs w:val="32"/>
          <w:lang w:val="en-US"/>
        </w:rPr>
        <w:t>万元，其中：基本支出</w:t>
      </w:r>
      <w:r>
        <w:rPr>
          <w:rFonts w:hint="default" w:ascii="仿宋_GB2312" w:hAnsi="ˎ̥" w:eastAsia="仿宋_GB2312"/>
          <w:sz w:val="32"/>
          <w:szCs w:val="32"/>
          <w:lang w:val="en-US"/>
        </w:rPr>
        <w:t>155.37</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65.29</w:t>
      </w:r>
      <w:r>
        <w:rPr>
          <w:rFonts w:hint="eastAsia" w:ascii="仿宋_GB2312" w:hAnsi="ˎ̥" w:eastAsia="仿宋_GB2312"/>
          <w:sz w:val="32"/>
          <w:szCs w:val="32"/>
          <w:lang w:val="en-US"/>
        </w:rPr>
        <w:t>%；项目支出</w:t>
      </w:r>
      <w:r>
        <w:rPr>
          <w:rFonts w:hint="default" w:ascii="仿宋_GB2312" w:hAnsi="ˎ̥" w:eastAsia="仿宋_GB2312"/>
          <w:sz w:val="32"/>
          <w:szCs w:val="32"/>
          <w:lang w:val="en-US"/>
        </w:rPr>
        <w:t>82.59</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34.71</w:t>
      </w:r>
      <w:r>
        <w:rPr>
          <w:rFonts w:hint="eastAsia" w:ascii="仿宋_GB2312" w:hAnsi="ˎ̥" w:eastAsia="仿宋_GB2312"/>
          <w:sz w:val="32"/>
          <w:szCs w:val="32"/>
          <w:lang w:val="en-US"/>
        </w:rPr>
        <w:t>%；上缴上级支出</w:t>
      </w:r>
      <w:r>
        <w:rPr>
          <w:rFonts w:hint="default" w:ascii="仿宋_GB2312" w:hAnsi="ˎ̥" w:eastAsia="仿宋_GB2312"/>
          <w:sz w:val="32"/>
          <w:szCs w:val="32"/>
          <w:lang w:val="en-US"/>
        </w:rPr>
        <w:t>0.00</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%；经营支出</w:t>
      </w:r>
      <w:r>
        <w:rPr>
          <w:rFonts w:hint="default" w:ascii="仿宋_GB2312" w:hAnsi="ˎ̥" w:eastAsia="仿宋_GB2312"/>
          <w:sz w:val="32"/>
          <w:szCs w:val="32"/>
          <w:lang w:val="en-US"/>
        </w:rPr>
        <w:t>0.00</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%；对附属单位补助支出</w:t>
      </w:r>
      <w:r>
        <w:rPr>
          <w:rFonts w:hint="default" w:ascii="仿宋_GB2312" w:hAnsi="ˎ̥" w:eastAsia="仿宋_GB2312"/>
          <w:sz w:val="32"/>
          <w:szCs w:val="32"/>
          <w:lang w:val="en-US"/>
        </w:rPr>
        <w:t>0.00</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rPr>
      </w:pPr>
      <w:r>
        <w:rPr>
          <w:rFonts w:hint="default" w:ascii="仿宋_GB2312" w:hAnsi="ˎ̥" w:eastAsia="仿宋_GB2312"/>
          <w:sz w:val="32"/>
          <w:szCs w:val="32"/>
          <w:lang w:val="en-US"/>
        </w:rPr>
        <w:t>2024</w:t>
      </w:r>
      <w:r>
        <w:rPr>
          <w:rFonts w:hint="eastAsia" w:ascii="仿宋_GB2312" w:hAnsi="ˎ̥" w:eastAsia="仿宋_GB2312"/>
          <w:sz w:val="32"/>
          <w:szCs w:val="32"/>
          <w:lang w:val="en-US"/>
        </w:rPr>
        <w:t>年度财政拨款收入</w:t>
      </w:r>
      <w:r>
        <w:rPr>
          <w:rFonts w:hint="default" w:ascii="仿宋_GB2312" w:hAnsi="ˎ̥" w:eastAsia="仿宋_GB2312"/>
          <w:sz w:val="32"/>
          <w:szCs w:val="32"/>
          <w:lang w:val="en-US"/>
        </w:rPr>
        <w:t>237.96</w:t>
      </w:r>
      <w:r>
        <w:rPr>
          <w:rFonts w:hint="eastAsia" w:ascii="仿宋_GB2312" w:hAnsi="ˎ̥" w:eastAsia="仿宋_GB2312"/>
          <w:sz w:val="32"/>
          <w:szCs w:val="32"/>
          <w:lang w:val="en-US"/>
        </w:rPr>
        <w:t>万元，支出</w:t>
      </w:r>
      <w:r>
        <w:rPr>
          <w:rFonts w:hint="default" w:ascii="仿宋_GB2312" w:hAnsi="ˎ̥" w:eastAsia="仿宋_GB2312"/>
          <w:sz w:val="32"/>
          <w:szCs w:val="32"/>
          <w:lang w:val="en-US"/>
        </w:rPr>
        <w:t>237.96</w:t>
      </w:r>
      <w:r>
        <w:rPr>
          <w:rFonts w:hint="eastAsia" w:ascii="仿宋_GB2312" w:hAnsi="ˎ̥" w:eastAsia="仿宋_GB2312"/>
          <w:sz w:val="32"/>
          <w:szCs w:val="32"/>
          <w:lang w:val="en-US"/>
        </w:rPr>
        <w:t>万元。与</w:t>
      </w:r>
      <w:r>
        <w:rPr>
          <w:rFonts w:hint="default" w:ascii="仿宋_GB2312" w:hAnsi="ˎ̥" w:eastAsia="仿宋_GB2312"/>
          <w:sz w:val="32"/>
          <w:szCs w:val="32"/>
          <w:lang w:val="en-US"/>
        </w:rPr>
        <w:t>2023</w:t>
      </w:r>
      <w:r>
        <w:rPr>
          <w:rFonts w:hint="eastAsia" w:ascii="仿宋_GB2312" w:hAnsi="ˎ̥" w:eastAsia="仿宋_GB2312"/>
          <w:sz w:val="32"/>
          <w:szCs w:val="32"/>
          <w:lang w:val="en-US"/>
        </w:rPr>
        <w:t>年度相比，财政拨款收入减少</w:t>
      </w:r>
      <w:r>
        <w:rPr>
          <w:rFonts w:hint="eastAsia" w:ascii="仿宋_GB2312" w:hAnsi="ˎ̥" w:eastAsia="仿宋_GB2312"/>
          <w:sz w:val="32"/>
          <w:szCs w:val="32"/>
          <w:lang w:val="en-US" w:eastAsia="zh-CN"/>
        </w:rPr>
        <w:t>68.32</w:t>
      </w:r>
      <w:r>
        <w:rPr>
          <w:rFonts w:hint="eastAsia" w:ascii="仿宋_GB2312" w:hAnsi="ˎ̥" w:eastAsia="仿宋_GB2312"/>
          <w:sz w:val="32"/>
          <w:szCs w:val="32"/>
          <w:lang w:val="en-US"/>
        </w:rPr>
        <w:t>万元，下降</w:t>
      </w:r>
      <w:r>
        <w:rPr>
          <w:rFonts w:hint="eastAsia" w:ascii="仿宋_GB2312" w:hAnsi="ˎ̥" w:eastAsia="仿宋_GB2312"/>
          <w:sz w:val="32"/>
          <w:szCs w:val="32"/>
          <w:lang w:val="en-US" w:eastAsia="zh-CN"/>
        </w:rPr>
        <w:t>22</w:t>
      </w:r>
      <w:r>
        <w:rPr>
          <w:rFonts w:hint="eastAsia" w:ascii="仿宋_GB2312" w:hAnsi="ˎ̥" w:eastAsia="仿宋_GB2312"/>
          <w:sz w:val="32"/>
          <w:szCs w:val="32"/>
          <w:lang w:val="en-US"/>
        </w:rPr>
        <w:t>%，主要原因：一是教育支出</w:t>
      </w:r>
      <w:r>
        <w:rPr>
          <w:rFonts w:hint="eastAsia" w:ascii="仿宋_GB2312" w:hAnsi="ˎ̥" w:eastAsia="仿宋_GB2312"/>
          <w:sz w:val="32"/>
          <w:szCs w:val="32"/>
          <w:lang w:val="en-US" w:eastAsia="zh-CN"/>
        </w:rPr>
        <w:t>减少63.15元</w:t>
      </w:r>
      <w:r>
        <w:rPr>
          <w:rFonts w:hint="eastAsia" w:ascii="仿宋_GB2312" w:hAnsi="ˎ̥" w:eastAsia="仿宋_GB2312"/>
          <w:sz w:val="32"/>
          <w:szCs w:val="32"/>
          <w:lang w:val="en-US"/>
        </w:rPr>
        <w:t>；二是社会保障和就业支出</w:t>
      </w:r>
      <w:r>
        <w:rPr>
          <w:rFonts w:hint="eastAsia" w:ascii="仿宋_GB2312" w:hAnsi="ˎ̥" w:eastAsia="仿宋_GB2312"/>
          <w:sz w:val="32"/>
          <w:szCs w:val="32"/>
          <w:lang w:val="en-US" w:eastAsia="zh-CN"/>
        </w:rPr>
        <w:t>减少2.19元；三是卫生健康支出减少1.92元；四是住房保障支出减少1.06元</w:t>
      </w:r>
      <w:r>
        <w:rPr>
          <w:rFonts w:hint="eastAsia" w:ascii="仿宋_GB2312" w:hAnsi="ˎ̥" w:eastAsia="仿宋_GB2312"/>
          <w:sz w:val="32"/>
          <w:szCs w:val="32"/>
          <w:lang w:val="en-US"/>
        </w:rPr>
        <w:t>。支出减少</w:t>
      </w:r>
      <w:r>
        <w:rPr>
          <w:rFonts w:hint="eastAsia" w:ascii="仿宋_GB2312" w:hAnsi="ˎ̥" w:eastAsia="仿宋_GB2312"/>
          <w:sz w:val="32"/>
          <w:szCs w:val="32"/>
          <w:lang w:val="en-US" w:eastAsia="zh-CN"/>
        </w:rPr>
        <w:t>68.32</w:t>
      </w:r>
      <w:r>
        <w:rPr>
          <w:rFonts w:hint="eastAsia" w:ascii="仿宋_GB2312" w:hAnsi="ˎ̥" w:eastAsia="仿宋_GB2312"/>
          <w:sz w:val="32"/>
          <w:szCs w:val="32"/>
          <w:lang w:val="en-US"/>
        </w:rPr>
        <w:t>万元，下降</w:t>
      </w:r>
      <w:r>
        <w:rPr>
          <w:rFonts w:hint="eastAsia" w:ascii="仿宋_GB2312" w:hAnsi="ˎ̥" w:eastAsia="仿宋_GB2312"/>
          <w:sz w:val="32"/>
          <w:szCs w:val="32"/>
          <w:lang w:val="en-US" w:eastAsia="zh-CN"/>
        </w:rPr>
        <w:t>22</w:t>
      </w:r>
      <w:r>
        <w:rPr>
          <w:rFonts w:hint="eastAsia" w:ascii="仿宋_GB2312" w:hAnsi="ˎ̥" w:eastAsia="仿宋_GB2312"/>
          <w:sz w:val="32"/>
          <w:szCs w:val="32"/>
          <w:lang w:val="en-US"/>
        </w:rPr>
        <w:t>%，主要原因：一是教育支出；二是社会保障和就业支出</w:t>
      </w:r>
      <w:r>
        <w:rPr>
          <w:rFonts w:hint="eastAsia" w:ascii="仿宋_GB2312" w:hAnsi="ˎ̥" w:eastAsia="仿宋_GB2312"/>
          <w:sz w:val="32"/>
          <w:szCs w:val="32"/>
          <w:lang w:val="en-US" w:eastAsia="zh-CN"/>
        </w:rPr>
        <w:t>;三是卫生健康支出;四是住房保障支出</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rPr>
      </w:pPr>
      <w:r>
        <w:rPr>
          <w:rFonts w:hint="eastAsia" w:ascii="仿宋_GB2312" w:hAnsi="ˎ̥" w:eastAsia="仿宋_GB2312"/>
          <w:sz w:val="32"/>
          <w:szCs w:val="32"/>
          <w:lang w:val="en-US"/>
        </w:rPr>
        <w:t>财政拨款年初结转结余</w:t>
      </w:r>
      <w:r>
        <w:rPr>
          <w:rFonts w:hint="default" w:ascii="仿宋_GB2312" w:hAnsi="ˎ̥" w:eastAsia="仿宋_GB2312"/>
          <w:sz w:val="32"/>
          <w:szCs w:val="32"/>
          <w:lang w:val="en-US"/>
        </w:rPr>
        <w:t>0.00</w:t>
      </w:r>
      <w:r>
        <w:rPr>
          <w:rFonts w:hint="eastAsia" w:ascii="仿宋_GB2312" w:hAnsi="ˎ̥" w:eastAsia="仿宋_GB2312"/>
          <w:sz w:val="32"/>
          <w:szCs w:val="32"/>
          <w:lang w:val="en-US"/>
        </w:rPr>
        <w:t>万元，主要是</w:t>
      </w:r>
      <w:r>
        <w:rPr>
          <w:rFonts w:hint="default" w:ascii="仿宋_GB2312" w:hAnsi="ˎ̥" w:eastAsia="仿宋_GB2312"/>
          <w:sz w:val="32"/>
          <w:szCs w:val="32"/>
          <w:lang w:val="en-US"/>
        </w:rPr>
        <w:t>无财政拨款资金来源</w:t>
      </w:r>
      <w:r>
        <w:rPr>
          <w:rFonts w:hint="eastAsia" w:ascii="仿宋_GB2312" w:hAnsi="ˎ̥" w:eastAsia="仿宋_GB2312"/>
          <w:sz w:val="32"/>
          <w:szCs w:val="32"/>
          <w:lang w:val="en-US"/>
        </w:rPr>
        <w:t>，较</w:t>
      </w:r>
      <w:r>
        <w:rPr>
          <w:rFonts w:hint="default" w:ascii="仿宋_GB2312" w:hAnsi="ˎ̥" w:eastAsia="仿宋_GB2312"/>
          <w:sz w:val="32"/>
          <w:szCs w:val="32"/>
          <w:lang w:val="en-US"/>
        </w:rPr>
        <w:t>2023</w:t>
      </w:r>
      <w:r>
        <w:rPr>
          <w:rFonts w:hint="eastAsia" w:ascii="仿宋_GB2312" w:hAnsi="ˎ̥" w:eastAsia="仿宋_GB2312"/>
          <w:sz w:val="32"/>
          <w:szCs w:val="32"/>
          <w:lang w:val="en-US"/>
        </w:rPr>
        <w:t>年度决算数增加（减少）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%，主要原因是</w:t>
      </w:r>
      <w:r>
        <w:rPr>
          <w:rFonts w:hint="default" w:ascii="仿宋_GB2312" w:hAnsi="ˎ̥" w:eastAsia="仿宋_GB2312"/>
          <w:sz w:val="32"/>
          <w:szCs w:val="32"/>
          <w:lang w:val="en-US"/>
        </w:rPr>
        <w:t>无财政拨款资金来源</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rPr>
      </w:pPr>
      <w:r>
        <w:rPr>
          <w:rFonts w:hint="eastAsia" w:ascii="仿宋_GB2312" w:hAnsi="ˎ̥" w:eastAsia="仿宋_GB2312"/>
          <w:sz w:val="32"/>
          <w:szCs w:val="32"/>
          <w:lang w:val="en-US"/>
        </w:rPr>
        <w:t>财政拨款年末结转结余</w:t>
      </w:r>
      <w:r>
        <w:rPr>
          <w:rFonts w:hint="default" w:ascii="仿宋_GB2312" w:hAnsi="ˎ̥" w:eastAsia="仿宋_GB2312"/>
          <w:sz w:val="32"/>
          <w:szCs w:val="32"/>
          <w:lang w:val="en-US"/>
        </w:rPr>
        <w:t>0.00</w:t>
      </w:r>
      <w:r>
        <w:rPr>
          <w:rFonts w:hint="eastAsia" w:ascii="仿宋_GB2312" w:hAnsi="ˎ̥" w:eastAsia="仿宋_GB2312"/>
          <w:sz w:val="32"/>
          <w:szCs w:val="32"/>
          <w:lang w:val="en-US"/>
        </w:rPr>
        <w:t>万元，主要是</w:t>
      </w:r>
      <w:r>
        <w:rPr>
          <w:rFonts w:hint="default" w:ascii="仿宋_GB2312" w:hAnsi="ˎ̥" w:eastAsia="仿宋_GB2312"/>
          <w:sz w:val="32"/>
          <w:szCs w:val="32"/>
          <w:lang w:val="en-US"/>
        </w:rPr>
        <w:t>无财政拨款资金来源</w:t>
      </w:r>
      <w:r>
        <w:rPr>
          <w:rFonts w:hint="eastAsia" w:ascii="仿宋_GB2312" w:hAnsi="ˎ̥" w:eastAsia="仿宋_GB2312"/>
          <w:sz w:val="32"/>
          <w:szCs w:val="32"/>
          <w:lang w:val="en-US"/>
        </w:rPr>
        <w:t>，较</w:t>
      </w:r>
      <w:r>
        <w:rPr>
          <w:rFonts w:hint="default" w:ascii="仿宋_GB2312" w:hAnsi="ˎ̥" w:eastAsia="仿宋_GB2312"/>
          <w:sz w:val="32"/>
          <w:szCs w:val="32"/>
          <w:lang w:val="en-US"/>
        </w:rPr>
        <w:t>2023</w:t>
      </w:r>
      <w:r>
        <w:rPr>
          <w:rFonts w:hint="eastAsia" w:ascii="仿宋_GB2312" w:hAnsi="ˎ̥" w:eastAsia="仿宋_GB2312"/>
          <w:sz w:val="32"/>
          <w:szCs w:val="32"/>
          <w:lang w:val="en-US"/>
        </w:rPr>
        <w:t>年度决算数增加（减少）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%，主要原因是</w:t>
      </w:r>
      <w:r>
        <w:rPr>
          <w:rFonts w:hint="default" w:ascii="仿宋_GB2312" w:hAnsi="ˎ̥" w:eastAsia="仿宋_GB2312"/>
          <w:sz w:val="32"/>
          <w:szCs w:val="32"/>
          <w:lang w:val="en-US"/>
        </w:rPr>
        <w:t>无财政拨款资金来源</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9" w:name="_Toc17398_WPSOffice_Level2"/>
      <w:bookmarkStart w:id="80" w:name="_Toc21737_WPSOffice_Level2"/>
      <w:bookmarkStart w:id="81" w:name="_Toc19665_WPSOffice_Level2"/>
      <w:bookmarkStart w:id="82" w:name="_Toc13694_WPSOffice_Level2"/>
      <w:bookmarkStart w:id="83" w:name="_Toc23005_WPSOffice_Level2"/>
      <w:bookmarkStart w:id="84" w:name="_Toc9989_WPSOffice_Level2"/>
      <w:r>
        <w:rPr>
          <w:rFonts w:hint="eastAsia" w:ascii="楷体" w:hAnsi="楷体" w:eastAsia="楷体" w:cs="楷体"/>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rPr>
      </w:pPr>
      <w:r>
        <w:rPr>
          <w:rFonts w:hint="default" w:ascii="仿宋_GB2312" w:hAnsi="ˎ̥" w:eastAsia="仿宋_GB2312"/>
          <w:sz w:val="32"/>
          <w:szCs w:val="32"/>
          <w:lang w:val="en-US"/>
        </w:rPr>
        <w:t>2024</w:t>
      </w:r>
      <w:r>
        <w:rPr>
          <w:rFonts w:hint="eastAsia" w:ascii="仿宋_GB2312" w:hAnsi="ˎ̥" w:eastAsia="仿宋_GB2312"/>
          <w:sz w:val="32"/>
          <w:szCs w:val="32"/>
          <w:lang w:val="en-US"/>
        </w:rPr>
        <w:t>年度一般公共预算财政拨款支出</w:t>
      </w:r>
      <w:r>
        <w:rPr>
          <w:rFonts w:hint="default" w:ascii="仿宋_GB2312" w:hAnsi="ˎ̥" w:eastAsia="仿宋_GB2312"/>
          <w:sz w:val="32"/>
          <w:szCs w:val="32"/>
          <w:lang w:val="en-US"/>
        </w:rPr>
        <w:t>237.96</w:t>
      </w:r>
      <w:r>
        <w:rPr>
          <w:rFonts w:hint="eastAsia" w:ascii="仿宋_GB2312" w:hAnsi="ˎ̥" w:eastAsia="仿宋_GB2312"/>
          <w:sz w:val="32"/>
          <w:szCs w:val="32"/>
          <w:lang w:val="en-US"/>
        </w:rPr>
        <w:t>万元，占本年支出合计的</w:t>
      </w:r>
      <w:r>
        <w:rPr>
          <w:rFonts w:hint="eastAsia" w:ascii="仿宋_GB2312" w:hAnsi="ˎ̥" w:eastAsia="仿宋_GB2312"/>
          <w:sz w:val="32"/>
          <w:szCs w:val="32"/>
          <w:lang w:val="en-US" w:eastAsia="zh-CN"/>
        </w:rPr>
        <w:t>100</w:t>
      </w:r>
      <w:r>
        <w:rPr>
          <w:rFonts w:hint="eastAsia" w:ascii="仿宋_GB2312" w:hAnsi="ˎ̥" w:eastAsia="仿宋_GB2312"/>
          <w:sz w:val="32"/>
          <w:szCs w:val="32"/>
          <w:lang w:val="en-US"/>
        </w:rPr>
        <w:t>%。与</w:t>
      </w:r>
      <w:r>
        <w:rPr>
          <w:rFonts w:hint="default" w:ascii="仿宋_GB2312" w:hAnsi="ˎ̥" w:eastAsia="仿宋_GB2312"/>
          <w:sz w:val="32"/>
          <w:szCs w:val="32"/>
          <w:lang w:val="en-US"/>
        </w:rPr>
        <w:t>2023</w:t>
      </w:r>
      <w:r>
        <w:rPr>
          <w:rFonts w:hint="eastAsia" w:ascii="仿宋_GB2312" w:hAnsi="ˎ̥" w:eastAsia="仿宋_GB2312"/>
          <w:sz w:val="32"/>
          <w:szCs w:val="32"/>
          <w:lang w:val="en-US"/>
        </w:rPr>
        <w:t>年度相比，一般公共预算财政拨款支出减少</w:t>
      </w:r>
      <w:r>
        <w:rPr>
          <w:rFonts w:hint="eastAsia" w:ascii="仿宋_GB2312" w:hAnsi="ˎ̥" w:eastAsia="仿宋_GB2312"/>
          <w:sz w:val="32"/>
          <w:szCs w:val="32"/>
          <w:lang w:val="en-US" w:eastAsia="zh-CN"/>
        </w:rPr>
        <w:t>68.32</w:t>
      </w:r>
      <w:r>
        <w:rPr>
          <w:rFonts w:hint="eastAsia" w:ascii="仿宋_GB2312" w:hAnsi="ˎ̥" w:eastAsia="仿宋_GB2312"/>
          <w:sz w:val="32"/>
          <w:szCs w:val="32"/>
          <w:lang w:val="en-US"/>
        </w:rPr>
        <w:t>万元，下降</w:t>
      </w:r>
      <w:r>
        <w:rPr>
          <w:rFonts w:hint="eastAsia" w:ascii="仿宋_GB2312" w:hAnsi="ˎ̥" w:eastAsia="仿宋_GB2312"/>
          <w:sz w:val="32"/>
          <w:szCs w:val="32"/>
          <w:lang w:val="en-US" w:eastAsia="zh-CN"/>
        </w:rPr>
        <w:t>22</w:t>
      </w:r>
      <w:r>
        <w:rPr>
          <w:rFonts w:hint="eastAsia" w:ascii="仿宋_GB2312" w:hAnsi="ˎ̥" w:eastAsia="仿宋_GB2312"/>
          <w:sz w:val="32"/>
          <w:szCs w:val="32"/>
          <w:lang w:val="en-US"/>
        </w:rPr>
        <w:t>%，主要原因是一是教育支出</w:t>
      </w:r>
      <w:r>
        <w:rPr>
          <w:rFonts w:hint="eastAsia" w:ascii="仿宋_GB2312" w:hAnsi="ˎ̥" w:eastAsia="仿宋_GB2312"/>
          <w:sz w:val="32"/>
          <w:szCs w:val="32"/>
          <w:lang w:val="en-US" w:eastAsia="zh-CN"/>
        </w:rPr>
        <w:t>减少63.15元</w:t>
      </w:r>
      <w:r>
        <w:rPr>
          <w:rFonts w:hint="eastAsia" w:ascii="仿宋_GB2312" w:hAnsi="ˎ̥" w:eastAsia="仿宋_GB2312"/>
          <w:sz w:val="32"/>
          <w:szCs w:val="32"/>
          <w:lang w:val="en-US"/>
        </w:rPr>
        <w:t>；二是社会保障和就业支出</w:t>
      </w:r>
      <w:r>
        <w:rPr>
          <w:rFonts w:hint="eastAsia" w:ascii="仿宋_GB2312" w:hAnsi="ˎ̥" w:eastAsia="仿宋_GB2312"/>
          <w:sz w:val="32"/>
          <w:szCs w:val="32"/>
          <w:lang w:val="en-US" w:eastAsia="zh-CN"/>
        </w:rPr>
        <w:t>减少2.19元；三是卫生健康支出减少1.92元；四是住房保障支出减少1.06元。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5" w:name="_Toc19075_WPSOffice_Level2"/>
      <w:bookmarkStart w:id="86" w:name="_Toc23864_WPSOffice_Level2"/>
      <w:bookmarkStart w:id="87" w:name="_Toc19535_WPSOffice_Level2"/>
      <w:bookmarkStart w:id="88" w:name="_Toc27767_WPSOffice_Level2"/>
      <w:bookmarkStart w:id="89" w:name="_Toc2711_WPSOffice_Level2"/>
      <w:bookmarkStart w:id="90" w:name="_Toc18793_WPSOffice_Level2"/>
      <w:r>
        <w:rPr>
          <w:rFonts w:hint="eastAsia" w:ascii="楷体" w:hAnsi="楷体" w:eastAsia="楷体" w:cs="楷体"/>
          <w:sz w:val="32"/>
          <w:szCs w:val="32"/>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w:t>
      </w:r>
      <w:r>
        <w:rPr>
          <w:rFonts w:hint="eastAsia" w:ascii="仿宋_GB2312" w:hAnsi="ˎ̥" w:eastAsia="仿宋_GB2312"/>
          <w:sz w:val="32"/>
          <w:szCs w:val="32"/>
          <w:lang w:val="en-US"/>
        </w:rPr>
        <w:t>支出</w:t>
      </w:r>
      <w:r>
        <w:rPr>
          <w:rFonts w:hint="default" w:ascii="仿宋_GB2312" w:hAnsi="ˎ̥" w:eastAsia="仿宋_GB2312"/>
          <w:sz w:val="32"/>
          <w:szCs w:val="32"/>
          <w:lang w:val="en-US"/>
        </w:rPr>
        <w:t>237.96</w:t>
      </w:r>
      <w:r>
        <w:rPr>
          <w:rFonts w:hint="eastAsia" w:ascii="仿宋_GB2312" w:hAnsi="ˎ̥" w:eastAsia="仿宋_GB2312"/>
          <w:sz w:val="32"/>
          <w:szCs w:val="32"/>
          <w:lang w:val="en-US"/>
        </w:rPr>
        <w:t>万</w:t>
      </w:r>
      <w:r>
        <w:rPr>
          <w:rFonts w:hint="eastAsia" w:ascii="仿宋_GB2312" w:hAnsi="ˎ̥" w:eastAsia="仿宋_GB2312"/>
          <w:sz w:val="32"/>
          <w:szCs w:val="32"/>
        </w:rPr>
        <w:t>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sz w:val="32"/>
          <w:szCs w:val="32"/>
          <w:lang w:val="en-US" w:eastAsia="zh-CN"/>
        </w:rPr>
        <w:t>191.23</w:t>
      </w:r>
      <w:r>
        <w:rPr>
          <w:rFonts w:hint="eastAsia" w:ascii="仿宋_GB2312" w:hAnsi="ˎ̥" w:eastAsia="仿宋_GB2312"/>
          <w:sz w:val="32"/>
          <w:szCs w:val="32"/>
        </w:rPr>
        <w:t>万元，占</w:t>
      </w:r>
      <w:r>
        <w:rPr>
          <w:rFonts w:hint="eastAsia" w:ascii="仿宋_GB2312" w:hAnsi="ˎ̥" w:eastAsia="仿宋_GB2312"/>
          <w:sz w:val="32"/>
          <w:szCs w:val="32"/>
          <w:lang w:val="en-US" w:eastAsia="zh-CN"/>
        </w:rPr>
        <w:t>80.36</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w:t>
      </w:r>
      <w:r>
        <w:rPr>
          <w:rFonts w:hint="eastAsia" w:ascii="仿宋_GB2312" w:hAnsi="ˎ̥" w:eastAsia="仿宋_GB2312"/>
          <w:sz w:val="32"/>
          <w:szCs w:val="32"/>
          <w:lang w:val="en-US" w:eastAsia="zh-CN"/>
        </w:rPr>
        <w:t>出</w:t>
      </w:r>
      <w:r>
        <w:rPr>
          <w:rFonts w:hint="default" w:ascii="仿宋_GB2312" w:hAnsi="ˎ̥" w:eastAsia="仿宋_GB2312"/>
          <w:sz w:val="32"/>
          <w:szCs w:val="32"/>
          <w:lang w:val="en-US" w:eastAsia="zh-CN"/>
        </w:rPr>
        <w:t>19.98</w:t>
      </w:r>
      <w:r>
        <w:rPr>
          <w:rFonts w:hint="eastAsia" w:ascii="仿宋_GB2312" w:hAnsi="ˎ̥" w:eastAsia="仿宋_GB2312"/>
          <w:sz w:val="32"/>
          <w:szCs w:val="32"/>
          <w:lang w:val="en-US" w:eastAsia="zh-CN"/>
        </w:rPr>
        <w:t>万元，占8.4%</w:t>
      </w:r>
      <w:r>
        <w:rPr>
          <w:rFonts w:hint="eastAsia" w:ascii="仿宋_GB2312" w:hAnsi="ˎ̥" w:eastAsia="仿宋_GB2312"/>
          <w:sz w:val="32"/>
          <w:szCs w:val="32"/>
        </w:rPr>
        <w:t>；</w:t>
      </w:r>
      <w:r>
        <w:rPr>
          <w:rFonts w:hint="eastAsia" w:ascii="仿宋_GB2312" w:hAnsi="ˎ̥" w:eastAsia="仿宋_GB2312"/>
          <w:b/>
          <w:bCs/>
          <w:color w:val="auto"/>
          <w:sz w:val="32"/>
          <w:szCs w:val="32"/>
          <w:lang w:eastAsia="zh-CN"/>
        </w:rPr>
        <w:t>卫生健康（类）</w:t>
      </w:r>
      <w:r>
        <w:rPr>
          <w:rFonts w:hint="eastAsia" w:ascii="仿宋_GB2312" w:hAnsi="ˎ̥" w:eastAsia="仿宋_GB2312"/>
          <w:color w:val="auto"/>
          <w:sz w:val="32"/>
          <w:szCs w:val="32"/>
          <w:lang w:eastAsia="zh-CN"/>
        </w:rPr>
        <w:t>支</w:t>
      </w:r>
      <w:r>
        <w:rPr>
          <w:rFonts w:hint="eastAsia" w:ascii="仿宋_GB2312" w:hAnsi="ˎ̥" w:eastAsia="仿宋_GB2312"/>
          <w:sz w:val="32"/>
          <w:szCs w:val="32"/>
          <w:lang w:val="en-US" w:eastAsia="zh-CN"/>
        </w:rPr>
        <w:t>出15.38万元，占6.46%</w:t>
      </w:r>
      <w:r>
        <w:rPr>
          <w:rFonts w:hint="eastAsia" w:ascii="仿宋_GB2312" w:hAnsi="ˎ̥" w:eastAsia="仿宋_GB2312"/>
          <w:color w:val="auto"/>
          <w:sz w:val="32"/>
          <w:szCs w:val="32"/>
          <w:lang w:val="en-US" w:eastAsia="zh-CN"/>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sz w:val="32"/>
          <w:szCs w:val="32"/>
          <w:lang w:val="en-US" w:eastAsia="zh-CN"/>
        </w:rPr>
        <w:t>11.37万元，占4.78%。</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1" w:name="_Toc25136_WPSOffice_Level2"/>
      <w:bookmarkStart w:id="92" w:name="_Toc21701_WPSOffice_Level2"/>
      <w:bookmarkStart w:id="93" w:name="_Toc22318_WPSOffice_Level2"/>
      <w:bookmarkStart w:id="94" w:name="_Toc15415_WPSOffice_Level2"/>
      <w:bookmarkStart w:id="95" w:name="_Toc29364_WPSOffice_Level2"/>
      <w:bookmarkStart w:id="96" w:name="_Toc9502_WPSOffice_Level2"/>
      <w:r>
        <w:rPr>
          <w:rFonts w:hint="eastAsia" w:ascii="楷体" w:hAnsi="楷体" w:eastAsia="楷体" w:cs="楷体"/>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sz w:val="32"/>
          <w:szCs w:val="32"/>
          <w:lang w:val="en-US" w:eastAsia="zh-CN"/>
        </w:rPr>
        <w:t>185.09</w:t>
      </w:r>
      <w:r>
        <w:rPr>
          <w:rFonts w:hint="eastAsia" w:ascii="仿宋_GB2312" w:hAnsi="ˎ̥" w:eastAsia="仿宋_GB2312"/>
          <w:sz w:val="32"/>
          <w:szCs w:val="32"/>
        </w:rPr>
        <w:t>万元，支出决算为</w:t>
      </w:r>
      <w:r>
        <w:rPr>
          <w:rFonts w:hint="default" w:ascii="仿宋_GB2312" w:hAnsi="ˎ̥" w:eastAsia="仿宋_GB2312"/>
          <w:sz w:val="32"/>
          <w:szCs w:val="32"/>
          <w:lang w:val="en-US"/>
        </w:rPr>
        <w:t>237.96</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%。其中：</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b/>
          <w:color w:val="auto"/>
          <w:kern w:val="0"/>
          <w:sz w:val="32"/>
          <w:szCs w:val="32"/>
          <w:shd w:val="clear" w:color="auto" w:fill="FFFFFF"/>
        </w:rPr>
      </w:pPr>
      <w:r>
        <w:rPr>
          <w:rFonts w:hint="default" w:ascii="仿宋_GB2312" w:hAnsi="ˎ̥" w:eastAsia="仿宋_GB2312" w:cs="仿宋_GB2312"/>
          <w:color w:val="auto"/>
          <w:kern w:val="0"/>
          <w:sz w:val="32"/>
          <w:szCs w:val="32"/>
          <w:shd w:val="clear" w:color="auto" w:fill="FFFFFF"/>
        </w:rPr>
        <w:t>1.</w:t>
      </w:r>
      <w:r>
        <w:rPr>
          <w:rFonts w:hint="default" w:ascii="仿宋_GB2312" w:hAnsi="ˎ̥" w:eastAsia="仿宋_GB2312" w:cs="仿宋_GB2312"/>
          <w:b/>
          <w:color w:val="auto"/>
          <w:kern w:val="0"/>
          <w:sz w:val="32"/>
          <w:szCs w:val="32"/>
          <w:shd w:val="clear" w:color="auto" w:fill="FFFFFF"/>
        </w:rPr>
        <w:t>教育支出（类）普通教育（款）学前教育（项）。</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kern w:val="0"/>
          <w:sz w:val="32"/>
          <w:szCs w:val="32"/>
          <w:shd w:val="clear" w:color="auto" w:fill="FFFFFF"/>
        </w:rPr>
      </w:pPr>
      <w:r>
        <w:rPr>
          <w:rFonts w:hint="default" w:ascii="仿宋_GB2312" w:hAnsi="ˎ̥" w:eastAsia="仿宋_GB2312" w:cs="仿宋_GB2312"/>
          <w:kern w:val="0"/>
          <w:sz w:val="32"/>
          <w:szCs w:val="32"/>
          <w:shd w:val="clear" w:color="auto" w:fill="FFFFFF"/>
        </w:rPr>
        <w:t>年初预算为</w:t>
      </w:r>
      <w:r>
        <w:rPr>
          <w:rFonts w:hint="eastAsia" w:ascii="仿宋_GB2312" w:hAnsi="ˎ̥" w:eastAsia="仿宋_GB2312" w:cs="仿宋_GB2312"/>
          <w:kern w:val="0"/>
          <w:sz w:val="32"/>
          <w:szCs w:val="32"/>
          <w:shd w:val="clear" w:color="auto" w:fill="FFFFFF"/>
          <w:lang w:val="en-US" w:eastAsia="zh-CN"/>
        </w:rPr>
        <w:t>128.45</w:t>
      </w:r>
      <w:r>
        <w:rPr>
          <w:rFonts w:hint="default" w:ascii="仿宋_GB2312" w:hAnsi="ˎ̥" w:eastAsia="仿宋_GB2312" w:cs="仿宋_GB2312"/>
          <w:kern w:val="0"/>
          <w:sz w:val="32"/>
          <w:szCs w:val="32"/>
          <w:shd w:val="clear" w:color="auto" w:fill="FFFFFF"/>
        </w:rPr>
        <w:t>万元，支出决算为</w:t>
      </w:r>
      <w:r>
        <w:rPr>
          <w:rFonts w:hint="eastAsia" w:ascii="仿宋_GB2312" w:hAnsi="ˎ̥" w:eastAsia="仿宋_GB2312" w:cs="仿宋_GB2312"/>
          <w:kern w:val="0"/>
          <w:sz w:val="32"/>
          <w:szCs w:val="32"/>
          <w:shd w:val="clear" w:color="auto" w:fill="FFFFFF"/>
          <w:lang w:val="en-US" w:eastAsia="zh-CN"/>
        </w:rPr>
        <w:t>191.23</w:t>
      </w:r>
      <w:r>
        <w:rPr>
          <w:rFonts w:hint="default" w:ascii="仿宋_GB2312" w:hAnsi="ˎ̥" w:eastAsia="仿宋_GB2312" w:cs="仿宋_GB2312"/>
          <w:kern w:val="0"/>
          <w:sz w:val="32"/>
          <w:szCs w:val="32"/>
          <w:shd w:val="clear" w:color="auto" w:fill="FFFFFF"/>
        </w:rPr>
        <w:t>万元，完成年初预算的</w:t>
      </w:r>
      <w:r>
        <w:rPr>
          <w:rFonts w:hint="eastAsia" w:ascii="仿宋_GB2312" w:hAnsi="ˎ̥" w:eastAsia="仿宋_GB2312" w:cs="仿宋_GB2312"/>
          <w:kern w:val="0"/>
          <w:sz w:val="32"/>
          <w:szCs w:val="32"/>
          <w:shd w:val="clear" w:color="auto" w:fill="FFFFFF"/>
          <w:lang w:val="en-US" w:eastAsia="zh-CN"/>
        </w:rPr>
        <w:t>148.88</w:t>
      </w:r>
      <w:r>
        <w:rPr>
          <w:rFonts w:hint="default" w:ascii="仿宋_GB2312" w:hAnsi="ˎ̥" w:eastAsia="仿宋_GB2312" w:cs="仿宋_GB2312"/>
          <w:kern w:val="0"/>
          <w:sz w:val="32"/>
          <w:szCs w:val="32"/>
          <w:shd w:val="clear" w:color="auto" w:fill="FFFFFF"/>
        </w:rPr>
        <w:t>%。决算数大于预算数的主要原因：</w:t>
      </w:r>
      <w:r>
        <w:rPr>
          <w:rFonts w:hint="eastAsia" w:ascii="仿宋_GB2312" w:hAnsi="ˎ̥" w:eastAsia="仿宋_GB2312" w:cs="仿宋_GB2312"/>
          <w:kern w:val="0"/>
          <w:sz w:val="32"/>
          <w:szCs w:val="32"/>
          <w:shd w:val="clear" w:color="auto" w:fill="FFFFFF"/>
          <w:lang w:eastAsia="zh-CN"/>
        </w:rPr>
        <w:t>基本支出增加</w:t>
      </w:r>
      <w:r>
        <w:rPr>
          <w:rFonts w:hint="default" w:ascii="仿宋_GB2312" w:hAnsi="ˎ̥" w:eastAsia="仿宋_GB2312" w:cs="仿宋_GB2312"/>
          <w:kern w:val="0"/>
          <w:sz w:val="32"/>
          <w:szCs w:val="32"/>
          <w:shd w:val="clear" w:color="auto" w:fill="FFFFFF"/>
        </w:rPr>
        <w:t>。</w:t>
      </w:r>
    </w:p>
    <w:p>
      <w:pPr>
        <w:keepNext w:val="0"/>
        <w:keepLines w:val="0"/>
        <w:widowControl/>
        <w:suppressLineNumbers w:val="0"/>
        <w:spacing w:before="0" w:beforeAutospacing="0" w:after="100" w:afterAutospacing="1"/>
        <w:ind w:right="0"/>
        <w:jc w:val="left"/>
        <w:rPr>
          <w:rFonts w:hint="default" w:ascii="仿宋_GB2312" w:hAnsi="ˎ̥" w:eastAsia="仿宋_GB2312" w:cs="仿宋_GB2312"/>
          <w:b/>
          <w:kern w:val="0"/>
          <w:sz w:val="32"/>
          <w:szCs w:val="32"/>
          <w:shd w:val="clear" w:color="auto" w:fill="FFFFFF"/>
        </w:rPr>
      </w:pPr>
      <w:r>
        <w:rPr>
          <w:rFonts w:hint="default" w:ascii="仿宋_GB2312" w:hAnsi="ˎ̥" w:eastAsia="仿宋_GB2312" w:cs="仿宋_GB2312"/>
          <w:kern w:val="0"/>
          <w:sz w:val="32"/>
          <w:szCs w:val="32"/>
          <w:shd w:val="clear" w:color="auto" w:fill="FFFFFF"/>
        </w:rPr>
        <w:t xml:space="preserve">     </w:t>
      </w:r>
      <w:r>
        <w:rPr>
          <w:rFonts w:hint="default" w:ascii="仿宋_GB2312" w:hAnsi="ˎ̥" w:eastAsia="仿宋_GB2312" w:cs="仿宋_GB2312"/>
          <w:b/>
          <w:kern w:val="0"/>
          <w:sz w:val="32"/>
          <w:szCs w:val="32"/>
          <w:shd w:val="clear" w:color="auto" w:fill="FFFFFF"/>
        </w:rPr>
        <w:t>2.社会保障和就业支出（类）行政事业单位养老支出（款）机关事业单位基本养老保险费支出（项）</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kern w:val="0"/>
          <w:sz w:val="32"/>
          <w:szCs w:val="32"/>
          <w:shd w:val="clear" w:color="auto" w:fill="FFFFFF"/>
        </w:rPr>
      </w:pPr>
      <w:r>
        <w:rPr>
          <w:rFonts w:hint="default" w:ascii="仿宋_GB2312" w:hAnsi="ˎ̥" w:eastAsia="仿宋_GB2312" w:cs="仿宋_GB2312"/>
          <w:kern w:val="0"/>
          <w:sz w:val="32"/>
          <w:szCs w:val="32"/>
          <w:shd w:val="clear" w:color="auto" w:fill="FFFFFF"/>
        </w:rPr>
        <w:t>年初预算为</w:t>
      </w:r>
      <w:r>
        <w:rPr>
          <w:rFonts w:hint="eastAsia" w:ascii="仿宋_GB2312" w:hAnsi="ˎ̥" w:eastAsia="仿宋_GB2312" w:cs="仿宋_GB2312"/>
          <w:kern w:val="0"/>
          <w:sz w:val="32"/>
          <w:szCs w:val="32"/>
          <w:shd w:val="clear" w:color="auto" w:fill="FFFFFF"/>
          <w:lang w:val="en-US" w:eastAsia="zh-CN"/>
        </w:rPr>
        <w:t>15.72</w:t>
      </w:r>
      <w:r>
        <w:rPr>
          <w:rFonts w:hint="default" w:ascii="仿宋_GB2312" w:hAnsi="ˎ̥" w:eastAsia="仿宋_GB2312" w:cs="仿宋_GB2312"/>
          <w:kern w:val="0"/>
          <w:sz w:val="32"/>
          <w:szCs w:val="32"/>
          <w:shd w:val="clear" w:color="auto" w:fill="FFFFFF"/>
        </w:rPr>
        <w:t>万元，支出决算为</w:t>
      </w:r>
      <w:r>
        <w:rPr>
          <w:rFonts w:hint="eastAsia" w:ascii="仿宋_GB2312" w:hAnsi="ˎ̥" w:eastAsia="仿宋_GB2312" w:cs="仿宋_GB2312"/>
          <w:kern w:val="0"/>
          <w:sz w:val="32"/>
          <w:szCs w:val="32"/>
          <w:shd w:val="clear" w:color="auto" w:fill="FFFFFF"/>
          <w:lang w:val="en-US" w:eastAsia="zh-CN"/>
        </w:rPr>
        <w:t>13.32</w:t>
      </w:r>
      <w:r>
        <w:rPr>
          <w:rFonts w:hint="default" w:ascii="仿宋_GB2312" w:hAnsi="ˎ̥" w:eastAsia="仿宋_GB2312" w:cs="仿宋_GB2312"/>
          <w:kern w:val="0"/>
          <w:sz w:val="32"/>
          <w:szCs w:val="32"/>
          <w:shd w:val="clear" w:color="auto" w:fill="FFFFFF"/>
        </w:rPr>
        <w:t>万元，完成年初预算的</w:t>
      </w:r>
      <w:r>
        <w:rPr>
          <w:rFonts w:hint="eastAsia" w:ascii="仿宋_GB2312" w:hAnsi="ˎ̥" w:eastAsia="仿宋_GB2312" w:cs="仿宋_GB2312"/>
          <w:kern w:val="0"/>
          <w:sz w:val="32"/>
          <w:szCs w:val="32"/>
          <w:shd w:val="clear" w:color="auto" w:fill="FFFFFF"/>
          <w:lang w:val="en-US" w:eastAsia="zh-CN"/>
        </w:rPr>
        <w:t>84.73</w:t>
      </w:r>
      <w:r>
        <w:rPr>
          <w:rFonts w:hint="default" w:ascii="仿宋_GB2312" w:hAnsi="ˎ̥" w:eastAsia="仿宋_GB2312" w:cs="仿宋_GB2312"/>
          <w:kern w:val="0"/>
          <w:sz w:val="32"/>
          <w:szCs w:val="32"/>
          <w:shd w:val="clear" w:color="auto" w:fill="FFFFFF"/>
        </w:rPr>
        <w:t>%。决算数大于预算数的主要原因：</w:t>
      </w:r>
      <w:r>
        <w:rPr>
          <w:rFonts w:hint="eastAsia" w:ascii="仿宋_GB2312" w:hAnsi="ˎ̥" w:eastAsia="仿宋_GB2312" w:cs="仿宋_GB2312"/>
          <w:kern w:val="0"/>
          <w:sz w:val="32"/>
          <w:szCs w:val="32"/>
          <w:shd w:val="clear" w:color="auto" w:fill="FFFFFF"/>
          <w:lang w:eastAsia="zh-CN"/>
        </w:rPr>
        <w:t>人员</w:t>
      </w:r>
      <w:r>
        <w:rPr>
          <w:rFonts w:hint="eastAsia" w:ascii="仿宋_GB2312" w:hAnsi="ˎ̥" w:eastAsia="仿宋_GB2312" w:cs="仿宋_GB2312"/>
          <w:kern w:val="0"/>
          <w:sz w:val="32"/>
          <w:szCs w:val="32"/>
          <w:shd w:val="clear" w:color="auto" w:fill="FFFFFF"/>
          <w:lang w:val="en-US" w:eastAsia="zh-CN"/>
        </w:rPr>
        <w:t>减少</w:t>
      </w:r>
      <w:r>
        <w:rPr>
          <w:rFonts w:hint="default" w:ascii="仿宋_GB2312" w:hAnsi="ˎ̥" w:eastAsia="仿宋_GB2312" w:cs="仿宋_GB2312"/>
          <w:kern w:val="0"/>
          <w:sz w:val="32"/>
          <w:szCs w:val="32"/>
          <w:shd w:val="clear" w:color="auto" w:fill="FFFFFF"/>
        </w:rPr>
        <w:t>。</w:t>
      </w:r>
    </w:p>
    <w:p>
      <w:pPr>
        <w:keepNext w:val="0"/>
        <w:keepLines w:val="0"/>
        <w:widowControl/>
        <w:numPr>
          <w:ilvl w:val="0"/>
          <w:numId w:val="3"/>
        </w:numPr>
        <w:suppressLineNumbers w:val="0"/>
        <w:spacing w:before="0" w:beforeAutospacing="0" w:after="100" w:afterAutospacing="1"/>
        <w:ind w:left="0" w:right="0" w:firstLine="643" w:firstLineChars="200"/>
        <w:jc w:val="left"/>
        <w:rPr>
          <w:rFonts w:hint="default" w:ascii="仿宋_GB2312" w:hAnsi="ˎ̥" w:eastAsia="仿宋_GB2312" w:cs="仿宋_GB2312"/>
          <w:b/>
          <w:kern w:val="0"/>
          <w:sz w:val="32"/>
          <w:szCs w:val="32"/>
          <w:shd w:val="clear" w:color="auto" w:fill="FFFFFF"/>
        </w:rPr>
      </w:pPr>
      <w:r>
        <w:rPr>
          <w:rFonts w:hint="default" w:ascii="仿宋_GB2312" w:hAnsi="ˎ̥" w:eastAsia="仿宋_GB2312" w:cs="仿宋_GB2312"/>
          <w:b/>
          <w:kern w:val="0"/>
          <w:sz w:val="32"/>
          <w:szCs w:val="32"/>
          <w:shd w:val="clear" w:color="auto" w:fill="FFFFFF"/>
        </w:rPr>
        <w:t>社会保障和就业支出（类）行政事业单位养老支出（款）机关事业单位职业年金缴费支出（项）</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kern w:val="0"/>
          <w:sz w:val="32"/>
          <w:szCs w:val="32"/>
          <w:shd w:val="clear" w:color="auto" w:fill="FFFFFF"/>
        </w:rPr>
      </w:pPr>
      <w:r>
        <w:rPr>
          <w:rFonts w:hint="default" w:ascii="仿宋_GB2312" w:hAnsi="ˎ̥" w:eastAsia="仿宋_GB2312" w:cs="仿宋_GB2312"/>
          <w:kern w:val="0"/>
          <w:sz w:val="32"/>
          <w:szCs w:val="32"/>
          <w:shd w:val="clear" w:color="auto" w:fill="FFFFFF"/>
        </w:rPr>
        <w:t>年初预算为</w:t>
      </w:r>
      <w:r>
        <w:rPr>
          <w:rFonts w:hint="eastAsia" w:ascii="仿宋_GB2312" w:hAnsi="ˎ̥" w:eastAsia="仿宋_GB2312" w:cs="仿宋_GB2312"/>
          <w:kern w:val="0"/>
          <w:sz w:val="32"/>
          <w:szCs w:val="32"/>
          <w:shd w:val="clear" w:color="auto" w:fill="FFFFFF"/>
          <w:lang w:val="en-US" w:eastAsia="zh-CN"/>
        </w:rPr>
        <w:t>7.86</w:t>
      </w:r>
      <w:r>
        <w:rPr>
          <w:rFonts w:hint="default" w:ascii="仿宋_GB2312" w:hAnsi="ˎ̥" w:eastAsia="仿宋_GB2312" w:cs="仿宋_GB2312"/>
          <w:kern w:val="0"/>
          <w:sz w:val="32"/>
          <w:szCs w:val="32"/>
          <w:shd w:val="clear" w:color="auto" w:fill="FFFFFF"/>
        </w:rPr>
        <w:t>万元，支出决算为</w:t>
      </w:r>
      <w:r>
        <w:rPr>
          <w:rFonts w:hint="eastAsia" w:ascii="仿宋_GB2312" w:hAnsi="ˎ̥" w:eastAsia="仿宋_GB2312" w:cs="仿宋_GB2312"/>
          <w:kern w:val="0"/>
          <w:sz w:val="32"/>
          <w:szCs w:val="32"/>
          <w:shd w:val="clear" w:color="auto" w:fill="FFFFFF"/>
          <w:lang w:val="en-US" w:eastAsia="zh-CN"/>
        </w:rPr>
        <w:t>6.66</w:t>
      </w:r>
      <w:r>
        <w:rPr>
          <w:rFonts w:hint="default" w:ascii="仿宋_GB2312" w:hAnsi="ˎ̥" w:eastAsia="仿宋_GB2312" w:cs="仿宋_GB2312"/>
          <w:kern w:val="0"/>
          <w:sz w:val="32"/>
          <w:szCs w:val="32"/>
          <w:shd w:val="clear" w:color="auto" w:fill="FFFFFF"/>
        </w:rPr>
        <w:t>万元，完成年初预算的</w:t>
      </w:r>
      <w:r>
        <w:rPr>
          <w:rFonts w:hint="eastAsia" w:ascii="仿宋_GB2312" w:hAnsi="ˎ̥" w:eastAsia="仿宋_GB2312" w:cs="仿宋_GB2312"/>
          <w:kern w:val="0"/>
          <w:sz w:val="32"/>
          <w:szCs w:val="32"/>
          <w:shd w:val="clear" w:color="auto" w:fill="FFFFFF"/>
          <w:lang w:val="en-US" w:eastAsia="zh-CN"/>
        </w:rPr>
        <w:t>84.73</w:t>
      </w:r>
      <w:r>
        <w:rPr>
          <w:rFonts w:hint="default" w:ascii="仿宋_GB2312" w:hAnsi="ˎ̥" w:eastAsia="仿宋_GB2312" w:cs="仿宋_GB2312"/>
          <w:kern w:val="0"/>
          <w:sz w:val="32"/>
          <w:szCs w:val="32"/>
          <w:shd w:val="clear" w:color="auto" w:fill="FFFFFF"/>
        </w:rPr>
        <w:t>%。决算数大于预算数的主要原因：</w:t>
      </w:r>
      <w:r>
        <w:rPr>
          <w:rFonts w:hint="eastAsia" w:ascii="仿宋_GB2312" w:hAnsi="ˎ̥" w:eastAsia="仿宋_GB2312" w:cs="仿宋_GB2312"/>
          <w:kern w:val="0"/>
          <w:sz w:val="32"/>
          <w:szCs w:val="32"/>
          <w:shd w:val="clear" w:color="auto" w:fill="FFFFFF"/>
          <w:lang w:eastAsia="zh-CN"/>
        </w:rPr>
        <w:t>人员</w:t>
      </w:r>
      <w:r>
        <w:rPr>
          <w:rFonts w:hint="eastAsia" w:ascii="仿宋_GB2312" w:hAnsi="ˎ̥" w:eastAsia="仿宋_GB2312" w:cs="仿宋_GB2312"/>
          <w:kern w:val="0"/>
          <w:sz w:val="32"/>
          <w:szCs w:val="32"/>
          <w:shd w:val="clear" w:color="auto" w:fill="FFFFFF"/>
          <w:lang w:val="en-US" w:eastAsia="zh-CN"/>
        </w:rPr>
        <w:t>减少</w:t>
      </w:r>
      <w:r>
        <w:rPr>
          <w:rFonts w:hint="default" w:ascii="仿宋_GB2312" w:hAnsi="ˎ̥" w:eastAsia="仿宋_GB2312" w:cs="仿宋_GB2312"/>
          <w:kern w:val="0"/>
          <w:sz w:val="32"/>
          <w:szCs w:val="32"/>
          <w:shd w:val="clear" w:color="auto" w:fill="FFFFFF"/>
        </w:rPr>
        <w:t>。</w:t>
      </w:r>
    </w:p>
    <w:p>
      <w:pPr>
        <w:keepNext w:val="0"/>
        <w:keepLines w:val="0"/>
        <w:widowControl/>
        <w:suppressLineNumbers w:val="0"/>
        <w:spacing w:before="0" w:beforeAutospacing="0" w:after="100" w:afterAutospacing="1"/>
        <w:ind w:right="0"/>
        <w:jc w:val="left"/>
        <w:rPr>
          <w:rFonts w:hint="default" w:ascii="仿宋_GB2312" w:hAnsi="ˎ̥" w:eastAsia="仿宋_GB2312" w:cs="仿宋_GB2312"/>
          <w:kern w:val="0"/>
          <w:sz w:val="32"/>
          <w:szCs w:val="32"/>
          <w:shd w:val="clear" w:color="auto" w:fill="FFFFFF"/>
        </w:rPr>
      </w:pPr>
      <w:r>
        <w:rPr>
          <w:rFonts w:hint="eastAsia" w:ascii="仿宋_GB2312" w:hAnsi="ˎ̥" w:eastAsia="仿宋_GB2312" w:cs="仿宋_GB2312"/>
          <w:kern w:val="0"/>
          <w:sz w:val="32"/>
          <w:szCs w:val="32"/>
          <w:shd w:val="clear" w:color="auto" w:fill="FFFFFF"/>
          <w:lang w:val="en-US" w:eastAsia="zh-CN"/>
        </w:rPr>
        <w:t xml:space="preserve">    4</w:t>
      </w:r>
      <w:r>
        <w:rPr>
          <w:rFonts w:hint="default" w:ascii="仿宋_GB2312" w:hAnsi="ˎ̥" w:eastAsia="仿宋_GB2312" w:cs="仿宋_GB2312"/>
          <w:kern w:val="0"/>
          <w:sz w:val="32"/>
          <w:szCs w:val="32"/>
          <w:shd w:val="clear" w:color="auto" w:fill="FFFFFF"/>
        </w:rPr>
        <w:t>.</w:t>
      </w:r>
      <w:r>
        <w:rPr>
          <w:rFonts w:hint="default" w:ascii="仿宋_GB2312" w:hAnsi="ˎ̥" w:eastAsia="仿宋_GB2312" w:cs="仿宋_GB2312"/>
          <w:b/>
          <w:kern w:val="0"/>
          <w:sz w:val="32"/>
          <w:szCs w:val="32"/>
          <w:shd w:val="clear" w:color="auto" w:fill="FFFFFF"/>
        </w:rPr>
        <w:t>卫生健康支出（类）行政事业单位医疗（款）事业单位医疗（项）</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kern w:val="0"/>
          <w:sz w:val="32"/>
          <w:szCs w:val="32"/>
          <w:shd w:val="clear" w:color="auto" w:fill="FFFFFF"/>
        </w:rPr>
      </w:pPr>
      <w:r>
        <w:rPr>
          <w:rFonts w:hint="default" w:ascii="仿宋_GB2312" w:hAnsi="ˎ̥" w:eastAsia="仿宋_GB2312" w:cs="仿宋_GB2312"/>
          <w:kern w:val="0"/>
          <w:sz w:val="32"/>
          <w:szCs w:val="32"/>
          <w:shd w:val="clear" w:color="auto" w:fill="FFFFFF"/>
        </w:rPr>
        <w:t>年初预算为</w:t>
      </w:r>
      <w:r>
        <w:rPr>
          <w:rFonts w:hint="eastAsia" w:ascii="仿宋_GB2312" w:hAnsi="ˎ̥" w:eastAsia="仿宋_GB2312" w:cs="仿宋_GB2312"/>
          <w:kern w:val="0"/>
          <w:sz w:val="32"/>
          <w:szCs w:val="32"/>
          <w:shd w:val="clear" w:color="auto" w:fill="FFFFFF"/>
          <w:lang w:val="en-US" w:eastAsia="zh-CN"/>
        </w:rPr>
        <w:t>7.08</w:t>
      </w:r>
      <w:r>
        <w:rPr>
          <w:rFonts w:hint="default" w:ascii="仿宋_GB2312" w:hAnsi="ˎ̥" w:eastAsia="仿宋_GB2312" w:cs="仿宋_GB2312"/>
          <w:kern w:val="0"/>
          <w:sz w:val="32"/>
          <w:szCs w:val="32"/>
          <w:shd w:val="clear" w:color="auto" w:fill="FFFFFF"/>
        </w:rPr>
        <w:t>万元，支出决算为</w:t>
      </w:r>
      <w:r>
        <w:rPr>
          <w:rFonts w:hint="eastAsia" w:ascii="仿宋_GB2312" w:hAnsi="ˎ̥" w:eastAsia="仿宋_GB2312" w:cs="仿宋_GB2312"/>
          <w:kern w:val="0"/>
          <w:sz w:val="32"/>
          <w:szCs w:val="32"/>
          <w:shd w:val="clear" w:color="auto" w:fill="FFFFFF"/>
          <w:lang w:val="en-US" w:eastAsia="zh-CN"/>
        </w:rPr>
        <w:t>5.31</w:t>
      </w:r>
      <w:r>
        <w:rPr>
          <w:rFonts w:hint="default" w:ascii="仿宋_GB2312" w:hAnsi="ˎ̥" w:eastAsia="仿宋_GB2312" w:cs="仿宋_GB2312"/>
          <w:kern w:val="0"/>
          <w:sz w:val="32"/>
          <w:szCs w:val="32"/>
          <w:shd w:val="clear" w:color="auto" w:fill="FFFFFF"/>
        </w:rPr>
        <w:t>万元，完成年初预算的</w:t>
      </w:r>
      <w:r>
        <w:rPr>
          <w:rFonts w:hint="eastAsia" w:ascii="仿宋_GB2312" w:hAnsi="ˎ̥" w:eastAsia="仿宋_GB2312" w:cs="仿宋_GB2312"/>
          <w:kern w:val="0"/>
          <w:sz w:val="32"/>
          <w:szCs w:val="32"/>
          <w:shd w:val="clear" w:color="auto" w:fill="FFFFFF"/>
          <w:lang w:val="en-US" w:eastAsia="zh-CN"/>
        </w:rPr>
        <w:t>75</w:t>
      </w:r>
      <w:r>
        <w:rPr>
          <w:rFonts w:hint="default" w:ascii="仿宋_GB2312" w:hAnsi="ˎ̥" w:eastAsia="仿宋_GB2312" w:cs="仿宋_GB2312"/>
          <w:kern w:val="0"/>
          <w:sz w:val="32"/>
          <w:szCs w:val="32"/>
          <w:shd w:val="clear" w:color="auto" w:fill="FFFFFF"/>
        </w:rPr>
        <w:t>%。决算数</w:t>
      </w:r>
      <w:r>
        <w:rPr>
          <w:rFonts w:hint="eastAsia" w:ascii="仿宋_GB2312" w:hAnsi="ˎ̥" w:eastAsia="仿宋_GB2312" w:cs="仿宋_GB2312"/>
          <w:kern w:val="0"/>
          <w:sz w:val="32"/>
          <w:szCs w:val="32"/>
          <w:shd w:val="clear" w:color="auto" w:fill="FFFFFF"/>
          <w:lang w:eastAsia="zh-CN"/>
        </w:rPr>
        <w:t>大于</w:t>
      </w:r>
      <w:r>
        <w:rPr>
          <w:rFonts w:hint="default" w:ascii="仿宋_GB2312" w:hAnsi="ˎ̥" w:eastAsia="仿宋_GB2312" w:cs="仿宋_GB2312"/>
          <w:kern w:val="0"/>
          <w:sz w:val="32"/>
          <w:szCs w:val="32"/>
          <w:shd w:val="clear" w:color="auto" w:fill="FFFFFF"/>
        </w:rPr>
        <w:t>预算数的主要原因：</w:t>
      </w:r>
      <w:r>
        <w:rPr>
          <w:rFonts w:hint="eastAsia" w:ascii="仿宋_GB2312" w:hAnsi="ˎ̥" w:eastAsia="仿宋_GB2312" w:cs="仿宋_GB2312"/>
          <w:kern w:val="0"/>
          <w:sz w:val="32"/>
          <w:szCs w:val="32"/>
          <w:shd w:val="clear" w:color="auto" w:fill="FFFFFF"/>
          <w:lang w:eastAsia="zh-CN"/>
        </w:rPr>
        <w:t>人员</w:t>
      </w:r>
      <w:r>
        <w:rPr>
          <w:rFonts w:hint="eastAsia" w:ascii="仿宋_GB2312" w:hAnsi="ˎ̥" w:eastAsia="仿宋_GB2312" w:cs="仿宋_GB2312"/>
          <w:kern w:val="0"/>
          <w:sz w:val="32"/>
          <w:szCs w:val="32"/>
          <w:shd w:val="clear" w:color="auto" w:fill="FFFFFF"/>
          <w:lang w:val="en-US" w:eastAsia="zh-CN"/>
        </w:rPr>
        <w:t>减少</w:t>
      </w:r>
      <w:r>
        <w:rPr>
          <w:rFonts w:hint="default" w:ascii="仿宋_GB2312" w:hAnsi="ˎ̥" w:eastAsia="仿宋_GB2312" w:cs="仿宋_GB2312"/>
          <w:kern w:val="0"/>
          <w:sz w:val="32"/>
          <w:szCs w:val="32"/>
          <w:shd w:val="clear" w:color="auto" w:fill="FFFFFF"/>
        </w:rPr>
        <w:t>。</w:t>
      </w:r>
    </w:p>
    <w:p>
      <w:pPr>
        <w:keepNext w:val="0"/>
        <w:keepLines w:val="0"/>
        <w:widowControl/>
        <w:suppressLineNumbers w:val="0"/>
        <w:spacing w:before="0" w:beforeAutospacing="0" w:after="100" w:afterAutospacing="1"/>
        <w:ind w:right="0"/>
        <w:jc w:val="left"/>
        <w:rPr>
          <w:rFonts w:hint="default" w:ascii="仿宋_GB2312" w:hAnsi="ˎ̥" w:eastAsia="仿宋_GB2312" w:cs="仿宋_GB2312"/>
          <w:kern w:val="0"/>
          <w:sz w:val="32"/>
          <w:szCs w:val="32"/>
          <w:shd w:val="clear" w:color="auto" w:fill="FFFFFF"/>
        </w:rPr>
      </w:pPr>
      <w:r>
        <w:rPr>
          <w:rFonts w:hint="default" w:ascii="仿宋_GB2312" w:hAnsi="ˎ̥" w:eastAsia="仿宋_GB2312" w:cs="仿宋_GB2312"/>
          <w:kern w:val="0"/>
          <w:sz w:val="32"/>
          <w:szCs w:val="32"/>
          <w:shd w:val="clear" w:color="auto" w:fill="FFFFFF"/>
        </w:rPr>
        <w:t xml:space="preserve">  </w:t>
      </w:r>
      <w:r>
        <w:rPr>
          <w:rFonts w:hint="eastAsia" w:ascii="仿宋_GB2312" w:hAnsi="ˎ̥" w:eastAsia="仿宋_GB2312" w:cs="仿宋_GB2312"/>
          <w:b/>
          <w:kern w:val="0"/>
          <w:sz w:val="32"/>
          <w:szCs w:val="32"/>
          <w:shd w:val="clear" w:color="auto" w:fill="FFFFFF"/>
          <w:lang w:val="en-US" w:eastAsia="zh-CN"/>
        </w:rPr>
        <w:t>5</w:t>
      </w:r>
      <w:r>
        <w:rPr>
          <w:rFonts w:hint="default" w:ascii="仿宋_GB2312" w:hAnsi="ˎ̥" w:eastAsia="仿宋_GB2312" w:cs="仿宋_GB2312"/>
          <w:b/>
          <w:kern w:val="0"/>
          <w:sz w:val="32"/>
          <w:szCs w:val="32"/>
          <w:shd w:val="clear" w:color="auto" w:fill="FFFFFF"/>
        </w:rPr>
        <w:t>.卫生健康支出（类）行政事业单位医疗（款）公务员医疗补助（项）</w:t>
      </w:r>
    </w:p>
    <w:p>
      <w:pPr>
        <w:keepNext w:val="0"/>
        <w:keepLines w:val="0"/>
        <w:widowControl/>
        <w:suppressLineNumbers w:val="0"/>
        <w:spacing w:before="0" w:beforeAutospacing="0" w:after="100" w:afterAutospacing="1"/>
        <w:ind w:right="0"/>
        <w:jc w:val="left"/>
        <w:rPr>
          <w:rFonts w:hint="default" w:ascii="仿宋_GB2312" w:hAnsi="ˎ̥" w:eastAsia="仿宋_GB2312" w:cs="仿宋_GB2312"/>
          <w:kern w:val="0"/>
          <w:sz w:val="32"/>
          <w:szCs w:val="32"/>
          <w:shd w:val="clear" w:color="auto" w:fill="FFFFFF"/>
        </w:rPr>
      </w:pPr>
      <w:r>
        <w:rPr>
          <w:rFonts w:hint="default" w:ascii="仿宋_GB2312" w:hAnsi="ˎ̥" w:eastAsia="仿宋_GB2312" w:cs="仿宋_GB2312"/>
          <w:kern w:val="0"/>
          <w:sz w:val="32"/>
          <w:szCs w:val="32"/>
          <w:shd w:val="clear" w:color="auto" w:fill="FFFFFF"/>
        </w:rPr>
        <w:t xml:space="preserve">   </w:t>
      </w:r>
      <w:r>
        <w:rPr>
          <w:rFonts w:hint="eastAsia" w:ascii="仿宋_GB2312" w:hAnsi="ˎ̥" w:eastAsia="仿宋_GB2312" w:cs="仿宋_GB2312"/>
          <w:kern w:val="0"/>
          <w:sz w:val="32"/>
          <w:szCs w:val="32"/>
          <w:shd w:val="clear" w:color="auto" w:fill="FFFFFF"/>
          <w:lang w:val="en-US" w:eastAsia="zh-CN"/>
        </w:rPr>
        <w:t xml:space="preserve"> </w:t>
      </w:r>
      <w:r>
        <w:rPr>
          <w:rFonts w:hint="default" w:ascii="仿宋_GB2312" w:hAnsi="ˎ̥" w:eastAsia="仿宋_GB2312" w:cs="仿宋_GB2312"/>
          <w:kern w:val="0"/>
          <w:sz w:val="32"/>
          <w:szCs w:val="32"/>
          <w:shd w:val="clear" w:color="auto" w:fill="FFFFFF"/>
        </w:rPr>
        <w:t>年初预算为</w:t>
      </w:r>
      <w:r>
        <w:rPr>
          <w:rFonts w:hint="eastAsia" w:ascii="仿宋_GB2312" w:hAnsi="ˎ̥" w:eastAsia="仿宋_GB2312" w:cs="仿宋_GB2312"/>
          <w:kern w:val="0"/>
          <w:sz w:val="32"/>
          <w:szCs w:val="32"/>
          <w:shd w:val="clear" w:color="auto" w:fill="FFFFFF"/>
          <w:lang w:val="en-US" w:eastAsia="zh-CN"/>
        </w:rPr>
        <w:t>11.56</w:t>
      </w:r>
      <w:r>
        <w:rPr>
          <w:rFonts w:hint="default" w:ascii="仿宋_GB2312" w:hAnsi="ˎ̥" w:eastAsia="仿宋_GB2312" w:cs="仿宋_GB2312"/>
          <w:kern w:val="0"/>
          <w:sz w:val="32"/>
          <w:szCs w:val="32"/>
          <w:shd w:val="clear" w:color="auto" w:fill="FFFFFF"/>
        </w:rPr>
        <w:t>万元，支出决算为</w:t>
      </w:r>
      <w:r>
        <w:rPr>
          <w:rFonts w:hint="eastAsia" w:ascii="仿宋_GB2312" w:hAnsi="ˎ̥" w:eastAsia="仿宋_GB2312" w:cs="仿宋_GB2312"/>
          <w:kern w:val="0"/>
          <w:sz w:val="32"/>
          <w:szCs w:val="32"/>
          <w:shd w:val="clear" w:color="auto" w:fill="FFFFFF"/>
          <w:lang w:val="en-US" w:eastAsia="zh-CN"/>
        </w:rPr>
        <w:t>9.52</w:t>
      </w:r>
      <w:r>
        <w:rPr>
          <w:rFonts w:hint="default" w:ascii="仿宋_GB2312" w:hAnsi="ˎ̥" w:eastAsia="仿宋_GB2312" w:cs="仿宋_GB2312"/>
          <w:kern w:val="0"/>
          <w:sz w:val="32"/>
          <w:szCs w:val="32"/>
          <w:shd w:val="clear" w:color="auto" w:fill="FFFFFF"/>
        </w:rPr>
        <w:t>万元，完成年初预算的</w:t>
      </w:r>
      <w:r>
        <w:rPr>
          <w:rFonts w:hint="eastAsia" w:ascii="仿宋_GB2312" w:hAnsi="ˎ̥" w:eastAsia="仿宋_GB2312" w:cs="仿宋_GB2312"/>
          <w:kern w:val="0"/>
          <w:sz w:val="32"/>
          <w:szCs w:val="32"/>
          <w:shd w:val="clear" w:color="auto" w:fill="FFFFFF"/>
          <w:lang w:val="en-US" w:eastAsia="zh-CN"/>
        </w:rPr>
        <w:t>82.35</w:t>
      </w:r>
      <w:r>
        <w:rPr>
          <w:rFonts w:hint="default" w:ascii="仿宋_GB2312" w:hAnsi="ˎ̥" w:eastAsia="仿宋_GB2312" w:cs="仿宋_GB2312"/>
          <w:kern w:val="0"/>
          <w:sz w:val="32"/>
          <w:szCs w:val="32"/>
          <w:shd w:val="clear" w:color="auto" w:fill="FFFFFF"/>
        </w:rPr>
        <w:t>%。决算数</w:t>
      </w:r>
      <w:r>
        <w:rPr>
          <w:rFonts w:hint="eastAsia" w:ascii="仿宋_GB2312" w:hAnsi="ˎ̥" w:eastAsia="仿宋_GB2312" w:cs="仿宋_GB2312"/>
          <w:kern w:val="0"/>
          <w:sz w:val="32"/>
          <w:szCs w:val="32"/>
          <w:shd w:val="clear" w:color="auto" w:fill="FFFFFF"/>
          <w:lang w:eastAsia="zh-CN"/>
        </w:rPr>
        <w:t>小于</w:t>
      </w:r>
      <w:r>
        <w:rPr>
          <w:rFonts w:hint="default" w:ascii="仿宋_GB2312" w:hAnsi="ˎ̥" w:eastAsia="仿宋_GB2312" w:cs="仿宋_GB2312"/>
          <w:kern w:val="0"/>
          <w:sz w:val="32"/>
          <w:szCs w:val="32"/>
          <w:shd w:val="clear" w:color="auto" w:fill="FFFFFF"/>
        </w:rPr>
        <w:t>预算数的主要原因：</w:t>
      </w:r>
      <w:r>
        <w:rPr>
          <w:rFonts w:hint="eastAsia" w:ascii="仿宋_GB2312" w:hAnsi="ˎ̥" w:eastAsia="仿宋_GB2312" w:cs="仿宋_GB2312"/>
          <w:kern w:val="0"/>
          <w:sz w:val="32"/>
          <w:szCs w:val="32"/>
          <w:shd w:val="clear" w:color="auto" w:fill="FFFFFF"/>
          <w:lang w:eastAsia="zh-CN"/>
        </w:rPr>
        <w:t>预算数偏多</w:t>
      </w:r>
      <w:r>
        <w:rPr>
          <w:rFonts w:hint="default" w:ascii="仿宋_GB2312" w:hAnsi="ˎ̥" w:eastAsia="仿宋_GB2312" w:cs="仿宋_GB2312"/>
          <w:kern w:val="0"/>
          <w:sz w:val="32"/>
          <w:szCs w:val="32"/>
          <w:shd w:val="clear" w:color="auto" w:fill="FFFFFF"/>
        </w:rPr>
        <w:t>。</w:t>
      </w:r>
    </w:p>
    <w:p>
      <w:pPr>
        <w:keepNext w:val="0"/>
        <w:keepLines w:val="0"/>
        <w:widowControl/>
        <w:suppressLineNumbers w:val="0"/>
        <w:spacing w:before="0" w:beforeAutospacing="0" w:after="100" w:afterAutospacing="1"/>
        <w:ind w:left="0" w:right="0" w:firstLine="558" w:firstLineChars="0"/>
        <w:jc w:val="left"/>
        <w:rPr>
          <w:rFonts w:hint="default" w:ascii="仿宋_GB2312" w:hAnsi="ˎ̥" w:eastAsia="仿宋_GB2312" w:cs="仿宋_GB2312"/>
          <w:kern w:val="0"/>
          <w:sz w:val="32"/>
          <w:szCs w:val="32"/>
          <w:shd w:val="clear" w:color="auto" w:fill="FFFFFF"/>
        </w:rPr>
      </w:pPr>
      <w:r>
        <w:rPr>
          <w:rFonts w:hint="eastAsia" w:ascii="仿宋_GB2312" w:hAnsi="ˎ̥" w:eastAsia="仿宋_GB2312" w:cs="仿宋_GB2312"/>
          <w:b/>
          <w:kern w:val="0"/>
          <w:sz w:val="32"/>
          <w:szCs w:val="32"/>
          <w:shd w:val="clear" w:color="auto" w:fill="FFFFFF"/>
          <w:lang w:val="en-US" w:eastAsia="zh-CN"/>
        </w:rPr>
        <w:t>6</w:t>
      </w:r>
      <w:r>
        <w:rPr>
          <w:rFonts w:hint="default" w:ascii="仿宋_GB2312" w:hAnsi="ˎ̥" w:eastAsia="仿宋_GB2312" w:cs="仿宋_GB2312"/>
          <w:b/>
          <w:kern w:val="0"/>
          <w:sz w:val="32"/>
          <w:szCs w:val="32"/>
          <w:shd w:val="clear" w:color="auto" w:fill="FFFFFF"/>
        </w:rPr>
        <w:t>.卫生健康支出（类）行政事业单位医疗（款）其他行政事业单位医疗支出（项）</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kern w:val="0"/>
          <w:sz w:val="32"/>
          <w:szCs w:val="32"/>
          <w:shd w:val="clear" w:color="auto" w:fill="FFFFFF"/>
        </w:rPr>
      </w:pPr>
      <w:r>
        <w:rPr>
          <w:rFonts w:hint="default" w:ascii="仿宋_GB2312" w:hAnsi="ˎ̥" w:eastAsia="仿宋_GB2312" w:cs="仿宋_GB2312"/>
          <w:kern w:val="0"/>
          <w:sz w:val="32"/>
          <w:szCs w:val="32"/>
          <w:shd w:val="clear" w:color="auto" w:fill="FFFFFF"/>
        </w:rPr>
        <w:t>年初预算为</w:t>
      </w:r>
      <w:r>
        <w:rPr>
          <w:rFonts w:hint="eastAsia" w:ascii="仿宋_GB2312" w:hAnsi="ˎ̥" w:eastAsia="仿宋_GB2312" w:cs="仿宋_GB2312"/>
          <w:kern w:val="0"/>
          <w:sz w:val="32"/>
          <w:szCs w:val="32"/>
          <w:shd w:val="clear" w:color="auto" w:fill="FFFFFF"/>
          <w:lang w:val="en-US" w:eastAsia="zh-CN"/>
        </w:rPr>
        <w:t>0.55</w:t>
      </w:r>
      <w:r>
        <w:rPr>
          <w:rFonts w:hint="default" w:ascii="仿宋_GB2312" w:hAnsi="ˎ̥" w:eastAsia="仿宋_GB2312" w:cs="仿宋_GB2312"/>
          <w:kern w:val="0"/>
          <w:sz w:val="32"/>
          <w:szCs w:val="32"/>
          <w:shd w:val="clear" w:color="auto" w:fill="FFFFFF"/>
        </w:rPr>
        <w:t>万元，支出决算为</w:t>
      </w:r>
      <w:r>
        <w:rPr>
          <w:rFonts w:hint="eastAsia" w:ascii="仿宋_GB2312" w:hAnsi="ˎ̥" w:eastAsia="仿宋_GB2312" w:cs="仿宋_GB2312"/>
          <w:kern w:val="0"/>
          <w:sz w:val="32"/>
          <w:szCs w:val="32"/>
          <w:shd w:val="clear" w:color="auto" w:fill="FFFFFF"/>
          <w:lang w:val="en-US" w:eastAsia="zh-CN"/>
        </w:rPr>
        <w:t>0.55</w:t>
      </w:r>
      <w:r>
        <w:rPr>
          <w:rFonts w:hint="default" w:ascii="仿宋_GB2312" w:hAnsi="ˎ̥" w:eastAsia="仿宋_GB2312" w:cs="仿宋_GB2312"/>
          <w:kern w:val="0"/>
          <w:sz w:val="32"/>
          <w:szCs w:val="32"/>
          <w:shd w:val="clear" w:color="auto" w:fill="FFFFFF"/>
        </w:rPr>
        <w:t>万元，完成年初预算的</w:t>
      </w:r>
      <w:r>
        <w:rPr>
          <w:rFonts w:hint="eastAsia" w:ascii="仿宋_GB2312" w:hAnsi="ˎ̥" w:eastAsia="仿宋_GB2312" w:cs="仿宋_GB2312"/>
          <w:kern w:val="0"/>
          <w:sz w:val="32"/>
          <w:szCs w:val="32"/>
          <w:shd w:val="clear" w:color="auto" w:fill="FFFFFF"/>
          <w:lang w:val="en-US" w:eastAsia="zh-CN"/>
        </w:rPr>
        <w:t>100</w:t>
      </w:r>
      <w:r>
        <w:rPr>
          <w:rFonts w:hint="default" w:ascii="仿宋_GB2312" w:hAnsi="ˎ̥" w:eastAsia="仿宋_GB2312" w:cs="仿宋_GB2312"/>
          <w:kern w:val="0"/>
          <w:sz w:val="32"/>
          <w:szCs w:val="32"/>
          <w:shd w:val="clear" w:color="auto" w:fill="FFFFFF"/>
        </w:rPr>
        <w:t>%。</w:t>
      </w:r>
    </w:p>
    <w:p>
      <w:pPr>
        <w:keepNext w:val="0"/>
        <w:keepLines w:val="0"/>
        <w:widowControl/>
        <w:suppressLineNumbers w:val="0"/>
        <w:spacing w:before="0" w:beforeAutospacing="0" w:after="100" w:afterAutospacing="1"/>
        <w:ind w:right="0" w:rightChars="0"/>
        <w:jc w:val="left"/>
        <w:rPr>
          <w:rFonts w:hint="default" w:ascii="仿宋_GB2312" w:hAnsi="ˎ̥" w:eastAsia="仿宋_GB2312" w:cs="仿宋_GB2312"/>
          <w:b/>
          <w:kern w:val="0"/>
          <w:sz w:val="32"/>
          <w:szCs w:val="32"/>
          <w:shd w:val="clear" w:color="auto" w:fill="FFFFFF"/>
        </w:rPr>
      </w:pPr>
      <w:r>
        <w:rPr>
          <w:rFonts w:hint="default" w:ascii="仿宋_GB2312" w:hAnsi="ˎ̥" w:eastAsia="仿宋_GB2312" w:cs="仿宋_GB2312"/>
          <w:b/>
          <w:kern w:val="0"/>
          <w:sz w:val="32"/>
          <w:szCs w:val="32"/>
          <w:shd w:val="clear" w:color="auto" w:fill="FFFFFF"/>
        </w:rPr>
        <w:t xml:space="preserve">    </w:t>
      </w:r>
      <w:r>
        <w:rPr>
          <w:rFonts w:hint="eastAsia" w:ascii="仿宋_GB2312" w:hAnsi="ˎ̥" w:eastAsia="仿宋_GB2312" w:cs="仿宋_GB2312"/>
          <w:b/>
          <w:kern w:val="0"/>
          <w:sz w:val="32"/>
          <w:szCs w:val="32"/>
          <w:shd w:val="clear" w:color="auto" w:fill="FFFFFF"/>
          <w:lang w:val="en-US" w:eastAsia="zh-CN"/>
        </w:rPr>
        <w:t>7</w:t>
      </w:r>
      <w:r>
        <w:rPr>
          <w:rFonts w:hint="default" w:ascii="仿宋_GB2312" w:hAnsi="ˎ̥" w:eastAsia="仿宋_GB2312" w:cs="仿宋_GB2312"/>
          <w:b/>
          <w:kern w:val="0"/>
          <w:sz w:val="32"/>
          <w:szCs w:val="32"/>
          <w:shd w:val="clear" w:color="auto" w:fill="FFFFFF"/>
        </w:rPr>
        <w:t>.住房保障支出（类）住房改革支出（款）住房公积金（项）</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kern w:val="0"/>
          <w:sz w:val="32"/>
          <w:szCs w:val="32"/>
        </w:rPr>
      </w:pPr>
      <w:r>
        <w:rPr>
          <w:rFonts w:hint="default" w:ascii="仿宋_GB2312" w:hAnsi="ˎ̥" w:eastAsia="仿宋_GB2312" w:cs="仿宋_GB2312"/>
          <w:kern w:val="0"/>
          <w:sz w:val="32"/>
          <w:szCs w:val="32"/>
          <w:shd w:val="clear" w:color="auto" w:fill="FFFFFF"/>
        </w:rPr>
        <w:t>年初预算为</w:t>
      </w:r>
      <w:r>
        <w:rPr>
          <w:rFonts w:hint="eastAsia" w:ascii="仿宋_GB2312" w:hAnsi="ˎ̥" w:eastAsia="仿宋_GB2312" w:cs="仿宋_GB2312"/>
          <w:kern w:val="0"/>
          <w:sz w:val="32"/>
          <w:szCs w:val="32"/>
          <w:shd w:val="clear" w:color="auto" w:fill="FFFFFF"/>
          <w:lang w:val="en-US" w:eastAsia="zh-CN"/>
        </w:rPr>
        <w:t>13.87</w:t>
      </w:r>
      <w:r>
        <w:rPr>
          <w:rFonts w:hint="default" w:ascii="仿宋_GB2312" w:hAnsi="ˎ̥" w:eastAsia="仿宋_GB2312" w:cs="仿宋_GB2312"/>
          <w:kern w:val="0"/>
          <w:sz w:val="32"/>
          <w:szCs w:val="32"/>
          <w:shd w:val="clear" w:color="auto" w:fill="FFFFFF"/>
        </w:rPr>
        <w:t>万元，支出决算为</w:t>
      </w:r>
      <w:r>
        <w:rPr>
          <w:rFonts w:hint="eastAsia" w:ascii="仿宋_GB2312" w:hAnsi="ˎ̥" w:eastAsia="仿宋_GB2312" w:cs="仿宋_GB2312"/>
          <w:kern w:val="0"/>
          <w:sz w:val="32"/>
          <w:szCs w:val="32"/>
          <w:shd w:val="clear" w:color="auto" w:fill="FFFFFF"/>
          <w:lang w:val="en-US" w:eastAsia="zh-CN"/>
        </w:rPr>
        <w:t>13.87</w:t>
      </w:r>
      <w:r>
        <w:rPr>
          <w:rFonts w:hint="default" w:ascii="仿宋_GB2312" w:hAnsi="ˎ̥" w:eastAsia="仿宋_GB2312" w:cs="仿宋_GB2312"/>
          <w:kern w:val="0"/>
          <w:sz w:val="32"/>
          <w:szCs w:val="32"/>
          <w:shd w:val="clear" w:color="auto" w:fill="FFFFFF"/>
        </w:rPr>
        <w:t>万元，完成年初预算的</w:t>
      </w:r>
      <w:r>
        <w:rPr>
          <w:rFonts w:hint="eastAsia" w:ascii="仿宋_GB2312" w:hAnsi="ˎ̥" w:eastAsia="仿宋_GB2312" w:cs="仿宋_GB2312"/>
          <w:kern w:val="0"/>
          <w:sz w:val="32"/>
          <w:szCs w:val="32"/>
          <w:shd w:val="clear" w:color="auto" w:fill="FFFFFF"/>
          <w:lang w:val="en-US" w:eastAsia="zh-CN"/>
        </w:rPr>
        <w:t>100</w:t>
      </w:r>
      <w:r>
        <w:rPr>
          <w:rFonts w:hint="default" w:ascii="仿宋_GB2312" w:hAnsi="ˎ̥" w:eastAsia="仿宋_GB2312" w:cs="仿宋_GB2312"/>
          <w:kern w:val="0"/>
          <w:sz w:val="32"/>
          <w:szCs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eastAsia="zh-CN"/>
        </w:rPr>
        <w:t>2024</w:t>
      </w:r>
      <w:r>
        <w:rPr>
          <w:rFonts w:hint="eastAsia" w:ascii="仿宋_GB2312" w:hAnsi="ˎ̥" w:eastAsia="仿宋_GB2312"/>
          <w:sz w:val="32"/>
          <w:szCs w:val="32"/>
          <w:lang w:val="en-US" w:eastAsia="zh-CN"/>
        </w:rPr>
        <w:t>年度财政拨款基本支出155.37万元，其中：人员经费153.18万元，主要包括：工资福利支出中的基本工资、津贴补贴、奖金、伙食补助费、绩效工资、机关事业单位基本养老保险缴费、职业年金缴费、</w:t>
      </w:r>
      <w:r>
        <w:rPr>
          <w:rFonts w:hint="eastAsia" w:ascii="仿宋_GB2312" w:hAnsi="ˎ̥" w:eastAsia="仿宋_GB2312"/>
          <w:sz w:val="32"/>
          <w:szCs w:val="32"/>
        </w:rPr>
        <w:t>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w:t>
      </w:r>
      <w:r>
        <w:rPr>
          <w:rFonts w:hint="eastAsia" w:ascii="仿宋_GB2312" w:hAnsi="ˎ̥" w:eastAsia="仿宋_GB2312"/>
          <w:sz w:val="32"/>
          <w:szCs w:val="32"/>
          <w:lang w:val="en-US" w:eastAsia="zh-CN"/>
        </w:rPr>
        <w:t>费</w:t>
      </w:r>
      <w:r>
        <w:rPr>
          <w:rFonts w:hint="default" w:ascii="仿宋_GB2312" w:hAnsi="ˎ̥" w:eastAsia="仿宋_GB2312"/>
          <w:sz w:val="32"/>
          <w:szCs w:val="32"/>
          <w:lang w:val="en-US" w:eastAsia="zh-CN"/>
        </w:rPr>
        <w:t>2.19</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tabs>
          <w:tab w:val="center" w:pos="4473"/>
        </w:tabs>
        <w:spacing w:line="578" w:lineRule="exact"/>
        <w:ind w:firstLine="640" w:firstLineChars="200"/>
        <w:rPr>
          <w:rFonts w:hint="eastAsia" w:ascii="仿宋_GB2312" w:hAnsi="ˎ̥" w:eastAsia="仿宋_GB2312"/>
          <w:sz w:val="32"/>
          <w:szCs w:val="32"/>
          <w:lang w:eastAsia="zh-CN"/>
        </w:rPr>
      </w:pPr>
      <w:bookmarkStart w:id="97" w:name="OLE_LINK19"/>
      <w:r>
        <w:rPr>
          <w:rFonts w:hint="eastAsia" w:ascii="仿宋_GB2312" w:hAnsi="ˎ̥" w:eastAsia="仿宋_GB2312"/>
          <w:sz w:val="32"/>
          <w:szCs w:val="32"/>
          <w:lang w:eastAsia="zh-CN"/>
        </w:rPr>
        <w:t>我单位无政府性基金预算财政拨款收入。</w:t>
      </w:r>
    </w:p>
    <w:bookmarkEnd w:id="97"/>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tabs>
          <w:tab w:val="center" w:pos="4473"/>
        </w:tabs>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lang w:eastAsia="zh-CN"/>
        </w:rPr>
        <w:t>我单位无国有资本经营预算财政拨款收入。</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spacing w:line="578" w:lineRule="exact"/>
        <w:ind w:firstLine="640" w:firstLineChars="200"/>
        <w:rPr>
          <w:rFonts w:hint="eastAsia" w:ascii="仿宋_GB2312" w:hAnsi="ˎ̥" w:eastAsia="仿宋_GB2312"/>
          <w:sz w:val="32"/>
          <w:szCs w:val="32"/>
          <w:lang w:eastAsia="zh-CN"/>
        </w:rPr>
      </w:pPr>
      <w:r>
        <w:rPr>
          <w:rFonts w:hint="eastAsia" w:ascii="仿宋_GB2312" w:hAnsi="ˎ̥" w:eastAsia="仿宋_GB2312"/>
          <w:sz w:val="32"/>
          <w:szCs w:val="32"/>
          <w:lang w:eastAsia="zh-CN"/>
        </w:rPr>
        <w:t>我单位无一般公共预算财政拨款“三公”经费收入。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spacing w:line="578"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我单位无重点项目，没有开展绩效管理工作。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8" w:name="_Toc32639_WPSOffice_Level2"/>
      <w:bookmarkStart w:id="99" w:name="_Toc18325_WPSOffice_Level2"/>
      <w:bookmarkStart w:id="100" w:name="_Toc5978_WPSOffice_Level2"/>
      <w:bookmarkStart w:id="101" w:name="_Toc15262_WPSOffice_Level2"/>
      <w:bookmarkStart w:id="102" w:name="_Toc23598_WPSOffice_Level2"/>
      <w:bookmarkStart w:id="103" w:name="_Toc15565_WPSOffice_Level2"/>
      <w:r>
        <w:rPr>
          <w:rFonts w:hint="eastAsia" w:ascii="楷体" w:hAnsi="楷体" w:eastAsia="楷体" w:cs="楷体"/>
          <w:bCs/>
          <w:sz w:val="32"/>
          <w:szCs w:val="32"/>
        </w:rPr>
        <w:t>（一）机关运行经费支出情况</w:t>
      </w:r>
      <w:bookmarkEnd w:id="98"/>
      <w:bookmarkEnd w:id="99"/>
      <w:bookmarkEnd w:id="100"/>
      <w:bookmarkEnd w:id="101"/>
      <w:bookmarkEnd w:id="102"/>
      <w:bookmarkEnd w:id="103"/>
    </w:p>
    <w:p>
      <w:pPr>
        <w:spacing w:line="578" w:lineRule="exact"/>
        <w:ind w:firstLine="640" w:firstLineChars="200"/>
        <w:rPr>
          <w:rFonts w:hint="eastAsia" w:ascii="仿宋_GB2312" w:hAnsi="ˎ̥" w:eastAsia="仿宋_GB2312"/>
          <w:sz w:val="32"/>
          <w:szCs w:val="32"/>
          <w:lang w:eastAsia="zh-CN"/>
        </w:rPr>
      </w:pPr>
      <w:bookmarkStart w:id="104" w:name="_Toc32689_WPSOffice_Level2"/>
      <w:bookmarkStart w:id="105" w:name="_Toc30383_WPSOffice_Level2"/>
      <w:bookmarkStart w:id="106" w:name="_Toc3131_WPSOffice_Level2"/>
      <w:bookmarkStart w:id="107" w:name="_Toc13084_WPSOffice_Level2"/>
      <w:bookmarkStart w:id="108" w:name="_Toc23966_WPSOffice_Level2"/>
      <w:bookmarkStart w:id="109" w:name="_Toc25333_WPSOffice_Level2"/>
      <w:r>
        <w:rPr>
          <w:rFonts w:hint="eastAsia" w:ascii="仿宋_GB2312" w:hAnsi="ˎ̥" w:eastAsia="仿宋_GB2312"/>
          <w:sz w:val="32"/>
          <w:szCs w:val="32"/>
          <w:lang w:eastAsia="zh-CN"/>
        </w:rPr>
        <w:t>我单位属事业单位，事业单位没有机关运行经费支出。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（二）政府采购支出情况</w:t>
      </w:r>
      <w:bookmarkEnd w:id="104"/>
      <w:bookmarkEnd w:id="105"/>
      <w:bookmarkEnd w:id="106"/>
      <w:bookmarkEnd w:id="107"/>
      <w:bookmarkEnd w:id="108"/>
      <w:bookmarkEnd w:id="109"/>
    </w:p>
    <w:p>
      <w:pPr>
        <w:spacing w:line="578" w:lineRule="exact"/>
        <w:ind w:firstLine="640" w:firstLineChars="200"/>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我单位政府采购支出总额0万元。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10" w:name="_Toc10902_WPSOffice_Level2"/>
      <w:bookmarkStart w:id="111" w:name="_Toc29584_WPSOffice_Level2"/>
      <w:bookmarkStart w:id="112" w:name="_Toc6016_WPSOffice_Level2"/>
      <w:bookmarkStart w:id="113" w:name="_Toc15129_WPSOffice_Level2"/>
      <w:bookmarkStart w:id="114" w:name="_Toc19989_WPSOffice_Level2"/>
      <w:bookmarkStart w:id="115" w:name="_Toc527_WPSOffice_Level2"/>
      <w:r>
        <w:rPr>
          <w:rFonts w:hint="eastAsia" w:ascii="楷体" w:hAnsi="楷体" w:eastAsia="楷体" w:cs="楷体"/>
          <w:bCs/>
          <w:sz w:val="32"/>
          <w:szCs w:val="32"/>
        </w:rPr>
        <w:t>（三）国有资产占用情况</w:t>
      </w:r>
      <w:bookmarkEnd w:id="110"/>
      <w:bookmarkEnd w:id="111"/>
      <w:bookmarkEnd w:id="112"/>
      <w:bookmarkEnd w:id="113"/>
      <w:bookmarkEnd w:id="114"/>
      <w:bookmarkEnd w:id="115"/>
    </w:p>
    <w:p>
      <w:pPr>
        <w:spacing w:line="578" w:lineRule="exact"/>
        <w:ind w:firstLine="640" w:firstLineChars="200"/>
        <w:rPr>
          <w:rFonts w:hint="eastAsia" w:ascii="仿宋_GB2312" w:hAnsi="ˎ̥" w:eastAsia="仿宋_GB2312"/>
          <w:bCs/>
          <w:sz w:val="32"/>
          <w:szCs w:val="32"/>
        </w:rPr>
      </w:pPr>
      <w:bookmarkStart w:id="116" w:name="_Toc8874_WPSOffice_Level1"/>
      <w:bookmarkStart w:id="117" w:name="_Toc15425_WPSOffice_Level1"/>
      <w:bookmarkStart w:id="118" w:name="_Toc11039_WPSOffice_Level1"/>
      <w:bookmarkStart w:id="119" w:name="_Toc4398_WPSOffice_Level1"/>
      <w:bookmarkStart w:id="120" w:name="_Toc8808_WPSOffice_Level1"/>
      <w:bookmarkStart w:id="121" w:name="_Toc17580_WPSOffice_Level1"/>
      <w:r>
        <w:rPr>
          <w:rFonts w:hint="eastAsia" w:ascii="仿宋_GB2312" w:hAnsi="ˎ̥" w:eastAsia="仿宋_GB2312"/>
          <w:bCs/>
          <w:sz w:val="32"/>
          <w:szCs w:val="32"/>
        </w:rPr>
        <w:t>截至202</w:t>
      </w:r>
      <w:r>
        <w:rPr>
          <w:rFonts w:hint="eastAsia" w:ascii="仿宋_GB2312" w:hAnsi="ˎ̥" w:eastAsia="仿宋_GB2312"/>
          <w:bCs/>
          <w:sz w:val="32"/>
          <w:szCs w:val="32"/>
          <w:lang w:val="en-US" w:eastAsia="zh-CN"/>
        </w:rPr>
        <w:t>4</w:t>
      </w:r>
      <w:r>
        <w:rPr>
          <w:rFonts w:hint="eastAsia" w:ascii="仿宋_GB2312" w:hAnsi="ˎ̥" w:eastAsia="仿宋_GB2312"/>
          <w:bCs/>
          <w:sz w:val="32"/>
          <w:szCs w:val="32"/>
        </w:rPr>
        <w:t>年12月31日，本</w:t>
      </w:r>
      <w:r>
        <w:rPr>
          <w:rFonts w:hint="eastAsia" w:ascii="仿宋_GB2312" w:hAnsi="ˎ̥" w:eastAsia="仿宋_GB2312"/>
          <w:bCs/>
          <w:sz w:val="32"/>
          <w:szCs w:val="32"/>
          <w:lang w:val="en-US" w:eastAsia="zh-CN"/>
        </w:rPr>
        <w:t>单位</w:t>
      </w:r>
      <w:r>
        <w:rPr>
          <w:rFonts w:hint="eastAsia" w:ascii="仿宋_GB2312" w:hAnsi="ˎ̥" w:eastAsia="仿宋_GB2312"/>
          <w:bCs/>
          <w:sz w:val="32"/>
          <w:szCs w:val="32"/>
        </w:rPr>
        <w:t>拥有房屋面积</w:t>
      </w:r>
      <w:r>
        <w:rPr>
          <w:rFonts w:hint="eastAsia" w:ascii="仿宋_GB2312" w:hAnsi="ˎ̥" w:eastAsia="仿宋_GB2312"/>
          <w:bCs/>
          <w:sz w:val="32"/>
          <w:szCs w:val="32"/>
          <w:lang w:val="en-US" w:eastAsia="zh-CN"/>
        </w:rPr>
        <w:t>2520.00</w:t>
      </w:r>
      <w:r>
        <w:rPr>
          <w:rFonts w:hint="eastAsia" w:ascii="仿宋_GB2312" w:hAnsi="ˎ̥" w:eastAsia="仿宋_GB2312"/>
          <w:bCs/>
          <w:sz w:val="32"/>
          <w:szCs w:val="32"/>
        </w:rPr>
        <w:t>平方米，其中：办公用房</w:t>
      </w:r>
      <w:r>
        <w:rPr>
          <w:rFonts w:hint="eastAsia" w:ascii="仿宋_GB2312" w:hAnsi="ˎ̥" w:eastAsia="仿宋_GB2312"/>
          <w:bCs/>
          <w:sz w:val="32"/>
          <w:szCs w:val="32"/>
          <w:lang w:val="en-US" w:eastAsia="zh-CN"/>
        </w:rPr>
        <w:t>2520.00</w:t>
      </w:r>
      <w:r>
        <w:rPr>
          <w:rFonts w:hint="eastAsia" w:ascii="仿宋_GB2312" w:hAnsi="ˎ̥" w:eastAsia="仿宋_GB2312"/>
          <w:bCs/>
          <w:sz w:val="32"/>
          <w:szCs w:val="32"/>
        </w:rPr>
        <w:t>平方米，业务用房</w:t>
      </w:r>
      <w:r>
        <w:rPr>
          <w:rFonts w:hint="eastAsia" w:ascii="仿宋_GB2312" w:hAnsi="ˎ̥" w:eastAsia="仿宋_GB2312"/>
          <w:bCs/>
          <w:sz w:val="32"/>
          <w:szCs w:val="32"/>
          <w:lang w:val="en-US" w:eastAsia="zh-CN"/>
        </w:rPr>
        <w:t>0.00</w:t>
      </w:r>
      <w:r>
        <w:rPr>
          <w:rFonts w:hint="eastAsia" w:ascii="仿宋_GB2312" w:hAnsi="ˎ̥" w:eastAsia="仿宋_GB2312"/>
          <w:bCs/>
          <w:sz w:val="32"/>
          <w:szCs w:val="32"/>
        </w:rPr>
        <w:t>平方米，其他（不含构筑物）</w:t>
      </w:r>
      <w:r>
        <w:rPr>
          <w:rFonts w:hint="eastAsia" w:ascii="仿宋_GB2312" w:hAnsi="ˎ̥" w:eastAsia="仿宋_GB2312"/>
          <w:bCs/>
          <w:sz w:val="32"/>
          <w:szCs w:val="32"/>
          <w:lang w:val="en-US" w:eastAsia="zh-CN"/>
        </w:rPr>
        <w:t>0.00</w:t>
      </w:r>
      <w:r>
        <w:rPr>
          <w:rFonts w:hint="eastAsia" w:ascii="仿宋_GB2312" w:hAnsi="ˎ̥" w:eastAsia="仿宋_GB2312"/>
          <w:bCs/>
          <w:sz w:val="32"/>
          <w:szCs w:val="32"/>
        </w:rPr>
        <w:t>平方米。</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6"/>
      <w:bookmarkEnd w:id="117"/>
      <w:bookmarkEnd w:id="118"/>
      <w:bookmarkEnd w:id="119"/>
      <w:bookmarkEnd w:id="120"/>
      <w:bookmarkEnd w:id="12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widowControl/>
        <w:suppressLineNumbers w:val="0"/>
        <w:spacing w:line="560" w:lineRule="exact"/>
        <w:ind w:left="0" w:firstLine="640" w:firstLineChars="200"/>
        <w:rPr>
          <w:rFonts w:hint="eastAsia" w:ascii="仿宋_GB2312" w:hAnsi="宋体" w:eastAsia="仿宋_GB2312" w:cs="宋体"/>
          <w:color w:val="000000"/>
          <w:kern w:val="0"/>
          <w:sz w:val="32"/>
          <w:szCs w:val="32"/>
        </w:rPr>
      </w:pPr>
      <w:r>
        <w:rPr>
          <w:rFonts w:hint="eastAsia" w:ascii="仿宋_GB2312" w:hAnsi="ˎ̥" w:eastAsia="仿宋_GB2312"/>
          <w:sz w:val="32"/>
          <w:szCs w:val="32"/>
        </w:rPr>
        <w:t>十六、</w:t>
      </w:r>
      <w:r>
        <w:rPr>
          <w:rFonts w:hint="eastAsia" w:ascii="仿宋_GB2312" w:hAnsi="宋体" w:eastAsia="仿宋_GB2312" w:cs="仿宋_GB2312"/>
          <w:kern w:val="0"/>
          <w:sz w:val="32"/>
          <w:szCs w:val="32"/>
        </w:rPr>
        <w:t>教育支出（类）普通教育（款）学前教育（项）：</w:t>
      </w:r>
      <w:r>
        <w:rPr>
          <w:rFonts w:hint="eastAsia" w:ascii="仿宋_GB2312" w:hAnsi="宋体" w:eastAsia="仿宋_GB2312" w:cs="仿宋_GB2312"/>
          <w:color w:val="000000"/>
          <w:kern w:val="0"/>
          <w:sz w:val="32"/>
          <w:szCs w:val="32"/>
        </w:rPr>
        <w:t>反映各部门举办的学前教育支出。</w:t>
      </w:r>
    </w:p>
    <w:p>
      <w:pPr>
        <w:keepNext w:val="0"/>
        <w:keepLines w:val="0"/>
        <w:widowControl/>
        <w:suppressLineNumbers w:val="0"/>
        <w:spacing w:line="560" w:lineRule="exact"/>
        <w:ind w:left="0"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仿宋_GB2312"/>
          <w:color w:val="000000"/>
          <w:kern w:val="0"/>
          <w:sz w:val="32"/>
          <w:szCs w:val="32"/>
        </w:rPr>
        <w:t>十七、</w:t>
      </w:r>
      <w:r>
        <w:rPr>
          <w:rFonts w:hint="eastAsia" w:ascii="仿宋_GB2312" w:hAnsi="宋体" w:eastAsia="仿宋_GB2312" w:cs="仿宋_GB2312"/>
          <w:kern w:val="0"/>
          <w:sz w:val="32"/>
          <w:szCs w:val="32"/>
        </w:rPr>
        <w:t>社会保障和就业支出（类）行政事业单位养老支出（款）机关事业单位基本养老保险缴费支出（项）：</w:t>
      </w:r>
      <w:r>
        <w:rPr>
          <w:rFonts w:hint="eastAsia" w:ascii="仿宋_GB2312" w:hAnsi="宋体" w:eastAsia="仿宋_GB2312" w:cs="仿宋_GB2312"/>
          <w:color w:val="000000"/>
          <w:kern w:val="0"/>
          <w:sz w:val="32"/>
          <w:szCs w:val="32"/>
        </w:rPr>
        <w:t>指用于单位缴纳的基本养老保险费支出。</w:t>
      </w:r>
    </w:p>
    <w:p>
      <w:pPr>
        <w:keepNext w:val="0"/>
        <w:keepLines w:val="0"/>
        <w:widowControl/>
        <w:suppressLineNumbers w:val="0"/>
        <w:spacing w:line="560" w:lineRule="exact"/>
        <w:ind w:left="0" w:firstLine="640" w:firstLineChars="200"/>
        <w:rPr>
          <w:rFonts w:hint="eastAsia" w:ascii="仿宋_GB2312" w:hAnsi="宋体" w:eastAsia="仿宋_GB2312" w:cs="宋体"/>
          <w:kern w:val="0"/>
          <w:sz w:val="32"/>
          <w:szCs w:val="32"/>
        </w:rPr>
      </w:pPr>
      <w:r>
        <w:rPr>
          <w:rFonts w:hint="eastAsia" w:ascii="仿宋_GB2312" w:hAnsi="宋体" w:eastAsia="仿宋_GB2312" w:cs="仿宋_GB2312"/>
          <w:color w:val="000000"/>
          <w:kern w:val="0"/>
          <w:sz w:val="32"/>
          <w:szCs w:val="32"/>
        </w:rPr>
        <w:t>十八、</w:t>
      </w:r>
      <w:r>
        <w:rPr>
          <w:rFonts w:hint="eastAsia" w:ascii="仿宋_GB2312" w:hAnsi="宋体" w:eastAsia="仿宋_GB2312" w:cs="仿宋_GB2312"/>
          <w:kern w:val="0"/>
          <w:sz w:val="32"/>
          <w:szCs w:val="32"/>
        </w:rPr>
        <w:t>卫生健康支出（类）行政事业单位医疗（款）事业单位医疗（项）：</w:t>
      </w:r>
      <w:r>
        <w:rPr>
          <w:rFonts w:hint="eastAsia" w:ascii="仿宋_GB2312" w:hAnsi="宋体" w:eastAsia="仿宋_GB2312" w:cs="仿宋_GB2312"/>
          <w:color w:val="000000"/>
          <w:kern w:val="0"/>
          <w:sz w:val="32"/>
          <w:szCs w:val="32"/>
        </w:rPr>
        <w:t>反映财政部门集中安排的事业单位基本医疗保险缴费经费，未参加医疗保险的事业单位的公费医疗经费，按国家规定享受离休人员待遇的医疗经费</w:t>
      </w:r>
      <w:r>
        <w:rPr>
          <w:rFonts w:hint="eastAsia" w:ascii="仿宋_GB2312" w:hAnsi="宋体" w:eastAsia="仿宋_GB2312" w:cs="仿宋_GB2312"/>
          <w:kern w:val="0"/>
          <w:sz w:val="32"/>
          <w:szCs w:val="32"/>
        </w:rPr>
        <w:t>。</w:t>
      </w:r>
    </w:p>
    <w:p>
      <w:pPr>
        <w:keepNext w:val="0"/>
        <w:keepLines w:val="0"/>
        <w:widowControl/>
        <w:suppressLineNumbers w:val="0"/>
        <w:spacing w:line="560" w:lineRule="exact"/>
        <w:ind w:left="0"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仿宋_GB2312"/>
          <w:kern w:val="0"/>
          <w:sz w:val="32"/>
          <w:szCs w:val="32"/>
        </w:rPr>
        <w:t>十九、卫生健康支出（类）行政事业单位医疗（款）公务员医疗补助（项）：</w:t>
      </w:r>
      <w:r>
        <w:rPr>
          <w:rFonts w:hint="eastAsia" w:ascii="仿宋_GB2312" w:hAnsi="宋体" w:eastAsia="仿宋_GB2312" w:cs="仿宋_GB2312"/>
          <w:color w:val="000000"/>
          <w:kern w:val="0"/>
          <w:sz w:val="32"/>
          <w:szCs w:val="32"/>
        </w:rPr>
        <w:t>反映财政部门集中安排的公务员医疗补助经费。</w:t>
      </w:r>
    </w:p>
    <w:p>
      <w:pPr>
        <w:keepNext w:val="0"/>
        <w:keepLines w:val="0"/>
        <w:widowControl/>
        <w:suppressLineNumbers w:val="0"/>
        <w:spacing w:line="560" w:lineRule="exact"/>
        <w:ind w:left="0"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仿宋_GB2312"/>
          <w:color w:val="000000"/>
          <w:kern w:val="0"/>
          <w:sz w:val="32"/>
          <w:szCs w:val="32"/>
        </w:rPr>
        <w:t>二十、</w:t>
      </w:r>
      <w:r>
        <w:rPr>
          <w:rFonts w:hint="eastAsia" w:ascii="仿宋_GB2312" w:hAnsi="宋体" w:eastAsia="仿宋_GB2312" w:cs="仿宋_GB2312"/>
          <w:kern w:val="0"/>
          <w:sz w:val="32"/>
          <w:szCs w:val="32"/>
        </w:rPr>
        <w:t>卫生健康支出（类）行政事业单位医疗（款）其他行政事业单位医疗支出（项）：</w:t>
      </w:r>
      <w:r>
        <w:rPr>
          <w:rFonts w:hint="eastAsia" w:ascii="仿宋_GB2312" w:hAnsi="宋体" w:eastAsia="仿宋_GB2312" w:cs="仿宋_GB2312"/>
          <w:color w:val="000000"/>
          <w:kern w:val="0"/>
          <w:sz w:val="32"/>
          <w:szCs w:val="32"/>
        </w:rPr>
        <w:t>反映除行政单位医疗、</w:t>
      </w:r>
      <w:r>
        <w:rPr>
          <w:rFonts w:hint="eastAsia" w:ascii="仿宋_GB2312" w:hAnsi="宋体" w:eastAsia="仿宋_GB2312" w:cs="仿宋_GB2312"/>
          <w:kern w:val="0"/>
          <w:sz w:val="32"/>
          <w:szCs w:val="32"/>
        </w:rPr>
        <w:t>事业单位医疗、公务员医疗补助</w:t>
      </w:r>
      <w:r>
        <w:rPr>
          <w:rFonts w:hint="eastAsia" w:ascii="仿宋_GB2312" w:hAnsi="宋体" w:eastAsia="仿宋_GB2312" w:cs="仿宋_GB2312"/>
          <w:color w:val="000000"/>
          <w:kern w:val="0"/>
          <w:sz w:val="32"/>
          <w:szCs w:val="32"/>
        </w:rPr>
        <w:t>其他用于行政事业单位医疗方面的支出。</w:t>
      </w:r>
    </w:p>
    <w:p>
      <w:pPr>
        <w:keepNext w:val="0"/>
        <w:keepLines w:val="0"/>
        <w:widowControl/>
        <w:suppressLineNumbers w:val="0"/>
        <w:spacing w:line="560" w:lineRule="exact"/>
        <w:ind w:left="0" w:firstLine="640" w:firstLineChars="200"/>
      </w:pPr>
      <w:r>
        <w:rPr>
          <w:rFonts w:hint="eastAsia" w:ascii="仿宋_GB2312" w:hAnsi="宋体" w:eastAsia="仿宋_GB2312" w:cs="仿宋_GB2312"/>
          <w:kern w:val="0"/>
          <w:sz w:val="32"/>
          <w:szCs w:val="32"/>
        </w:rPr>
        <w:t>二十一、住房保障支出（类）住房改革支出（款）住房公积金（项）：</w:t>
      </w:r>
      <w:r>
        <w:rPr>
          <w:rFonts w:hint="eastAsia" w:ascii="仿宋_GB2312" w:hAnsi="宋体" w:eastAsia="仿宋_GB2312" w:cs="仿宋_GB2312"/>
          <w:color w:val="000000"/>
          <w:kern w:val="0"/>
          <w:sz w:val="32"/>
          <w:szCs w:val="32"/>
        </w:rPr>
        <w:t>指用于按规定比例为职工缴纳的住房公积金支出。</w:t>
      </w:r>
    </w:p>
    <w:p>
      <w:pPr>
        <w:keepNext w:val="0"/>
        <w:keepLines w:val="0"/>
        <w:pageBreakBefore w:val="0"/>
        <w:widowControl w:val="0"/>
        <w:kinsoku/>
        <w:wordWrap/>
        <w:overflowPunct/>
        <w:topLinePunct w:val="0"/>
        <w:autoSpaceDE/>
        <w:autoSpaceDN/>
        <w:bidi w:val="0"/>
        <w:adjustRightInd/>
        <w:snapToGrid/>
        <w:spacing w:line="578" w:lineRule="exact"/>
        <w:textAlignment w:val="auto"/>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812E81"/>
    <w:multiLevelType w:val="singleLevel"/>
    <w:tmpl w:val="A3812E81"/>
    <w:lvl w:ilvl="0" w:tentative="0">
      <w:start w:val="1"/>
      <w:numFmt w:val="chineseCounting"/>
      <w:suff w:val="nothing"/>
      <w:lvlText w:val="%1、"/>
      <w:lvlJc w:val="left"/>
      <w:rPr>
        <w:rFonts w:hint="eastAsia"/>
      </w:rPr>
    </w:lvl>
  </w:abstractNum>
  <w:abstractNum w:abstractNumId="1">
    <w:nsid w:val="AFFC2DCC"/>
    <w:multiLevelType w:val="singleLevel"/>
    <w:tmpl w:val="AFFC2DCC"/>
    <w:lvl w:ilvl="0" w:tentative="0">
      <w:start w:val="1"/>
      <w:numFmt w:val="chineseCounting"/>
      <w:suff w:val="nothing"/>
      <w:lvlText w:val="%1、"/>
      <w:lvlJc w:val="left"/>
      <w:rPr>
        <w:rFonts w:hint="eastAsia"/>
      </w:rPr>
    </w:lvl>
  </w:abstractNum>
  <w:abstractNum w:abstractNumId="2">
    <w:nsid w:val="670E25E6"/>
    <w:multiLevelType w:val="singleLevel"/>
    <w:tmpl w:val="670E25E6"/>
    <w:lvl w:ilvl="0" w:tentative="0">
      <w:start w:val="3"/>
      <w:numFmt w:val="decimal"/>
      <w:suff w:val="nothing"/>
      <w:lvlText w:val="%1."/>
      <w:lvlJc w:val="left"/>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11E1FE4"/>
    <w:rsid w:val="036D7252"/>
    <w:rsid w:val="04AB3B8E"/>
    <w:rsid w:val="05CD3FD8"/>
    <w:rsid w:val="09201287"/>
    <w:rsid w:val="094B3730"/>
    <w:rsid w:val="0B1A381C"/>
    <w:rsid w:val="0FC80124"/>
    <w:rsid w:val="11F34DC7"/>
    <w:rsid w:val="136F98C7"/>
    <w:rsid w:val="155178CD"/>
    <w:rsid w:val="17427E68"/>
    <w:rsid w:val="1755065F"/>
    <w:rsid w:val="17681DB3"/>
    <w:rsid w:val="188744BB"/>
    <w:rsid w:val="192B12EA"/>
    <w:rsid w:val="19B27315"/>
    <w:rsid w:val="1AFC29C9"/>
    <w:rsid w:val="1CA52F2E"/>
    <w:rsid w:val="1E3630B9"/>
    <w:rsid w:val="1F262338"/>
    <w:rsid w:val="1F3E1D77"/>
    <w:rsid w:val="20C067BC"/>
    <w:rsid w:val="21415B4F"/>
    <w:rsid w:val="231A6657"/>
    <w:rsid w:val="26EEC2B5"/>
    <w:rsid w:val="27C941A8"/>
    <w:rsid w:val="27E86D24"/>
    <w:rsid w:val="29472309"/>
    <w:rsid w:val="2B406E77"/>
    <w:rsid w:val="2BA94A1C"/>
    <w:rsid w:val="2C2A0C43"/>
    <w:rsid w:val="2D1E73A5"/>
    <w:rsid w:val="2D9214E0"/>
    <w:rsid w:val="2F3A3BDD"/>
    <w:rsid w:val="2F6B3D97"/>
    <w:rsid w:val="2FEA115F"/>
    <w:rsid w:val="32070348"/>
    <w:rsid w:val="32717154"/>
    <w:rsid w:val="331F55C4"/>
    <w:rsid w:val="34B63260"/>
    <w:rsid w:val="37FDA7E2"/>
    <w:rsid w:val="3A314D88"/>
    <w:rsid w:val="3A746883"/>
    <w:rsid w:val="3CA15DE9"/>
    <w:rsid w:val="3FAE3F57"/>
    <w:rsid w:val="3FE61EE5"/>
    <w:rsid w:val="406508EE"/>
    <w:rsid w:val="408D6263"/>
    <w:rsid w:val="41B40CEE"/>
    <w:rsid w:val="48317291"/>
    <w:rsid w:val="48390A7E"/>
    <w:rsid w:val="485F7024"/>
    <w:rsid w:val="48E70666"/>
    <w:rsid w:val="49861AA1"/>
    <w:rsid w:val="4A0D5D1E"/>
    <w:rsid w:val="4AE20F59"/>
    <w:rsid w:val="4C6877E5"/>
    <w:rsid w:val="4D662315"/>
    <w:rsid w:val="4D6A468D"/>
    <w:rsid w:val="4EA34EA3"/>
    <w:rsid w:val="4EA86137"/>
    <w:rsid w:val="4ECC61A8"/>
    <w:rsid w:val="50485D02"/>
    <w:rsid w:val="51BA678C"/>
    <w:rsid w:val="53590226"/>
    <w:rsid w:val="54CD67D6"/>
    <w:rsid w:val="550C37A2"/>
    <w:rsid w:val="552A3C28"/>
    <w:rsid w:val="56B356A6"/>
    <w:rsid w:val="56CA7FD0"/>
    <w:rsid w:val="57FA38D1"/>
    <w:rsid w:val="59875AED"/>
    <w:rsid w:val="59C97EB4"/>
    <w:rsid w:val="5F7D3333"/>
    <w:rsid w:val="60213E7A"/>
    <w:rsid w:val="61385890"/>
    <w:rsid w:val="63381C06"/>
    <w:rsid w:val="650049A6"/>
    <w:rsid w:val="687436E1"/>
    <w:rsid w:val="69140A20"/>
    <w:rsid w:val="69256789"/>
    <w:rsid w:val="6C586E75"/>
    <w:rsid w:val="6DA45C50"/>
    <w:rsid w:val="6E7D2BC3"/>
    <w:rsid w:val="6E9A7825"/>
    <w:rsid w:val="6F670F9B"/>
    <w:rsid w:val="70673514"/>
    <w:rsid w:val="70A628A5"/>
    <w:rsid w:val="71566079"/>
    <w:rsid w:val="71D074AE"/>
    <w:rsid w:val="71FD64F5"/>
    <w:rsid w:val="735A7977"/>
    <w:rsid w:val="737450E0"/>
    <w:rsid w:val="74054476"/>
    <w:rsid w:val="742F38C4"/>
    <w:rsid w:val="74AB66DC"/>
    <w:rsid w:val="74C4154C"/>
    <w:rsid w:val="75956FFF"/>
    <w:rsid w:val="77AA2D01"/>
    <w:rsid w:val="790C33A8"/>
    <w:rsid w:val="7CDE1DBD"/>
    <w:rsid w:val="7D943A85"/>
    <w:rsid w:val="7DB0448C"/>
    <w:rsid w:val="7E5F9AA4"/>
    <w:rsid w:val="7E682F48"/>
    <w:rsid w:val="7EF70770"/>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 w:type="paragraph" w:customStyle="1" w:styleId="18">
    <w:name w:val="列出段落1"/>
    <w:basedOn w:val="1"/>
    <w:qFormat/>
    <w:uiPriority w:val="34"/>
    <w:pPr>
      <w:ind w:firstLine="420" w:firstLineChars="200"/>
    </w:pPr>
    <w:rPr>
      <w:rFonts w:ascii="Calibri" w:hAnsi="Calibri" w:eastAsia="宋体" w:cs="黑体"/>
    </w:rPr>
  </w:style>
  <w:style w:type="paragraph" w:customStyle="1" w:styleId="19">
    <w:name w:val="正文-公1"/>
    <w:basedOn w:val="20"/>
    <w:next w:val="1"/>
    <w:qFormat/>
    <w:uiPriority w:val="0"/>
    <w:pPr>
      <w:ind w:firstLine="200" w:firstLineChars="200"/>
    </w:pPr>
  </w:style>
  <w:style w:type="paragraph" w:customStyle="1" w:styleId="20">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9"/>
    <w:qFormat/>
    <w:uiPriority w:val="0"/>
    <w:pPr>
      <w:widowControl w:val="0"/>
      <w:jc w:val="both"/>
    </w:pPr>
    <w:rPr>
      <w:rFonts w:ascii="Times New Roman" w:hAnsi="Times New Roman" w:eastAsia="宋体" w:cs="Times New Roman"/>
      <w:kern w:val="2"/>
      <w:sz w:val="21"/>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4839</Words>
  <Characters>5277</Characters>
  <Lines>67</Lines>
  <Paragraphs>18</Paragraphs>
  <TotalTime>9</TotalTime>
  <ScaleCrop>false</ScaleCrop>
  <LinksUpToDate>false</LinksUpToDate>
  <CharactersWithSpaces>5341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2025-10-27T07:24:54Z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9721DD0B71E9465C83CA9ABC64393B39_13</vt:lpwstr>
  </property>
  <property fmtid="{D5CDD505-2E9C-101B-9397-08002B2CF9AE}" pid="4" name="KSOTemplateDocerSaveRecord">
    <vt:lpwstr>eyJoZGlkIjoiMWQ4MTVhOTg3MWNjMmYwNzY4OTFlMDhhN2JmYmVhMDgiLCJ1c2VySWQiOiIxMjU3NDM0Nzg0In0=</vt:lpwstr>
  </property>
</Properties>
</file>