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屯昌县南坤镇中心幼儿园2024年度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bookmarkStart w:id="121" w:name="_GoBack"/>
      <w:bookmarkEnd w:id="121"/>
      <w:r>
        <w:rPr>
          <w:rFonts w:hint="eastAsia" w:ascii="方正小标宋_GBK" w:hAnsi="方正小标宋_GBK" w:eastAsia="方正小标宋_GBK" w:cs="方正小标宋_GBK"/>
          <w:b w:val="0"/>
          <w:bCs w:val="0"/>
          <w:sz w:val="44"/>
          <w:szCs w:val="44"/>
          <w:lang w:val="en-US"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2941_WPSOffice_Level1"/>
      <w:bookmarkStart w:id="3" w:name="_Toc10049_WPSOffice_Level1"/>
      <w:bookmarkStart w:id="4" w:name="_Toc32433_WPSOffice_Level1"/>
      <w:bookmarkStart w:id="5" w:name="_Toc23465_WPSOffice_Level1"/>
      <w:bookmarkStart w:id="6" w:name="_Toc10720_WPSOffice_Level1"/>
      <w:bookmarkStart w:id="7" w:name="_Toc1704_WPSOffice_Level1"/>
      <w:bookmarkStart w:id="8" w:name="_Toc24238_WPSOffice_Level2"/>
      <w:bookmarkStart w:id="9" w:name="_Toc32622_WPSOffice_Level2"/>
      <w:bookmarkStart w:id="10" w:name="_Toc20205_WPSOffice_Level2"/>
      <w:bookmarkStart w:id="11" w:name="_Toc20274_WPSOffice_Level2"/>
      <w:bookmarkStart w:id="12" w:name="_Toc14159_WPSOffice_Level2"/>
      <w:bookmarkStart w:id="13" w:name="_Toc26580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keepNext w:val="0"/>
        <w:keepLines w:val="0"/>
        <w:pageBreakBefore w:val="0"/>
        <w:widowControl w:val="0"/>
        <w:numPr>
          <w:ilvl w:val="0"/>
          <w:numId w:val="2"/>
        </w:numPr>
        <w:kinsoku/>
        <w:overflowPunct/>
        <w:topLinePunct w:val="0"/>
        <w:autoSpaceDE/>
        <w:autoSpaceDN/>
        <w:bidi w:val="0"/>
        <w:adjustRightInd/>
        <w:snapToGrid/>
        <w:spacing w:beforeAutospacing="0" w:afterAutospacing="0" w:line="578"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keepNext w:val="0"/>
        <w:keepLines w:val="0"/>
        <w:pageBreakBefore w:val="0"/>
        <w:widowControl w:val="0"/>
        <w:shd w:val="clear" w:color="auto" w:fill="FFFFFF"/>
        <w:kinsoku/>
        <w:wordWrap w:val="0"/>
        <w:overflowPunct/>
        <w:topLinePunct w:val="0"/>
        <w:autoSpaceDE/>
        <w:autoSpaceDN/>
        <w:bidi w:val="0"/>
        <w:adjustRightInd/>
        <w:snapToGrid/>
        <w:spacing w:beforeAutospacing="0" w:afterAutospacing="0" w:line="600" w:lineRule="exact"/>
        <w:ind w:left="0" w:firstLine="600" w:firstLineChars="200"/>
        <w:textAlignment w:val="auto"/>
        <w:rPr>
          <w:rFonts w:hint="eastAsia" w:ascii="仿宋" w:hAnsi="仿宋" w:eastAsia="仿宋" w:cs="仿宋"/>
          <w:kern w:val="0"/>
          <w:sz w:val="30"/>
          <w:szCs w:val="30"/>
          <w:shd w:val="clear" w:color="auto" w:fill="FFFFFF"/>
        </w:rPr>
      </w:pPr>
      <w:r>
        <w:rPr>
          <w:rFonts w:hint="eastAsia" w:ascii="仿宋" w:hAnsi="仿宋" w:eastAsia="仿宋" w:cs="仿宋"/>
          <w:kern w:val="0"/>
          <w:sz w:val="30"/>
          <w:szCs w:val="30"/>
          <w:shd w:val="clear" w:color="auto" w:fill="FFFFFF"/>
        </w:rPr>
        <w:t>（一）基本职能</w:t>
      </w:r>
    </w:p>
    <w:p>
      <w:pPr>
        <w:keepNext w:val="0"/>
        <w:keepLines w:val="0"/>
        <w:pageBreakBefore w:val="0"/>
        <w:widowControl w:val="0"/>
        <w:kinsoku/>
        <w:overflowPunct/>
        <w:topLinePunct w:val="0"/>
        <w:autoSpaceDE/>
        <w:autoSpaceDN/>
        <w:bidi w:val="0"/>
        <w:adjustRightInd/>
        <w:snapToGrid/>
        <w:spacing w:beforeAutospacing="0" w:afterAutospacing="0" w:line="600" w:lineRule="exact"/>
        <w:ind w:left="0" w:firstLine="640" w:firstLineChars="200"/>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1.为适应现代教育发展的需要，深化教育改革，全面贯彻国家的教育方针，积极推进素质教育，全面提高教育教学质量和办学效益。</w:t>
      </w:r>
    </w:p>
    <w:p>
      <w:pPr>
        <w:keepNext w:val="0"/>
        <w:keepLines w:val="0"/>
        <w:pageBreakBefore w:val="0"/>
        <w:widowControl w:val="0"/>
        <w:kinsoku/>
        <w:overflowPunct/>
        <w:topLinePunct w:val="0"/>
        <w:autoSpaceDE/>
        <w:autoSpaceDN/>
        <w:bidi w:val="0"/>
        <w:adjustRightInd/>
        <w:snapToGrid/>
        <w:spacing w:beforeAutospacing="0" w:afterAutospacing="0" w:line="600" w:lineRule="exact"/>
        <w:ind w:left="0" w:firstLine="640" w:firstLineChars="200"/>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2.实行保育和教育相结合的原则，对幼儿实施体、智、德、美诸方面全面发展的教育，促进其身心和谐发展。通过组织、指挥、协调、控制等管理职能，合理利用幼儿园建设与事业发展的各种资源，确保保教质量的提高，较好的实现预期的教育培养目标和服务队伍、服务家长的任务。</w:t>
      </w:r>
    </w:p>
    <w:p>
      <w:pPr>
        <w:keepNext w:val="0"/>
        <w:keepLines w:val="0"/>
        <w:pageBreakBefore w:val="0"/>
        <w:widowControl w:val="0"/>
        <w:kinsoku/>
        <w:overflowPunct/>
        <w:topLinePunct w:val="0"/>
        <w:autoSpaceDE/>
        <w:autoSpaceDN/>
        <w:bidi w:val="0"/>
        <w:adjustRightInd/>
        <w:snapToGrid/>
        <w:spacing w:beforeAutospacing="0" w:afterAutospacing="0" w:line="600" w:lineRule="exact"/>
        <w:ind w:left="0" w:firstLine="640" w:firstLineChars="200"/>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3.幼儿园管理人员和有关幼教执行人员遵照一定的教育方针和保教工作的客观规律，优质高效的实现国家所规定的培养目标和幼儿园工作任务。</w:t>
      </w:r>
    </w:p>
    <w:p>
      <w:pPr>
        <w:keepNext w:val="0"/>
        <w:keepLines w:val="0"/>
        <w:pageBreakBefore w:val="0"/>
        <w:widowControl w:val="0"/>
        <w:kinsoku/>
        <w:overflowPunct/>
        <w:topLinePunct w:val="0"/>
        <w:autoSpaceDE/>
        <w:autoSpaceDN/>
        <w:bidi w:val="0"/>
        <w:adjustRightInd/>
        <w:snapToGrid/>
        <w:spacing w:beforeAutospacing="0" w:afterAutospacing="0" w:line="600" w:lineRule="exact"/>
        <w:ind w:left="0" w:firstLine="640" w:firstLineChars="200"/>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（二）内设机构</w:t>
      </w:r>
    </w:p>
    <w:p>
      <w:pPr>
        <w:keepNext w:val="0"/>
        <w:keepLines w:val="0"/>
        <w:pageBreakBefore w:val="0"/>
        <w:widowControl w:val="0"/>
        <w:kinsoku/>
        <w:overflowPunct/>
        <w:topLinePunct w:val="0"/>
        <w:autoSpaceDE/>
        <w:autoSpaceDN/>
        <w:bidi w:val="0"/>
        <w:adjustRightInd/>
        <w:snapToGrid/>
        <w:spacing w:beforeAutospacing="0" w:afterAutospacing="0" w:line="600" w:lineRule="exact"/>
        <w:ind w:left="0" w:firstLine="640" w:firstLineChars="200"/>
        <w:textAlignment w:val="auto"/>
        <w:rPr>
          <w:rFonts w:hint="eastAsia" w:ascii="黑体" w:hAnsi="宋体" w:eastAsia="黑体" w:cs="黑体"/>
          <w:kern w:val="0"/>
          <w:sz w:val="32"/>
          <w:szCs w:val="32"/>
        </w:rPr>
      </w:pPr>
      <w:r>
        <w:rPr>
          <w:rFonts w:hint="eastAsia" w:ascii="仿宋_GB2312" w:hAnsi="宋体" w:eastAsia="仿宋_GB2312" w:cs="仿宋_GB2312"/>
          <w:kern w:val="0"/>
          <w:sz w:val="32"/>
          <w:szCs w:val="32"/>
          <w:shd w:val="clear" w:color="auto" w:fill="FFFFFF"/>
        </w:rPr>
        <w:t>屯昌县南坤镇中心幼儿园隶属屯昌县教育局，为财政预算管理事业单位。共有教职工</w:t>
      </w:r>
      <w:r>
        <w:rPr>
          <w:rFonts w:hint="eastAsia" w:ascii="仿宋_GB2312" w:hAnsi="宋体" w:eastAsia="仿宋_GB2312" w:cs="仿宋_GB2312"/>
          <w:kern w:val="0"/>
          <w:sz w:val="32"/>
          <w:szCs w:val="32"/>
          <w:shd w:val="clear" w:color="auto" w:fill="FFFFFF"/>
          <w:lang w:val="en-US" w:eastAsia="zh-CN"/>
        </w:rPr>
        <w:t>19</w:t>
      </w:r>
      <w:r>
        <w:rPr>
          <w:rFonts w:hint="eastAsia" w:ascii="仿宋_GB2312" w:hAnsi="宋体" w:eastAsia="仿宋_GB2312" w:cs="仿宋_GB2312"/>
          <w:kern w:val="0"/>
          <w:sz w:val="32"/>
          <w:szCs w:val="32"/>
          <w:shd w:val="clear" w:color="auto" w:fill="FFFFFF"/>
        </w:rPr>
        <w:t>人。事业编制人员</w:t>
      </w:r>
      <w:r>
        <w:rPr>
          <w:rFonts w:hint="eastAsia" w:ascii="仿宋_GB2312" w:hAnsi="宋体" w:eastAsia="仿宋_GB2312" w:cs="仿宋_GB2312"/>
          <w:kern w:val="0"/>
          <w:sz w:val="32"/>
          <w:szCs w:val="32"/>
          <w:shd w:val="clear" w:color="auto" w:fill="FFFFFF"/>
          <w:lang w:val="en-US" w:eastAsia="zh-CN"/>
        </w:rPr>
        <w:t>9</w:t>
      </w:r>
      <w:r>
        <w:rPr>
          <w:rFonts w:hint="eastAsia" w:ascii="仿宋_GB2312" w:hAnsi="宋体" w:eastAsia="仿宋_GB2312" w:cs="仿宋_GB2312"/>
          <w:kern w:val="0"/>
          <w:sz w:val="32"/>
          <w:szCs w:val="32"/>
          <w:shd w:val="clear" w:color="auto" w:fill="FFFFFF"/>
        </w:rPr>
        <w:t>人，临聘保育员</w:t>
      </w:r>
      <w:r>
        <w:rPr>
          <w:rFonts w:hint="eastAsia" w:ascii="仿宋_GB2312" w:hAnsi="宋体" w:eastAsia="仿宋_GB2312" w:cs="仿宋_GB2312"/>
          <w:kern w:val="0"/>
          <w:sz w:val="32"/>
          <w:szCs w:val="32"/>
          <w:shd w:val="clear" w:color="auto" w:fill="FFFFFF"/>
          <w:lang w:val="en-US" w:eastAsia="zh-CN"/>
        </w:rPr>
        <w:t>4</w:t>
      </w:r>
      <w:r>
        <w:rPr>
          <w:rFonts w:hint="eastAsia" w:ascii="仿宋_GB2312" w:hAnsi="宋体" w:eastAsia="仿宋_GB2312" w:cs="仿宋_GB2312"/>
          <w:kern w:val="0"/>
          <w:sz w:val="32"/>
          <w:szCs w:val="32"/>
          <w:shd w:val="clear" w:color="auto" w:fill="FFFFFF"/>
        </w:rPr>
        <w:t>人,</w:t>
      </w:r>
      <w:r>
        <w:rPr>
          <w:rFonts w:hint="eastAsia" w:ascii="仿宋_GB2312" w:hAnsi="宋体" w:eastAsia="仿宋_GB2312" w:cs="仿宋_GB2312"/>
          <w:kern w:val="0"/>
          <w:sz w:val="32"/>
          <w:szCs w:val="32"/>
          <w:shd w:val="clear" w:color="auto" w:fill="FFFFFF"/>
          <w:lang w:val="en-US" w:eastAsia="zh-CN"/>
        </w:rPr>
        <w:t>后勤人员6</w:t>
      </w:r>
      <w:r>
        <w:rPr>
          <w:rFonts w:hint="eastAsia" w:ascii="仿宋_GB2312" w:hAnsi="宋体" w:eastAsia="仿宋_GB2312" w:cs="仿宋_GB2312"/>
          <w:kern w:val="0"/>
          <w:sz w:val="32"/>
          <w:szCs w:val="32"/>
          <w:shd w:val="clear" w:color="auto" w:fill="FFFFFF"/>
        </w:rPr>
        <w:t>人。</w:t>
      </w:r>
    </w:p>
    <w:p>
      <w:pPr>
        <w:numPr>
          <w:ilvl w:val="0"/>
          <w:numId w:val="0"/>
        </w:numPr>
        <w:spacing w:line="578" w:lineRule="exact"/>
        <w:rPr>
          <w:rFonts w:hint="default" w:ascii="黑体" w:hAnsi="黑体" w:eastAsia="黑体" w:cs="黑体"/>
          <w:sz w:val="32"/>
          <w:szCs w:val="32"/>
          <w:lang w:val="en-US" w:eastAsia="zh-CN"/>
        </w:rPr>
      </w:pPr>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059_WPSOffice_Level2"/>
      <w:bookmarkStart w:id="16" w:name="_Toc17796_WPSOffice_Level2"/>
      <w:bookmarkStart w:id="17" w:name="_Toc6572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spacing w:before="100" w:beforeAutospacing="1" w:after="100" w:afterAutospacing="1"/>
        <w:ind w:left="0" w:firstLine="640" w:firstLineChars="200"/>
        <w:rPr>
          <w:rFonts w:hint="eastAsia" w:ascii="仿宋_GB2312" w:hAnsi="ˎ̥" w:eastAsia="仿宋_GB2312" w:cs="仿宋_GB2312"/>
          <w:kern w:val="0"/>
          <w:sz w:val="32"/>
          <w:szCs w:val="32"/>
        </w:rPr>
      </w:pPr>
      <w:bookmarkStart w:id="19" w:name="_Toc25738_WPSOffice_Level2"/>
      <w:bookmarkStart w:id="20" w:name="_Toc24421_WPSOffice_Level2"/>
      <w:r>
        <w:rPr>
          <w:rFonts w:hint="eastAsia" w:ascii="仿宋_GB2312" w:hAnsi="ˎ̥" w:eastAsia="仿宋_GB2312" w:cs="仿宋_GB2312"/>
          <w:kern w:val="0"/>
          <w:sz w:val="32"/>
          <w:szCs w:val="32"/>
        </w:rPr>
        <w:t>纳入屯昌县南坤镇中心幼儿园202</w:t>
      </w:r>
      <w:r>
        <w:rPr>
          <w:rFonts w:hint="eastAsia" w:ascii="仿宋_GB2312" w:hAnsi="ˎ̥" w:eastAsia="仿宋_GB2312" w:cs="仿宋_GB2312"/>
          <w:kern w:val="0"/>
          <w:sz w:val="32"/>
          <w:szCs w:val="32"/>
          <w:lang w:val="en-US" w:eastAsia="zh-CN"/>
        </w:rPr>
        <w:t>3</w:t>
      </w:r>
      <w:r>
        <w:rPr>
          <w:rFonts w:hint="eastAsia" w:ascii="仿宋_GB2312" w:hAnsi="ˎ̥" w:eastAsia="仿宋_GB2312" w:cs="仿宋_GB2312"/>
          <w:kern w:val="0"/>
          <w:sz w:val="32"/>
          <w:szCs w:val="32"/>
        </w:rPr>
        <w:t>年度</w:t>
      </w:r>
      <w:r>
        <w:rPr>
          <w:rFonts w:hint="eastAsia" w:ascii="仿宋_GB2312" w:hAnsi="ˎ̥" w:eastAsia="仿宋_GB2312" w:cs="仿宋_GB2312"/>
          <w:kern w:val="0"/>
          <w:sz w:val="32"/>
          <w:szCs w:val="32"/>
          <w:lang w:val="en-US" w:eastAsia="zh-CN"/>
        </w:rPr>
        <w:t>单位</w:t>
      </w:r>
      <w:r>
        <w:rPr>
          <w:rFonts w:hint="eastAsia" w:ascii="仿宋_GB2312" w:hAnsi="ˎ̥" w:eastAsia="仿宋_GB2312" w:cs="仿宋_GB2312"/>
          <w:kern w:val="0"/>
          <w:sz w:val="32"/>
          <w:szCs w:val="32"/>
        </w:rPr>
        <w:t>决算编制范围的单位共1个，包括：</w:t>
      </w:r>
    </w:p>
    <w:p>
      <w:pPr>
        <w:numPr>
          <w:ilvl w:val="0"/>
          <w:numId w:val="3"/>
        </w:numPr>
        <w:spacing w:line="578" w:lineRule="exact"/>
        <w:ind w:firstLine="640" w:firstLineChars="200"/>
        <w:rPr>
          <w:rFonts w:hint="eastAsia" w:ascii="黑体" w:hAnsi="ˎ̥" w:eastAsia="黑体"/>
          <w:sz w:val="32"/>
          <w:szCs w:val="32"/>
        </w:rPr>
      </w:pPr>
      <w:r>
        <w:rPr>
          <w:rFonts w:hint="eastAsia" w:ascii="楷体" w:hAnsi="楷体" w:eastAsia="楷体" w:cs="楷体"/>
          <w:kern w:val="0"/>
          <w:sz w:val="32"/>
          <w:szCs w:val="32"/>
        </w:rPr>
        <w:t>屯昌县南坤镇中心幼儿园</w:t>
      </w:r>
      <w:r>
        <w:rPr>
          <w:rFonts w:hint="eastAsia" w:ascii="楷体" w:hAnsi="楷体" w:eastAsia="楷体" w:cs="楷体"/>
          <w:kern w:val="0"/>
          <w:sz w:val="32"/>
          <w:szCs w:val="32"/>
          <w:lang w:val="en-US" w:eastAsia="zh-CN"/>
        </w:rPr>
        <w:t>单位</w:t>
      </w:r>
      <w:r>
        <w:rPr>
          <w:rFonts w:hint="eastAsia" w:ascii="楷体" w:hAnsi="楷体" w:eastAsia="楷体" w:cs="楷体"/>
          <w:kern w:val="0"/>
          <w:sz w:val="32"/>
          <w:szCs w:val="32"/>
        </w:rPr>
        <w:t>本级。</w:t>
      </w:r>
      <w:bookmarkEnd w:id="19"/>
      <w:bookmarkEnd w:id="20"/>
      <w:bookmarkStart w:id="21" w:name="_Toc8164_WPSOffice_Level1"/>
      <w:bookmarkStart w:id="22" w:name="_Toc28253_WPSOffice_Level1"/>
      <w:bookmarkStart w:id="23" w:name="_Toc15521_WPSOffice_Level1"/>
      <w:bookmarkStart w:id="24" w:name="_Toc30690_WPSOffice_Level1"/>
      <w:bookmarkStart w:id="25" w:name="_Toc30451_WPSOffice_Level1"/>
      <w:bookmarkStart w:id="26" w:name="_Toc6234_WPSOffice_Level1"/>
      <w:bookmarkStart w:id="27" w:name="_Toc6211_WPSOffice_Level2"/>
      <w:bookmarkStart w:id="28" w:name="_Toc8867_WPSOffice_Level2"/>
      <w:bookmarkStart w:id="29" w:name="_Toc32472_WPSOffice_Level2"/>
      <w:bookmarkStart w:id="30" w:name="_Toc4029_WPSOffice_Level2"/>
      <w:bookmarkStart w:id="31" w:name="_Toc32695_WPSOffice_Level2"/>
      <w:bookmarkStart w:id="32" w:name="_Toc11518_WPSOffice_Level2"/>
    </w:p>
    <w:p>
      <w:pPr>
        <w:numPr>
          <w:ilvl w:val="0"/>
          <w:numId w:val="0"/>
        </w:numPr>
        <w:spacing w:line="578" w:lineRule="exact"/>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8622_WPSOffice_Level2"/>
      <w:bookmarkStart w:id="34" w:name="_Toc26621_WPSOffice_Level2"/>
      <w:bookmarkStart w:id="35" w:name="_Toc23139_WPSOffice_Level2"/>
      <w:bookmarkStart w:id="36" w:name="_Toc25608_WPSOffice_Level2"/>
      <w:bookmarkStart w:id="37" w:name="_Toc14349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3262_WPSOffice_Level2"/>
      <w:bookmarkStart w:id="40" w:name="_Toc14658_WPSOffice_Level2"/>
      <w:bookmarkStart w:id="41" w:name="_Toc17858_WPSOffice_Level2"/>
      <w:bookmarkStart w:id="42" w:name="_Toc17626_WPSOffice_Level2"/>
      <w:bookmarkStart w:id="43" w:name="_Toc5489_WPSOffice_Level2"/>
      <w:bookmarkStart w:id="44"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591_WPSOffice_Level2"/>
      <w:bookmarkStart w:id="46" w:name="_Toc23493_WPSOffice_Level2"/>
      <w:bookmarkStart w:id="47" w:name="_Toc13701_WPSOffice_Level2"/>
      <w:bookmarkStart w:id="48" w:name="_Toc21415_WPSOffice_Level2"/>
      <w:bookmarkStart w:id="49" w:name="_Toc7988_WPSOffice_Level2"/>
      <w:bookmarkStart w:id="50"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5166_WPSOffice_Level2"/>
      <w:bookmarkStart w:id="52" w:name="_Toc22783_WPSOffice_Level2"/>
      <w:bookmarkStart w:id="53" w:name="_Toc23829_WPSOffice_Level2"/>
      <w:bookmarkStart w:id="54" w:name="_Toc787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833_WPSOffice_Level2"/>
      <w:bookmarkStart w:id="58" w:name="_Toc8373_WPSOffice_Level2"/>
      <w:bookmarkStart w:id="59" w:name="_Toc2632_WPSOffice_Level2"/>
      <w:bookmarkStart w:id="60" w:name="_Toc5343_WPSOffice_Level2"/>
      <w:bookmarkStart w:id="61" w:name="_Toc25362_WPSOffice_Level2"/>
      <w:bookmarkStart w:id="62" w:name="_Toc1728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6020_WPSOffice_Level2"/>
      <w:bookmarkStart w:id="65" w:name="_Toc5594_WPSOffice_Level2"/>
      <w:bookmarkStart w:id="66" w:name="_Toc13345_WPSOffice_Level2"/>
      <w:bookmarkStart w:id="67" w:name="_Toc1533_WPSOffice_Level2"/>
      <w:bookmarkStart w:id="68" w:name="_Toc2131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9377_WPSOffice_Level2"/>
      <w:bookmarkStart w:id="71" w:name="_Toc1820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16686_WPSOffice_Level1"/>
      <w:bookmarkStart w:id="74" w:name="_Toc31264_WPSOffice_Level1"/>
      <w:bookmarkStart w:id="75" w:name="_Toc27590_WPSOffice_Level1"/>
      <w:bookmarkStart w:id="76" w:name="_Toc29683_WPSOffice_Level1"/>
      <w:bookmarkStart w:id="77" w:name="_Toc4402_WPSOffice_Level1"/>
      <w:bookmarkStart w:id="78"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val="en-US"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年度相比，收入、支出总计各减少</w:t>
      </w:r>
      <w:r>
        <w:rPr>
          <w:rFonts w:hint="eastAsia" w:ascii="仿宋_GB2312" w:hAnsi="ˎ̥" w:eastAsia="仿宋_GB2312"/>
          <w:color w:val="FF0000"/>
          <w:sz w:val="32"/>
          <w:szCs w:val="32"/>
          <w:lang w:val="en-US" w:eastAsia="zh-CN"/>
        </w:rPr>
        <w:t>51.18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14.66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人员减少，人员经费减少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1.29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结转结余的钱已上缴国库</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248.03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83.23</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49.96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16.77</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49.89</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14.34</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人员减少，人员经费减少</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49.98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14.36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人员减少，人员经费减少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0.10</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结转结余的钱已上缴国库</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23005_WPSOffice_Level2"/>
      <w:bookmarkStart w:id="80" w:name="_Toc13694_WPSOffice_Level2"/>
      <w:bookmarkStart w:id="81" w:name="_Toc9989_WPSOffice_Level2"/>
      <w:bookmarkStart w:id="82" w:name="_Toc21737_WPSOffice_Level2"/>
      <w:bookmarkStart w:id="83" w:name="_Toc17398_WPSOffice_Level2"/>
      <w:bookmarkStart w:id="84" w:name="_Toc1966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年度相比，一般公共预算财政拨款支出减少</w:t>
      </w:r>
      <w:r>
        <w:rPr>
          <w:rFonts w:hint="eastAsia" w:ascii="仿宋_GB2312" w:hAnsi="ˎ̥" w:eastAsia="仿宋_GB2312"/>
          <w:color w:val="FF0000"/>
          <w:sz w:val="32"/>
          <w:szCs w:val="32"/>
          <w:lang w:val="en-US" w:eastAsia="zh-CN"/>
        </w:rPr>
        <w:t>49.98</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14.36</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人员减少，人员经费减少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9535_WPSOffice_Level2"/>
      <w:bookmarkStart w:id="86" w:name="_Toc18793_WPSOffice_Level2"/>
      <w:bookmarkStart w:id="87" w:name="_Toc27767_WPSOffice_Level2"/>
      <w:bookmarkStart w:id="88" w:name="_Toc23864_WPSOffice_Level2"/>
      <w:bookmarkStart w:id="89" w:name="_Toc19075_WPSOffice_Level2"/>
      <w:bookmarkStart w:id="90" w:name="_Toc2711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223.76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75.09</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31.20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10.47</w:t>
      </w:r>
      <w:r>
        <w:rPr>
          <w:rFonts w:hint="eastAsia" w:ascii="仿宋_GB2312" w:hAnsi="ˎ̥" w:eastAsia="仿宋_GB2312"/>
          <w:sz w:val="32"/>
          <w:szCs w:val="32"/>
        </w:rPr>
        <w:t>%；</w:t>
      </w:r>
      <w:r>
        <w:rPr>
          <w:rFonts w:hint="eastAsia" w:ascii="仿宋_GB2312" w:hAnsi="ˎ̥" w:eastAsia="仿宋_GB2312"/>
          <w:b/>
          <w:bCs/>
          <w:sz w:val="32"/>
          <w:szCs w:val="32"/>
        </w:rPr>
        <w:t>卫生健康支出</w:t>
      </w:r>
      <w:r>
        <w:rPr>
          <w:rFonts w:hint="eastAsia" w:ascii="仿宋_GB2312" w:hAnsi="ˎ̥" w:eastAsia="仿宋_GB2312"/>
          <w:b/>
          <w:sz w:val="32"/>
          <w:szCs w:val="32"/>
        </w:rPr>
        <w:t>（类）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25.27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8.48</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17.75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5.96</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2318_WPSOffice_Level2"/>
      <w:bookmarkStart w:id="92" w:name="_Toc21701_WPSOffice_Level2"/>
      <w:bookmarkStart w:id="93" w:name="_Toc9502_WPSOffice_Level2"/>
      <w:bookmarkStart w:id="94" w:name="_Toc25136_WPSOffice_Level2"/>
      <w:bookmarkStart w:id="95" w:name="_Toc29364_WPSOffice_Level2"/>
      <w:bookmarkStart w:id="96" w:name="_Toc15415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282.83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297.99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105.36</w:t>
      </w:r>
      <w:r>
        <w:rPr>
          <w:rFonts w:hint="eastAsia" w:ascii="仿宋_GB2312" w:hAnsi="ˎ̥" w:eastAsia="仿宋_GB2312"/>
          <w:sz w:val="32"/>
          <w:szCs w:val="32"/>
        </w:rPr>
        <w:t>%。其中：</w:t>
      </w:r>
    </w:p>
    <w:p>
      <w:pPr>
        <w:shd w:val="clear" w:color="auto" w:fill="FFFFFF"/>
        <w:spacing w:before="100" w:beforeAutospacing="1" w:after="100" w:afterAutospacing="1"/>
        <w:ind w:left="0" w:firstLine="643" w:firstLineChars="200"/>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b/>
          <w:kern w:val="0"/>
          <w:sz w:val="32"/>
          <w:szCs w:val="32"/>
          <w:shd w:val="clear" w:color="auto" w:fill="FFFFFF"/>
        </w:rPr>
        <w:t>1.教育支出（类）</w:t>
      </w:r>
    </w:p>
    <w:p>
      <w:pPr>
        <w:shd w:val="clear" w:color="auto" w:fill="FFFFFF"/>
        <w:spacing w:before="100" w:beforeAutospacing="1" w:after="100" w:afterAutospacing="1"/>
        <w:ind w:left="0" w:firstLine="640" w:firstLineChars="200"/>
        <w:rPr>
          <w:rFonts w:hint="eastAsia" w:ascii="仿宋_GB2312" w:hAnsi="ˎ̥" w:eastAsia="仿宋_GB2312" w:cs="仿宋_GB2312"/>
          <w:kern w:val="0"/>
          <w:sz w:val="32"/>
          <w:szCs w:val="32"/>
          <w:shd w:val="clear" w:color="auto" w:fill="FFFFFF"/>
        </w:rPr>
      </w:pPr>
      <w:r>
        <w:rPr>
          <w:rFonts w:hint="eastAsia" w:ascii="仿宋_GB2312" w:hAnsi="ˎ̥" w:eastAsia="仿宋_GB2312" w:cs="仿宋_GB2312"/>
          <w:kern w:val="0"/>
          <w:sz w:val="32"/>
          <w:szCs w:val="32"/>
          <w:shd w:val="clear" w:color="auto" w:fill="FFFFFF"/>
        </w:rPr>
        <w:t>年初预算为</w:t>
      </w:r>
      <w:r>
        <w:rPr>
          <w:rFonts w:hint="eastAsia" w:ascii="仿宋_GB2312" w:hAnsi="ˎ̥" w:eastAsia="仿宋_GB2312" w:cs="仿宋_GB2312"/>
          <w:color w:val="FF0000"/>
          <w:kern w:val="0"/>
          <w:sz w:val="32"/>
          <w:szCs w:val="32"/>
          <w:shd w:val="clear" w:color="auto" w:fill="FFFFFF"/>
          <w:lang w:val="en-US" w:eastAsia="zh-CN"/>
        </w:rPr>
        <w:t>195.20</w:t>
      </w:r>
      <w:r>
        <w:rPr>
          <w:rFonts w:hint="eastAsia" w:ascii="仿宋_GB2312" w:hAnsi="ˎ̥" w:eastAsia="仿宋_GB2312" w:cs="仿宋_GB2312"/>
          <w:kern w:val="0"/>
          <w:sz w:val="32"/>
          <w:szCs w:val="32"/>
          <w:shd w:val="clear" w:color="auto" w:fill="FFFFFF"/>
        </w:rPr>
        <w:t>万元，支出决算为</w:t>
      </w:r>
      <w:r>
        <w:rPr>
          <w:rFonts w:hint="eastAsia" w:ascii="仿宋_GB2312" w:hAnsi="ˎ̥" w:eastAsia="仿宋_GB2312"/>
          <w:color w:val="FF0000"/>
          <w:sz w:val="32"/>
          <w:szCs w:val="32"/>
          <w:lang w:val="en-US" w:eastAsia="zh-CN"/>
        </w:rPr>
        <w:t>223.76</w:t>
      </w:r>
      <w:r>
        <w:rPr>
          <w:rFonts w:hint="eastAsia"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color w:val="FF0000"/>
          <w:kern w:val="0"/>
          <w:sz w:val="32"/>
          <w:szCs w:val="32"/>
          <w:shd w:val="clear" w:color="auto" w:fill="FFFFFF"/>
          <w:lang w:val="en-US" w:eastAsia="zh-CN"/>
        </w:rPr>
        <w:t>114.63</w:t>
      </w:r>
      <w:r>
        <w:rPr>
          <w:rFonts w:hint="eastAsia" w:ascii="仿宋_GB2312" w:hAnsi="ˎ̥" w:eastAsia="仿宋_GB2312" w:cs="仿宋_GB2312"/>
          <w:kern w:val="0"/>
          <w:sz w:val="32"/>
          <w:szCs w:val="32"/>
          <w:shd w:val="clear" w:color="auto" w:fill="FFFFFF"/>
        </w:rPr>
        <w:t>%。工资福利增加，相应经费增加。</w:t>
      </w:r>
    </w:p>
    <w:p>
      <w:pPr>
        <w:shd w:val="clear" w:color="auto" w:fill="FFFFFF"/>
        <w:spacing w:before="100" w:beforeAutospacing="1" w:after="100" w:afterAutospacing="1"/>
        <w:ind w:left="0" w:firstLine="643" w:firstLineChars="200"/>
        <w:rPr>
          <w:rFonts w:hint="eastAsia" w:ascii="仿宋_GB2312" w:hAnsi="ˎ̥" w:eastAsia="仿宋_GB2312" w:cs="仿宋_GB2312"/>
          <w:b/>
          <w:kern w:val="0"/>
          <w:sz w:val="32"/>
          <w:szCs w:val="32"/>
          <w:shd w:val="clear" w:color="auto" w:fill="FFFFFF"/>
        </w:rPr>
      </w:pPr>
      <w:r>
        <w:rPr>
          <w:rFonts w:hint="eastAsia" w:ascii="仿宋_GB2312" w:hAnsi="ˎ̥" w:eastAsia="仿宋_GB2312" w:cs="仿宋_GB2312"/>
          <w:b/>
          <w:kern w:val="0"/>
          <w:sz w:val="32"/>
          <w:szCs w:val="32"/>
          <w:shd w:val="clear" w:color="auto" w:fill="FFFFFF"/>
        </w:rPr>
        <w:t>2.社会保障和就业（类）</w:t>
      </w:r>
    </w:p>
    <w:p>
      <w:pPr>
        <w:shd w:val="clear" w:color="auto" w:fill="FFFFFF"/>
        <w:spacing w:before="100" w:beforeAutospacing="1" w:after="100" w:afterAutospacing="1"/>
        <w:ind w:left="0" w:firstLine="640" w:firstLineChars="200"/>
        <w:rPr>
          <w:rFonts w:hint="eastAsia" w:ascii="仿宋_GB2312" w:hAnsi="ˎ̥" w:eastAsia="仿宋_GB2312" w:cs="仿宋_GB2312"/>
          <w:b/>
          <w:kern w:val="0"/>
          <w:sz w:val="32"/>
          <w:szCs w:val="32"/>
          <w:shd w:val="clear" w:color="auto" w:fill="FFFFFF"/>
        </w:rPr>
      </w:pPr>
      <w:r>
        <w:rPr>
          <w:rFonts w:hint="eastAsia" w:ascii="仿宋_GB2312" w:hAnsi="ˎ̥" w:eastAsia="仿宋_GB2312" w:cs="仿宋_GB2312"/>
          <w:kern w:val="0"/>
          <w:sz w:val="32"/>
          <w:szCs w:val="32"/>
          <w:shd w:val="clear" w:color="auto" w:fill="FFFFFF"/>
        </w:rPr>
        <w:t>年初预算为</w:t>
      </w:r>
      <w:r>
        <w:rPr>
          <w:rFonts w:hint="eastAsia" w:ascii="仿宋_GB2312" w:hAnsi="ˎ̥" w:eastAsia="仿宋_GB2312" w:cs="仿宋_GB2312"/>
          <w:color w:val="FF0000"/>
          <w:kern w:val="0"/>
          <w:sz w:val="32"/>
          <w:szCs w:val="32"/>
          <w:shd w:val="clear" w:color="auto" w:fill="FFFFFF"/>
        </w:rPr>
        <w:t>36.48</w:t>
      </w:r>
      <w:r>
        <w:rPr>
          <w:rFonts w:hint="eastAsia" w:ascii="仿宋_GB2312" w:hAnsi="ˎ̥" w:eastAsia="仿宋_GB2312" w:cs="仿宋_GB2312"/>
          <w:kern w:val="0"/>
          <w:sz w:val="32"/>
          <w:szCs w:val="32"/>
          <w:shd w:val="clear" w:color="auto" w:fill="FFFFFF"/>
        </w:rPr>
        <w:t>万元，支出决算为</w:t>
      </w:r>
      <w:r>
        <w:rPr>
          <w:rFonts w:hint="eastAsia" w:ascii="仿宋_GB2312" w:hAnsi="ˎ̥" w:eastAsia="仿宋_GB2312"/>
          <w:color w:val="FF0000"/>
          <w:sz w:val="32"/>
          <w:szCs w:val="32"/>
          <w:lang w:val="en-US" w:eastAsia="zh-CN"/>
        </w:rPr>
        <w:t>31.20</w:t>
      </w:r>
      <w:r>
        <w:rPr>
          <w:rFonts w:hint="eastAsia" w:ascii="仿宋_GB2312" w:hAnsi="ˎ̥" w:eastAsia="仿宋_GB2312" w:cs="仿宋_GB2312"/>
          <w:kern w:val="0"/>
          <w:sz w:val="32"/>
          <w:szCs w:val="32"/>
          <w:shd w:val="clear" w:color="auto" w:fill="FFFFFF"/>
        </w:rPr>
        <w:t>元，完成年初预算的</w:t>
      </w:r>
      <w:r>
        <w:rPr>
          <w:rFonts w:hint="eastAsia" w:ascii="仿宋_GB2312" w:hAnsi="ˎ̥" w:eastAsia="仿宋_GB2312" w:cs="仿宋_GB2312"/>
          <w:color w:val="FF0000"/>
          <w:kern w:val="0"/>
          <w:sz w:val="32"/>
          <w:szCs w:val="32"/>
          <w:shd w:val="clear" w:color="auto" w:fill="FFFFFF"/>
          <w:lang w:val="en-US" w:eastAsia="zh-CN"/>
        </w:rPr>
        <w:t>85.53</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人员调出</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支出减少</w:t>
      </w:r>
      <w:r>
        <w:rPr>
          <w:rFonts w:hint="eastAsia" w:ascii="仿宋_GB2312" w:hAnsi="ˎ̥" w:eastAsia="仿宋_GB2312" w:cs="仿宋_GB2312"/>
          <w:kern w:val="0"/>
          <w:sz w:val="32"/>
          <w:szCs w:val="32"/>
          <w:shd w:val="clear" w:color="auto" w:fill="FFFFFF"/>
        </w:rPr>
        <w:t>。</w:t>
      </w:r>
    </w:p>
    <w:p>
      <w:pPr>
        <w:shd w:val="clear" w:color="auto" w:fill="FFFFFF"/>
        <w:spacing w:before="100" w:beforeAutospacing="1" w:after="100" w:afterAutospacing="1"/>
        <w:ind w:left="0" w:firstLine="643" w:firstLineChars="200"/>
        <w:rPr>
          <w:rFonts w:hint="eastAsia" w:ascii="仿宋_GB2312" w:hAnsi="ˎ̥" w:eastAsia="仿宋_GB2312" w:cs="仿宋_GB2312"/>
          <w:b/>
          <w:kern w:val="0"/>
          <w:sz w:val="32"/>
          <w:szCs w:val="32"/>
          <w:shd w:val="clear" w:color="auto" w:fill="FFFFFF"/>
        </w:rPr>
      </w:pPr>
      <w:r>
        <w:rPr>
          <w:rFonts w:hint="eastAsia" w:ascii="仿宋_GB2312" w:hAnsi="ˎ̥" w:eastAsia="仿宋_GB2312" w:cs="仿宋_GB2312"/>
          <w:b/>
          <w:kern w:val="0"/>
          <w:sz w:val="32"/>
          <w:szCs w:val="32"/>
          <w:shd w:val="clear" w:color="auto" w:fill="FFFFFF"/>
        </w:rPr>
        <w:t>3.卫生健康支出（类）</w:t>
      </w:r>
    </w:p>
    <w:p>
      <w:pPr>
        <w:shd w:val="clear" w:color="auto" w:fill="FFFFFF"/>
        <w:spacing w:before="100" w:beforeAutospacing="1" w:after="100" w:afterAutospacing="1"/>
        <w:ind w:left="0" w:firstLine="640" w:firstLineChars="200"/>
        <w:rPr>
          <w:rFonts w:hint="eastAsia" w:ascii="仿宋_GB2312" w:hAnsi="ˎ̥" w:eastAsia="仿宋_GB2312" w:cs="仿宋_GB2312"/>
          <w:b/>
          <w:kern w:val="0"/>
          <w:sz w:val="32"/>
          <w:szCs w:val="32"/>
          <w:shd w:val="clear" w:color="auto" w:fill="FFFFFF"/>
        </w:rPr>
      </w:pPr>
      <w:r>
        <w:rPr>
          <w:rFonts w:hint="eastAsia" w:ascii="仿宋_GB2312" w:hAnsi="ˎ̥" w:eastAsia="仿宋_GB2312" w:cs="仿宋_GB2312"/>
          <w:kern w:val="0"/>
          <w:sz w:val="32"/>
          <w:szCs w:val="32"/>
          <w:shd w:val="clear" w:color="auto" w:fill="FFFFFF"/>
        </w:rPr>
        <w:t>年初预算为</w:t>
      </w:r>
      <w:r>
        <w:rPr>
          <w:rFonts w:hint="eastAsia" w:ascii="仿宋_GB2312" w:hAnsi="ˎ̥" w:eastAsia="仿宋_GB2312" w:cs="仿宋_GB2312"/>
          <w:color w:val="FF0000"/>
          <w:kern w:val="0"/>
          <w:sz w:val="32"/>
          <w:szCs w:val="32"/>
          <w:shd w:val="clear" w:color="auto" w:fill="FFFFFF"/>
        </w:rPr>
        <w:t>29.69</w:t>
      </w:r>
      <w:r>
        <w:rPr>
          <w:rFonts w:hint="eastAsia" w:ascii="仿宋_GB2312" w:hAnsi="ˎ̥" w:eastAsia="仿宋_GB2312" w:cs="仿宋_GB2312"/>
          <w:kern w:val="0"/>
          <w:sz w:val="32"/>
          <w:szCs w:val="32"/>
          <w:shd w:val="clear" w:color="auto" w:fill="FFFFFF"/>
        </w:rPr>
        <w:t>万元，支出决算为</w:t>
      </w:r>
      <w:r>
        <w:rPr>
          <w:rFonts w:hint="eastAsia" w:ascii="仿宋_GB2312" w:hAnsi="ˎ̥" w:eastAsia="仿宋_GB2312"/>
          <w:color w:val="FF0000"/>
          <w:sz w:val="32"/>
          <w:szCs w:val="32"/>
          <w:lang w:val="en-US" w:eastAsia="zh-CN"/>
        </w:rPr>
        <w:t>25.27</w:t>
      </w:r>
      <w:r>
        <w:rPr>
          <w:rFonts w:hint="eastAsia"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color w:val="FF0000"/>
          <w:kern w:val="0"/>
          <w:sz w:val="32"/>
          <w:szCs w:val="32"/>
          <w:shd w:val="clear" w:color="auto" w:fill="FFFFFF"/>
          <w:lang w:val="en-US" w:eastAsia="zh-CN"/>
        </w:rPr>
        <w:t>85.11</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人员调出</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支出减少</w:t>
      </w:r>
      <w:r>
        <w:rPr>
          <w:rFonts w:hint="eastAsia" w:ascii="仿宋_GB2312" w:hAnsi="ˎ̥" w:eastAsia="仿宋_GB2312" w:cs="仿宋_GB2312"/>
          <w:kern w:val="0"/>
          <w:sz w:val="32"/>
          <w:szCs w:val="32"/>
          <w:shd w:val="clear" w:color="auto" w:fill="FFFFFF"/>
        </w:rPr>
        <w:t>。。</w:t>
      </w:r>
    </w:p>
    <w:p>
      <w:pPr>
        <w:shd w:val="clear" w:color="auto" w:fill="FFFFFF"/>
        <w:spacing w:before="100" w:beforeAutospacing="1" w:after="100" w:afterAutospacing="1"/>
        <w:ind w:left="0" w:firstLine="643" w:firstLineChars="200"/>
        <w:rPr>
          <w:rFonts w:hint="eastAsia" w:ascii="仿宋_GB2312" w:hAnsi="ˎ̥" w:eastAsia="仿宋_GB2312" w:cs="仿宋_GB2312"/>
          <w:b/>
          <w:kern w:val="0"/>
          <w:sz w:val="32"/>
          <w:szCs w:val="32"/>
          <w:shd w:val="clear" w:color="auto" w:fill="FFFFFF"/>
        </w:rPr>
      </w:pPr>
      <w:r>
        <w:rPr>
          <w:rFonts w:hint="eastAsia" w:ascii="仿宋_GB2312" w:hAnsi="ˎ̥" w:eastAsia="仿宋_GB2312" w:cs="仿宋_GB2312"/>
          <w:b/>
          <w:kern w:val="0"/>
          <w:sz w:val="32"/>
          <w:szCs w:val="32"/>
          <w:shd w:val="clear" w:color="auto" w:fill="FFFFFF"/>
        </w:rPr>
        <w:t>4.住房保障（类）</w:t>
      </w:r>
    </w:p>
    <w:p>
      <w:pPr>
        <w:spacing w:before="100" w:beforeAutospacing="1" w:after="100" w:afterAutospacing="1"/>
        <w:ind w:left="0" w:firstLine="640" w:firstLineChars="200"/>
        <w:rPr>
          <w:rFonts w:hint="eastAsia" w:ascii="仿宋_GB2312" w:hAnsi="ˎ̥" w:eastAsia="仿宋_GB2312"/>
          <w:sz w:val="32"/>
          <w:szCs w:val="32"/>
        </w:rPr>
      </w:pPr>
      <w:r>
        <w:rPr>
          <w:rFonts w:hint="eastAsia" w:ascii="仿宋_GB2312" w:hAnsi="ˎ̥" w:eastAsia="仿宋_GB2312" w:cs="仿宋_GB2312"/>
          <w:kern w:val="0"/>
          <w:sz w:val="32"/>
          <w:szCs w:val="32"/>
          <w:shd w:val="clear" w:color="auto" w:fill="FFFFFF"/>
        </w:rPr>
        <w:t>年初预算为</w:t>
      </w:r>
      <w:r>
        <w:rPr>
          <w:rFonts w:hint="eastAsia" w:ascii="仿宋_GB2312" w:hAnsi="ˎ̥" w:eastAsia="仿宋_GB2312" w:cs="仿宋_GB2312"/>
          <w:color w:val="FF0000"/>
          <w:kern w:val="0"/>
          <w:sz w:val="32"/>
          <w:szCs w:val="32"/>
          <w:shd w:val="clear" w:color="auto" w:fill="FFFFFF"/>
        </w:rPr>
        <w:t>21.47</w:t>
      </w:r>
      <w:r>
        <w:rPr>
          <w:rFonts w:hint="eastAsia" w:ascii="仿宋_GB2312" w:hAnsi="ˎ̥" w:eastAsia="仿宋_GB2312" w:cs="仿宋_GB2312"/>
          <w:kern w:val="0"/>
          <w:sz w:val="32"/>
          <w:szCs w:val="32"/>
          <w:shd w:val="clear" w:color="auto" w:fill="FFFFFF"/>
        </w:rPr>
        <w:t>万元，支出决算为</w:t>
      </w:r>
      <w:r>
        <w:rPr>
          <w:rFonts w:hint="eastAsia" w:ascii="仿宋_GB2312" w:hAnsi="ˎ̥" w:eastAsia="仿宋_GB2312"/>
          <w:color w:val="FF0000"/>
          <w:sz w:val="32"/>
          <w:szCs w:val="32"/>
          <w:lang w:val="en-US" w:eastAsia="zh-CN"/>
        </w:rPr>
        <w:t>17.75</w:t>
      </w:r>
      <w:r>
        <w:rPr>
          <w:rFonts w:hint="eastAsia" w:ascii="仿宋_GB2312" w:hAnsi="ˎ̥" w:eastAsia="仿宋_GB2312" w:cs="仿宋_GB2312"/>
          <w:kern w:val="0"/>
          <w:sz w:val="32"/>
          <w:szCs w:val="32"/>
          <w:shd w:val="clear" w:color="auto" w:fill="FFFFFF"/>
        </w:rPr>
        <w:t>万元，完成年初预算的</w:t>
      </w:r>
      <w:r>
        <w:rPr>
          <w:rFonts w:hint="eastAsia" w:ascii="仿宋_GB2312" w:hAnsi="ˎ̥" w:eastAsia="仿宋_GB2312" w:cs="仿宋_GB2312"/>
          <w:color w:val="FF0000"/>
          <w:kern w:val="0"/>
          <w:sz w:val="32"/>
          <w:szCs w:val="32"/>
          <w:shd w:val="clear" w:color="auto" w:fill="FFFFFF"/>
          <w:lang w:val="en-US" w:eastAsia="zh-CN"/>
        </w:rPr>
        <w:t>82.67</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人员调出</w:t>
      </w:r>
      <w:r>
        <w:rPr>
          <w:rFonts w:hint="eastAsia" w:ascii="仿宋_GB2312" w:hAnsi="ˎ̥" w:eastAsia="仿宋_GB2312" w:cs="仿宋_GB2312"/>
          <w:kern w:val="0"/>
          <w:sz w:val="32"/>
          <w:szCs w:val="32"/>
          <w:shd w:val="clear" w:color="auto" w:fill="FFFFFF"/>
        </w:rPr>
        <w:t>，</w:t>
      </w:r>
      <w:r>
        <w:rPr>
          <w:rFonts w:hint="eastAsia" w:ascii="仿宋_GB2312" w:hAnsi="ˎ̥" w:eastAsia="仿宋_GB2312" w:cs="仿宋_GB2312"/>
          <w:kern w:val="0"/>
          <w:sz w:val="32"/>
          <w:szCs w:val="32"/>
          <w:shd w:val="clear" w:color="auto" w:fill="FFFFFF"/>
          <w:lang w:val="en-US" w:eastAsia="zh-CN"/>
        </w:rPr>
        <w:t>支出减少</w:t>
      </w:r>
      <w:r>
        <w:rPr>
          <w:rFonts w:hint="eastAsia" w:ascii="仿宋_GB2312" w:hAnsi="ˎ̥" w:eastAsia="仿宋_GB2312" w:cs="仿宋_GB2312"/>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eastAsia="zh-CN"/>
        </w:rPr>
        <w:t>248.03</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244.42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3.60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仿宋_GB2312" w:eastAsia="仿宋_GB2312"/>
          <w:sz w:val="32"/>
          <w:szCs w:val="32"/>
        </w:rPr>
      </w:pPr>
      <w:r>
        <w:rPr>
          <w:rFonts w:hint="eastAsia" w:ascii="楷体" w:hAnsi="楷体" w:eastAsia="楷体" w:cs="楷体"/>
          <w:bCs/>
          <w:sz w:val="32"/>
          <w:szCs w:val="32"/>
        </w:rPr>
        <w:t>部门决算中项目绩效自评结果</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部门评价结果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 xml:space="preserve"> 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财政评价结果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 xml:space="preserve"> 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5565_WPSOffice_Level2"/>
      <w:bookmarkStart w:id="98" w:name="_Toc18325_WPSOffice_Level2"/>
      <w:bookmarkStart w:id="99" w:name="_Toc23598_WPSOffice_Level2"/>
      <w:bookmarkStart w:id="100" w:name="_Toc15262_WPSOffice_Level2"/>
      <w:bookmarkStart w:id="101" w:name="_Toc5978_WPSOffice_Level2"/>
      <w:bookmarkStart w:id="102" w:name="_Toc32639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屯昌县南坤镇中心幼儿园</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0383_WPSOffice_Level2"/>
      <w:bookmarkStart w:id="104" w:name="_Toc23966_WPSOffice_Level2"/>
      <w:bookmarkStart w:id="105" w:name="_Toc13084_WPSOffice_Level2"/>
      <w:bookmarkStart w:id="106" w:name="_Toc3131_WPSOffice_Level2"/>
      <w:bookmarkStart w:id="107" w:name="_Toc25333_WPSOffice_Level2"/>
      <w:bookmarkStart w:id="108" w:name="_Toc32689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屯昌县南坤镇中心幼儿园</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15129_WPSOffice_Level2"/>
      <w:bookmarkStart w:id="111" w:name="_Toc10902_WPSOffice_Level2"/>
      <w:bookmarkStart w:id="112" w:name="_Toc6016_WPSOffice_Level2"/>
      <w:bookmarkStart w:id="113" w:name="_Toc29584_WPSOffice_Level2"/>
      <w:bookmarkStart w:id="114" w:name="_Toc527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w:t>
      </w:r>
      <w:r>
        <w:rPr>
          <w:rFonts w:hint="eastAsia" w:ascii="仿宋_GB2312" w:hAnsi="ˎ̥" w:eastAsia="仿宋_GB2312"/>
          <w:bCs/>
          <w:sz w:val="32"/>
          <w:szCs w:val="32"/>
          <w:lang w:val="en-US" w:eastAsia="zh-CN"/>
        </w:rPr>
        <w:t>单位</w:t>
      </w:r>
      <w:r>
        <w:rPr>
          <w:rFonts w:hint="eastAsia" w:ascii="仿宋_GB2312" w:hAnsi="ˎ̥" w:eastAsia="仿宋_GB2312"/>
          <w:bCs/>
          <w:sz w:val="32"/>
          <w:szCs w:val="32"/>
        </w:rPr>
        <w:t>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2545</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w:t>
      </w:r>
      <w:r>
        <w:rPr>
          <w:rFonts w:hint="eastAsia" w:ascii="仿宋_GB2312" w:hAnsi="ˎ̥" w:eastAsia="仿宋_GB2312"/>
          <w:sz w:val="32"/>
          <w:szCs w:val="32"/>
          <w:lang w:val="en-US" w:eastAsia="zh-CN"/>
        </w:rPr>
        <w:t>单位</w:t>
      </w:r>
      <w:r>
        <w:rPr>
          <w:rFonts w:hint="eastAsia" w:ascii="仿宋_GB2312" w:hAnsi="ˎ̥" w:eastAsia="仿宋_GB2312"/>
          <w:sz w:val="32"/>
          <w:szCs w:val="32"/>
        </w:rPr>
        <w:t>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4398_WPSOffice_Level1"/>
      <w:bookmarkStart w:id="116" w:name="_Toc8808_WPSOffice_Level1"/>
      <w:bookmarkStart w:id="117" w:name="_Toc17580_WPSOffice_Level1"/>
      <w:bookmarkStart w:id="118" w:name="_Toc8874_WPSOffice_Level1"/>
      <w:bookmarkStart w:id="119" w:name="_Toc15425_WPSOffice_Level1"/>
      <w:bookmarkStart w:id="120"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F50AD93B"/>
    <w:multiLevelType w:val="singleLevel"/>
    <w:tmpl w:val="F50AD93B"/>
    <w:lvl w:ilvl="0" w:tentative="0">
      <w:start w:val="1"/>
      <w:numFmt w:val="chineseCounting"/>
      <w:suff w:val="nothing"/>
      <w:lvlText w:val="（%1）"/>
      <w:lvlJc w:val="left"/>
      <w:rPr>
        <w:rFonts w:hint="eastAsia"/>
      </w:rPr>
    </w:lvl>
  </w:abstractNum>
  <w:abstractNum w:abstractNumId="2">
    <w:nsid w:val="29B103A5"/>
    <w:multiLevelType w:val="singleLevel"/>
    <w:tmpl w:val="29B103A5"/>
    <w:lvl w:ilvl="0" w:tentative="0">
      <w:start w:val="1"/>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8780B"/>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B6966"/>
    <w:rsid w:val="00DC2A37"/>
    <w:rsid w:val="00E07782"/>
    <w:rsid w:val="00E70EA3"/>
    <w:rsid w:val="00F0336A"/>
    <w:rsid w:val="00F06DA9"/>
    <w:rsid w:val="00F103D6"/>
    <w:rsid w:val="00F25220"/>
    <w:rsid w:val="00FA2884"/>
    <w:rsid w:val="00FC03DC"/>
    <w:rsid w:val="00FC5708"/>
    <w:rsid w:val="02251549"/>
    <w:rsid w:val="04907C1A"/>
    <w:rsid w:val="05776E57"/>
    <w:rsid w:val="07B94522"/>
    <w:rsid w:val="08DC0996"/>
    <w:rsid w:val="09201287"/>
    <w:rsid w:val="096F096C"/>
    <w:rsid w:val="0A83438B"/>
    <w:rsid w:val="0B6C758F"/>
    <w:rsid w:val="0B835D7A"/>
    <w:rsid w:val="0E342725"/>
    <w:rsid w:val="0ECB3AAE"/>
    <w:rsid w:val="0FC80124"/>
    <w:rsid w:val="10223BF9"/>
    <w:rsid w:val="111929FD"/>
    <w:rsid w:val="136F98C7"/>
    <w:rsid w:val="148F340F"/>
    <w:rsid w:val="15FC7A8D"/>
    <w:rsid w:val="162A5334"/>
    <w:rsid w:val="17427E68"/>
    <w:rsid w:val="1755065F"/>
    <w:rsid w:val="18C562C4"/>
    <w:rsid w:val="1AFC29C9"/>
    <w:rsid w:val="1B4F1FE2"/>
    <w:rsid w:val="1C9714A0"/>
    <w:rsid w:val="1CA52F2E"/>
    <w:rsid w:val="1CA77941"/>
    <w:rsid w:val="1E3630B9"/>
    <w:rsid w:val="1E9121D5"/>
    <w:rsid w:val="1ED26F9B"/>
    <w:rsid w:val="21DE1B08"/>
    <w:rsid w:val="225B10FC"/>
    <w:rsid w:val="253F44C5"/>
    <w:rsid w:val="26ED1F6A"/>
    <w:rsid w:val="26EEC2B5"/>
    <w:rsid w:val="29472309"/>
    <w:rsid w:val="29556A3A"/>
    <w:rsid w:val="2964791F"/>
    <w:rsid w:val="2B406E77"/>
    <w:rsid w:val="2B426787"/>
    <w:rsid w:val="2B444D6B"/>
    <w:rsid w:val="2C2A0C43"/>
    <w:rsid w:val="2D1E73A5"/>
    <w:rsid w:val="2D69303A"/>
    <w:rsid w:val="2E6779F2"/>
    <w:rsid w:val="2E685F0C"/>
    <w:rsid w:val="2FEE19D7"/>
    <w:rsid w:val="301935D0"/>
    <w:rsid w:val="30E97DAD"/>
    <w:rsid w:val="31D325D5"/>
    <w:rsid w:val="31EF2C1D"/>
    <w:rsid w:val="3206484D"/>
    <w:rsid w:val="32717154"/>
    <w:rsid w:val="330515E2"/>
    <w:rsid w:val="33346691"/>
    <w:rsid w:val="34533827"/>
    <w:rsid w:val="34B63260"/>
    <w:rsid w:val="356E435B"/>
    <w:rsid w:val="35B93575"/>
    <w:rsid w:val="36985AC1"/>
    <w:rsid w:val="37C44DFA"/>
    <w:rsid w:val="37FDA7E2"/>
    <w:rsid w:val="3A314D88"/>
    <w:rsid w:val="3A746883"/>
    <w:rsid w:val="3C974D00"/>
    <w:rsid w:val="3CA15DE9"/>
    <w:rsid w:val="3DE23678"/>
    <w:rsid w:val="3E26616E"/>
    <w:rsid w:val="3E6663F9"/>
    <w:rsid w:val="3FE61EE5"/>
    <w:rsid w:val="406508EE"/>
    <w:rsid w:val="408D6263"/>
    <w:rsid w:val="41442A82"/>
    <w:rsid w:val="41B40CEE"/>
    <w:rsid w:val="444461F6"/>
    <w:rsid w:val="447A641C"/>
    <w:rsid w:val="450767E0"/>
    <w:rsid w:val="452D0E82"/>
    <w:rsid w:val="45FA080E"/>
    <w:rsid w:val="47E3677B"/>
    <w:rsid w:val="48317291"/>
    <w:rsid w:val="485F7024"/>
    <w:rsid w:val="48E70666"/>
    <w:rsid w:val="499B2541"/>
    <w:rsid w:val="4B1F25F6"/>
    <w:rsid w:val="4C6877E5"/>
    <w:rsid w:val="4D6A468D"/>
    <w:rsid w:val="4EA86137"/>
    <w:rsid w:val="4EC14AA2"/>
    <w:rsid w:val="54054A6F"/>
    <w:rsid w:val="56CA7FD0"/>
    <w:rsid w:val="57D95A36"/>
    <w:rsid w:val="57FA38D1"/>
    <w:rsid w:val="58BD0232"/>
    <w:rsid w:val="58F05759"/>
    <w:rsid w:val="5D284DA5"/>
    <w:rsid w:val="5D2A4EE0"/>
    <w:rsid w:val="5DAD34EB"/>
    <w:rsid w:val="5E110FA5"/>
    <w:rsid w:val="5F7D3333"/>
    <w:rsid w:val="5FC0205F"/>
    <w:rsid w:val="60DA13AB"/>
    <w:rsid w:val="61385890"/>
    <w:rsid w:val="617C44B2"/>
    <w:rsid w:val="62A442C8"/>
    <w:rsid w:val="62BA4CB7"/>
    <w:rsid w:val="63114B46"/>
    <w:rsid w:val="652202F0"/>
    <w:rsid w:val="65256347"/>
    <w:rsid w:val="67AC4032"/>
    <w:rsid w:val="687436E1"/>
    <w:rsid w:val="6A583D61"/>
    <w:rsid w:val="6B445FC5"/>
    <w:rsid w:val="6BC745BE"/>
    <w:rsid w:val="6C8A3A84"/>
    <w:rsid w:val="6DA45C50"/>
    <w:rsid w:val="6E9A7825"/>
    <w:rsid w:val="6F670F9B"/>
    <w:rsid w:val="70CD2CA5"/>
    <w:rsid w:val="716B290A"/>
    <w:rsid w:val="731E7068"/>
    <w:rsid w:val="737450E0"/>
    <w:rsid w:val="74054476"/>
    <w:rsid w:val="742F38C4"/>
    <w:rsid w:val="743D3B71"/>
    <w:rsid w:val="74AB66DC"/>
    <w:rsid w:val="74BA1151"/>
    <w:rsid w:val="74C4154C"/>
    <w:rsid w:val="75956FFF"/>
    <w:rsid w:val="777B6870"/>
    <w:rsid w:val="77AA2D01"/>
    <w:rsid w:val="785B23F9"/>
    <w:rsid w:val="79570E4D"/>
    <w:rsid w:val="798D1CC1"/>
    <w:rsid w:val="7C3E5967"/>
    <w:rsid w:val="7C5216AD"/>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2025-10-27T01:20:50Z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