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屯昌县南吕镇中心幼儿园2024年度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bookmarkStart w:id="113" w:name="_GoBack"/>
      <w:bookmarkEnd w:id="113"/>
      <w:r>
        <w:rPr>
          <w:rFonts w:hint="eastAsia" w:ascii="方正小标宋_GBK" w:hAnsi="方正小标宋_GBK" w:eastAsia="方正小标宋_GBK" w:cs="方正小标宋_GBK"/>
          <w:b w:val="0"/>
          <w:bCs w:val="0"/>
          <w:color w:val="auto"/>
          <w:sz w:val="44"/>
          <w:szCs w:val="44"/>
          <w:lang w:eastAsia="zh-CN"/>
        </w:rPr>
        <w:t>单位</w:t>
      </w:r>
      <w:r>
        <w:rPr>
          <w:rFonts w:hint="eastAsia" w:ascii="方正小标宋_GBK" w:hAnsi="方正小标宋_GBK" w:eastAsia="方正小标宋_GBK" w:cs="方正小标宋_GBK"/>
          <w:b w:val="0"/>
          <w:bCs w:val="0"/>
          <w:color w:val="auto"/>
          <w:sz w:val="44"/>
          <w:szCs w:val="44"/>
        </w:rPr>
        <w:t>决算公开报告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7"/>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一、单位职责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7"/>
        <w:tabs>
          <w:tab w:val="right" w:leader="dot" w:pos="8306"/>
        </w:tabs>
        <w:spacing w:line="578" w:lineRule="exact"/>
        <w:rPr>
          <w:rFonts w:hint="eastAsia" w:eastAsia="宋体"/>
          <w:color w:val="auto"/>
          <w:sz w:val="32"/>
          <w:szCs w:val="32"/>
          <w:lang w:val="en-US" w:eastAsia="zh-CN"/>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lang w:val="en-US" w:eastAsia="zh-CN"/>
        </w:rPr>
        <w:t>2</w:t>
      </w:r>
    </w:p>
    <w:p>
      <w:pPr>
        <w:pStyle w:val="17"/>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8"/>
        <w:tabs>
          <w:tab w:val="right" w:leader="dot" w:pos="8306"/>
        </w:tabs>
        <w:spacing w:line="578" w:lineRule="exact"/>
        <w:ind w:leftChars="0"/>
        <w:rPr>
          <w:rFonts w:hint="eastAsia" w:ascii="仿宋" w:hAnsi="仿宋" w:eastAsia="仿宋" w:cs="仿宋"/>
          <w:color w:val="auto"/>
          <w:sz w:val="32"/>
          <w:szCs w:val="32"/>
          <w:lang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lang w:val="en-US" w:eastAsia="zh-CN"/>
        </w:rPr>
        <w:t>7</w:t>
      </w:r>
    </w:p>
    <w:p>
      <w:pPr>
        <w:pStyle w:val="18"/>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lang w:val="en-US" w:eastAsia="zh-CN"/>
        </w:rPr>
        <w:t>8</w:t>
      </w:r>
    </w:p>
    <w:p>
      <w:pPr>
        <w:pStyle w:val="18"/>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8"/>
        <w:tabs>
          <w:tab w:val="right" w:leader="dot" w:pos="8306"/>
        </w:tabs>
        <w:spacing w:line="578" w:lineRule="exact"/>
        <w:ind w:leftChars="0"/>
        <w:rPr>
          <w:rFonts w:hint="eastAsia" w:ascii="仿宋" w:hAnsi="仿宋" w:eastAsia="仿宋" w:cs="仿宋"/>
          <w:color w:val="auto"/>
          <w:sz w:val="32"/>
          <w:szCs w:val="32"/>
          <w:lang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lang w:val="en-US" w:eastAsia="zh-CN"/>
        </w:rPr>
        <w:t>8</w:t>
      </w:r>
    </w:p>
    <w:p>
      <w:pPr>
        <w:pStyle w:val="18"/>
        <w:tabs>
          <w:tab w:val="right" w:leader="dot" w:pos="8306"/>
        </w:tabs>
        <w:spacing w:line="578" w:lineRule="exact"/>
        <w:ind w:leftChars="0"/>
        <w:rPr>
          <w:rFonts w:hint="eastAsia" w:ascii="仿宋" w:hAnsi="仿宋" w:eastAsia="仿宋" w:cs="仿宋"/>
          <w:color w:val="auto"/>
          <w:sz w:val="32"/>
          <w:szCs w:val="32"/>
          <w:lang w:eastAsia="zh-CN"/>
        </w:rPr>
      </w:pPr>
      <w:r>
        <w:rPr>
          <w:rFonts w:hint="eastAsia" w:ascii="仿宋" w:hAnsi="仿宋" w:eastAsia="仿宋" w:cs="仿宋"/>
          <w:bCs/>
          <w:color w:val="auto"/>
          <w:sz w:val="32"/>
          <w:szCs w:val="32"/>
        </w:rPr>
        <w:t>十、其他重要事项情况说明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lang w:val="en-US" w:eastAsia="zh-CN"/>
        </w:rPr>
        <w:t>9</w:t>
      </w:r>
    </w:p>
    <w:p>
      <w:pPr>
        <w:pStyle w:val="17"/>
        <w:tabs>
          <w:tab w:val="right" w:leader="dot" w:pos="8306"/>
        </w:tabs>
        <w:spacing w:line="578" w:lineRule="exact"/>
        <w:rPr>
          <w:rFonts w:hint="eastAsia" w:ascii="黑体" w:hAnsi="ˎ̥" w:eastAsia="宋体"/>
          <w:b/>
          <w:color w:val="auto"/>
          <w:sz w:val="32"/>
          <w:szCs w:val="32"/>
          <w:lang w:val="en-US" w:eastAsia="zh-CN"/>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lang w:val="en-US" w:eastAsia="zh-CN"/>
        </w:rPr>
        <w:t>2</w:t>
      </w:r>
    </w:p>
    <w:p>
      <w:pPr>
        <w:spacing w:line="578" w:lineRule="exact"/>
        <w:jc w:val="both"/>
        <w:rPr>
          <w:rFonts w:hint="eastAsia" w:ascii="黑体" w:hAnsi="ˎ̥" w:eastAsia="黑体"/>
          <w:color w:val="auto"/>
          <w:sz w:val="32"/>
          <w:szCs w:val="32"/>
        </w:rPr>
      </w:pPr>
      <w:bookmarkStart w:id="2" w:name="_Toc1704_WPSOffice_Level1"/>
      <w:bookmarkStart w:id="3" w:name="_Toc10720_WPSOffice_Level1"/>
      <w:bookmarkStart w:id="4" w:name="_Toc10049_WPSOffice_Level1"/>
      <w:bookmarkStart w:id="5" w:name="_Toc32433_WPSOffice_Level1"/>
      <w:bookmarkStart w:id="6" w:name="_Toc23465_WPSOffice_Level1"/>
      <w:bookmarkStart w:id="7" w:name="_Toc22941_WPSOffice_Level1"/>
      <w:bookmarkStart w:id="8" w:name="_Toc24238_WPSOffice_Level2"/>
      <w:bookmarkStart w:id="9" w:name="_Toc32622_WPSOffice_Level2"/>
      <w:bookmarkStart w:id="10" w:name="_Toc20205_WPSOffice_Level2"/>
      <w:bookmarkStart w:id="11" w:name="_Toc20274_WPSOffice_Level2"/>
      <w:bookmarkStart w:id="12" w:name="_Toc14159_WPSOffice_Level2"/>
      <w:bookmarkStart w:id="13" w:name="_Toc26580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bookmarkEnd w:id="8"/>
    <w:p>
      <w:pPr>
        <w:numPr>
          <w:ilvl w:val="0"/>
          <w:numId w:val="2"/>
        </w:num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lang w:eastAsia="zh-CN"/>
        </w:rPr>
        <w:t>单位</w:t>
      </w:r>
      <w:r>
        <w:rPr>
          <w:rFonts w:hint="eastAsia" w:ascii="黑体" w:hAnsi="黑体" w:eastAsia="黑体" w:cs="黑体"/>
          <w:color w:val="auto"/>
          <w:sz w:val="32"/>
          <w:szCs w:val="32"/>
        </w:rPr>
        <w:t>职责</w:t>
      </w:r>
      <w:bookmarkEnd w:id="9"/>
      <w:bookmarkEnd w:id="10"/>
      <w:bookmarkEnd w:id="11"/>
      <w:bookmarkEnd w:id="12"/>
      <w:bookmarkEnd w:id="13"/>
    </w:p>
    <w:p>
      <w:pPr>
        <w:pStyle w:val="20"/>
        <w:keepNext w:val="0"/>
        <w:keepLines w:val="0"/>
        <w:pageBreakBefore w:val="0"/>
        <w:kinsoku/>
        <w:wordWrap/>
        <w:overflowPunct/>
        <w:topLinePunct w:val="0"/>
        <w:autoSpaceDE/>
        <w:autoSpaceDN/>
        <w:bidi w:val="0"/>
        <w:adjustRightInd/>
        <w:spacing w:line="590" w:lineRule="exact"/>
        <w:ind w:left="0" w:leftChars="0" w:right="0" w:rightChars="0" w:firstLine="640" w:firstLineChars="200"/>
        <w:jc w:val="left"/>
        <w:textAlignment w:val="auto"/>
        <w:outlineLvl w:val="9"/>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lang w:eastAsia="zh-CN"/>
        </w:rPr>
        <w:t>（</w:t>
      </w:r>
      <w:r>
        <w:rPr>
          <w:rFonts w:hint="eastAsia" w:ascii="仿宋_GB2312" w:hAnsi="黑体" w:eastAsia="仿宋_GB2312" w:cs="仿宋_GB2312"/>
          <w:color w:val="auto"/>
          <w:sz w:val="32"/>
          <w:szCs w:val="32"/>
          <w:lang w:val="en-US" w:eastAsia="zh-CN"/>
        </w:rPr>
        <w:t>一</w:t>
      </w:r>
      <w:r>
        <w:rPr>
          <w:rFonts w:hint="eastAsia" w:ascii="仿宋_GB2312" w:hAnsi="黑体" w:eastAsia="仿宋_GB2312" w:cs="仿宋_GB2312"/>
          <w:color w:val="auto"/>
          <w:sz w:val="32"/>
          <w:szCs w:val="32"/>
          <w:lang w:eastAsia="zh-CN"/>
        </w:rPr>
        <w:t>）</w:t>
      </w:r>
      <w:r>
        <w:rPr>
          <w:rFonts w:hint="eastAsia" w:ascii="仿宋_GB2312" w:hAnsi="黑体" w:eastAsia="仿宋_GB2312" w:cs="仿宋_GB2312"/>
          <w:color w:val="auto"/>
          <w:sz w:val="32"/>
          <w:szCs w:val="32"/>
        </w:rPr>
        <w:t>实行保育和教育相结合的原则，为家长解除后顾之忧，热忧为家长服务。</w:t>
      </w:r>
    </w:p>
    <w:p>
      <w:pPr>
        <w:pStyle w:val="20"/>
        <w:keepNext w:val="0"/>
        <w:keepLines w:val="0"/>
        <w:pageBreakBefore w:val="0"/>
        <w:kinsoku/>
        <w:wordWrap/>
        <w:overflowPunct/>
        <w:topLinePunct w:val="0"/>
        <w:autoSpaceDE/>
        <w:autoSpaceDN/>
        <w:bidi w:val="0"/>
        <w:adjustRightInd/>
        <w:spacing w:line="590" w:lineRule="exact"/>
        <w:ind w:left="0" w:leftChars="0" w:right="0" w:rightChars="0" w:firstLine="640" w:firstLineChars="200"/>
        <w:jc w:val="left"/>
        <w:textAlignment w:val="auto"/>
        <w:outlineLvl w:val="9"/>
        <w:rPr>
          <w:rFonts w:hint="eastAsia" w:ascii="仿宋_GB2312" w:hAnsi="黑体" w:eastAsia="仿宋_GB2312" w:cs="仿宋_GB2312"/>
          <w:color w:val="auto"/>
          <w:sz w:val="32"/>
          <w:szCs w:val="32"/>
        </w:rPr>
      </w:pPr>
      <w:r>
        <w:rPr>
          <w:rFonts w:hint="eastAsia" w:ascii="仿宋_GB2312" w:hAnsi="黑体" w:eastAsia="仿宋_GB2312" w:cs="仿宋_GB2312"/>
          <w:color w:val="auto"/>
          <w:sz w:val="32"/>
          <w:szCs w:val="32"/>
          <w:lang w:eastAsia="zh-CN"/>
        </w:rPr>
        <w:t>（</w:t>
      </w:r>
      <w:r>
        <w:rPr>
          <w:rFonts w:hint="eastAsia" w:ascii="仿宋_GB2312" w:hAnsi="黑体" w:eastAsia="仿宋_GB2312" w:cs="仿宋_GB2312"/>
          <w:color w:val="auto"/>
          <w:sz w:val="32"/>
          <w:szCs w:val="32"/>
          <w:lang w:val="en-US" w:eastAsia="zh-CN"/>
        </w:rPr>
        <w:t>二</w:t>
      </w:r>
      <w:r>
        <w:rPr>
          <w:rFonts w:hint="eastAsia" w:ascii="仿宋_GB2312" w:hAnsi="黑体" w:eastAsia="仿宋_GB2312" w:cs="仿宋_GB2312"/>
          <w:color w:val="auto"/>
          <w:sz w:val="32"/>
          <w:szCs w:val="32"/>
          <w:lang w:eastAsia="zh-CN"/>
        </w:rPr>
        <w:t>）</w:t>
      </w:r>
      <w:r>
        <w:rPr>
          <w:rFonts w:hint="eastAsia" w:ascii="仿宋_GB2312" w:hAnsi="黑体" w:eastAsia="仿宋_GB2312" w:cs="仿宋_GB2312"/>
          <w:color w:val="auto"/>
          <w:sz w:val="32"/>
          <w:szCs w:val="32"/>
        </w:rPr>
        <w:t>为儿童提供健康、丰富的生活和活动环境，促进幼儿体智德美等和谐发展，全面实施素质教育。</w:t>
      </w:r>
    </w:p>
    <w:p>
      <w:pPr>
        <w:pStyle w:val="20"/>
        <w:keepNext w:val="0"/>
        <w:keepLines w:val="0"/>
        <w:pageBreakBefore w:val="0"/>
        <w:kinsoku/>
        <w:wordWrap/>
        <w:overflowPunct/>
        <w:topLinePunct w:val="0"/>
        <w:autoSpaceDE/>
        <w:autoSpaceDN/>
        <w:bidi w:val="0"/>
        <w:adjustRightInd/>
        <w:spacing w:line="590" w:lineRule="exact"/>
        <w:ind w:left="0" w:leftChars="0" w:right="0" w:rightChars="0" w:firstLine="640" w:firstLineChars="200"/>
        <w:jc w:val="left"/>
        <w:textAlignment w:val="auto"/>
        <w:outlineLvl w:val="9"/>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lang w:eastAsia="zh-CN"/>
        </w:rPr>
        <w:t>（</w:t>
      </w:r>
      <w:r>
        <w:rPr>
          <w:rFonts w:hint="eastAsia" w:ascii="仿宋_GB2312" w:hAnsi="黑体" w:eastAsia="仿宋_GB2312" w:cs="仿宋_GB2312"/>
          <w:color w:val="auto"/>
          <w:sz w:val="32"/>
          <w:szCs w:val="32"/>
          <w:lang w:val="en-US" w:eastAsia="zh-CN"/>
        </w:rPr>
        <w:t>三</w:t>
      </w:r>
      <w:r>
        <w:rPr>
          <w:rFonts w:hint="eastAsia" w:ascii="仿宋_GB2312" w:hAnsi="黑体" w:eastAsia="仿宋_GB2312" w:cs="仿宋_GB2312"/>
          <w:color w:val="auto"/>
          <w:sz w:val="32"/>
          <w:szCs w:val="32"/>
          <w:lang w:eastAsia="zh-CN"/>
        </w:rPr>
        <w:t>）</w:t>
      </w:r>
      <w:r>
        <w:rPr>
          <w:rFonts w:hint="eastAsia" w:ascii="仿宋_GB2312" w:hAnsi="黑体" w:eastAsia="仿宋_GB2312" w:cs="仿宋_GB2312"/>
          <w:color w:val="auto"/>
          <w:sz w:val="32"/>
          <w:szCs w:val="32"/>
        </w:rPr>
        <w:t>严格执行幼儿园安全、卫生保健制度，保证幼儿身心健康和生命安全。</w:t>
      </w:r>
    </w:p>
    <w:p>
      <w:pPr>
        <w:pStyle w:val="20"/>
        <w:keepNext w:val="0"/>
        <w:keepLines w:val="0"/>
        <w:pageBreakBefore w:val="0"/>
        <w:kinsoku/>
        <w:wordWrap/>
        <w:overflowPunct/>
        <w:topLinePunct w:val="0"/>
        <w:autoSpaceDE/>
        <w:autoSpaceDN/>
        <w:bidi w:val="0"/>
        <w:adjustRightInd/>
        <w:spacing w:line="590" w:lineRule="exact"/>
        <w:ind w:left="0" w:leftChars="0" w:right="0" w:rightChars="0" w:firstLine="640" w:firstLineChars="200"/>
        <w:jc w:val="left"/>
        <w:textAlignment w:val="auto"/>
        <w:outlineLvl w:val="9"/>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四</w:t>
      </w:r>
      <w:r>
        <w:rPr>
          <w:rFonts w:hint="eastAsia" w:ascii="仿宋_GB2312" w:hAnsi="黑体" w:eastAsia="仿宋_GB2312" w:cs="仿宋_GB2312"/>
          <w:color w:val="auto"/>
          <w:sz w:val="32"/>
          <w:szCs w:val="32"/>
        </w:rPr>
        <w:t>）充分利用幼儿和社区的资源优势，面向家长开展多种形式的早期教育宣传、指导等服务，促进家庭教育质量的不断提高。</w:t>
      </w:r>
    </w:p>
    <w:p>
      <w:pPr>
        <w:pStyle w:val="20"/>
        <w:keepNext w:val="0"/>
        <w:keepLines w:val="0"/>
        <w:pageBreakBefore w:val="0"/>
        <w:kinsoku/>
        <w:wordWrap/>
        <w:overflowPunct/>
        <w:topLinePunct w:val="0"/>
        <w:autoSpaceDE/>
        <w:autoSpaceDN/>
        <w:bidi w:val="0"/>
        <w:adjustRightInd/>
        <w:spacing w:line="590" w:lineRule="exact"/>
        <w:ind w:left="0" w:leftChars="0" w:right="0" w:rightChars="0" w:firstLine="640" w:firstLineChars="200"/>
        <w:jc w:val="left"/>
        <w:textAlignment w:val="auto"/>
        <w:outlineLvl w:val="9"/>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五</w:t>
      </w:r>
      <w:r>
        <w:rPr>
          <w:rFonts w:hint="eastAsia" w:ascii="仿宋_GB2312" w:hAnsi="黑体" w:eastAsia="仿宋_GB2312" w:cs="仿宋_GB2312"/>
          <w:color w:val="auto"/>
          <w:sz w:val="32"/>
          <w:szCs w:val="32"/>
        </w:rPr>
        <w:t>）贯彻幼儿教育法规、传播科学教育理念、开展教育科学研究、培训师资，发挥示范性幼儿园的示范、辐射作用。</w:t>
      </w:r>
    </w:p>
    <w:p>
      <w:pPr>
        <w:pStyle w:val="20"/>
        <w:keepNext w:val="0"/>
        <w:keepLines w:val="0"/>
        <w:pageBreakBefore w:val="0"/>
        <w:kinsoku/>
        <w:wordWrap/>
        <w:overflowPunct/>
        <w:topLinePunct w:val="0"/>
        <w:autoSpaceDE/>
        <w:autoSpaceDN/>
        <w:bidi w:val="0"/>
        <w:adjustRightInd/>
        <w:spacing w:line="590" w:lineRule="exact"/>
        <w:ind w:left="0" w:leftChars="0" w:right="0" w:rightChars="0" w:firstLine="640" w:firstLineChars="200"/>
        <w:jc w:val="left"/>
        <w:textAlignment w:val="auto"/>
        <w:outlineLvl w:val="9"/>
        <w:rPr>
          <w:rFonts w:hint="eastAsia" w:ascii="仿宋_GB2312" w:hAnsi="仿宋" w:eastAsia="仿宋_GB2312"/>
          <w:color w:val="auto"/>
          <w:sz w:val="32"/>
          <w:szCs w:val="32"/>
          <w:highlight w:val="none"/>
        </w:rPr>
      </w:pP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六</w:t>
      </w:r>
      <w:r>
        <w:rPr>
          <w:rFonts w:hint="eastAsia" w:ascii="仿宋_GB2312" w:hAnsi="黑体" w:eastAsia="仿宋_GB2312" w:cs="仿宋_GB2312"/>
          <w:color w:val="auto"/>
          <w:sz w:val="32"/>
          <w:szCs w:val="32"/>
        </w:rPr>
        <w:t>）承办上级主管部门交办的其他工作。</w:t>
      </w:r>
    </w:p>
    <w:p>
      <w:pPr>
        <w:numPr>
          <w:ilvl w:val="0"/>
          <w:numId w:val="0"/>
        </w:numPr>
        <w:spacing w:line="578" w:lineRule="exact"/>
        <w:rPr>
          <w:rFonts w:hint="eastAsia" w:ascii="黑体" w:hAnsi="黑体" w:eastAsia="黑体" w:cs="黑体"/>
          <w:color w:val="auto"/>
          <w:sz w:val="32"/>
          <w:szCs w:val="32"/>
        </w:rPr>
      </w:pPr>
    </w:p>
    <w:p>
      <w:pPr>
        <w:spacing w:line="578" w:lineRule="exact"/>
        <w:ind w:firstLine="640" w:firstLineChars="200"/>
        <w:rPr>
          <w:rFonts w:hint="eastAsia" w:ascii="黑体" w:hAnsi="黑体" w:eastAsia="黑体" w:cs="黑体"/>
          <w:color w:val="auto"/>
          <w:sz w:val="32"/>
          <w:szCs w:val="32"/>
        </w:rPr>
      </w:pPr>
      <w:bookmarkStart w:id="14" w:name="_Toc4833_WPSOffice_Level2"/>
      <w:bookmarkStart w:id="15" w:name="_Toc24059_WPSOffice_Level2"/>
      <w:bookmarkStart w:id="16" w:name="_Toc17796_WPSOffice_Level2"/>
      <w:bookmarkStart w:id="17" w:name="_Toc24474_WPSOffice_Level2"/>
      <w:bookmarkStart w:id="18" w:name="_Toc6572_WPSOffice_Level2"/>
      <w:r>
        <w:rPr>
          <w:rFonts w:hint="eastAsia" w:ascii="黑体" w:hAnsi="黑体" w:eastAsia="黑体" w:cs="黑体"/>
          <w:color w:val="auto"/>
          <w:sz w:val="32"/>
          <w:szCs w:val="32"/>
        </w:rPr>
        <w:t>二、机构设置</w:t>
      </w:r>
      <w:bookmarkEnd w:id="14"/>
      <w:bookmarkEnd w:id="15"/>
      <w:bookmarkEnd w:id="16"/>
      <w:bookmarkEnd w:id="17"/>
      <w:bookmarkEnd w:id="18"/>
    </w:p>
    <w:p>
      <w:pPr>
        <w:keepNext w:val="0"/>
        <w:keepLines w:val="0"/>
        <w:pageBreakBefore w:val="0"/>
        <w:widowControl/>
        <w:suppressLineNumbers w:val="0"/>
        <w:kinsoku/>
        <w:wordWrap/>
        <w:overflowPunct/>
        <w:topLinePunct w:val="0"/>
        <w:autoSpaceDE/>
        <w:autoSpaceDN/>
        <w:bidi w:val="0"/>
        <w:adjustRightInd/>
        <w:spacing w:line="590" w:lineRule="exact"/>
        <w:ind w:left="0" w:leftChars="0" w:right="0" w:rightChars="0" w:firstLine="640" w:firstLineChars="200"/>
        <w:textAlignment w:val="auto"/>
        <w:outlineLvl w:val="9"/>
        <w:rPr>
          <w:rFonts w:hint="eastAsia"/>
          <w:color w:val="auto"/>
        </w:rPr>
      </w:pPr>
      <w:bookmarkStart w:id="19" w:name="_Toc6234_WPSOffice_Level1"/>
      <w:bookmarkStart w:id="20" w:name="_Toc28253_WPSOffice_Level1"/>
      <w:bookmarkStart w:id="21" w:name="_Toc8164_WPSOffice_Level1"/>
      <w:bookmarkStart w:id="22" w:name="_Toc30690_WPSOffice_Level1"/>
      <w:bookmarkStart w:id="23" w:name="_Toc15521_WPSOffice_Level1"/>
      <w:bookmarkStart w:id="24" w:name="_Toc30451_WPSOffice_Level1"/>
      <w:bookmarkStart w:id="25" w:name="_Toc32472_WPSOffice_Level2"/>
      <w:bookmarkStart w:id="26" w:name="_Toc4029_WPSOffice_Level2"/>
      <w:bookmarkStart w:id="27" w:name="_Toc6211_WPSOffice_Level2"/>
      <w:bookmarkStart w:id="28" w:name="_Toc11518_WPSOffice_Level2"/>
      <w:bookmarkStart w:id="29" w:name="_Toc32695_WPSOffice_Level2"/>
      <w:bookmarkStart w:id="30" w:name="_Toc8867_WPSOffice_Level2"/>
      <w:r>
        <w:rPr>
          <w:rFonts w:hint="eastAsia" w:ascii="仿宋" w:hAnsi="仿宋" w:eastAsia="仿宋" w:cs="仿宋"/>
          <w:b w:val="0"/>
          <w:color w:val="auto"/>
          <w:kern w:val="0"/>
          <w:sz w:val="32"/>
          <w:szCs w:val="32"/>
        </w:rPr>
        <w:t>屯昌县</w:t>
      </w:r>
      <w:r>
        <w:rPr>
          <w:rFonts w:hint="eastAsia" w:ascii="仿宋" w:hAnsi="仿宋" w:eastAsia="仿宋" w:cs="仿宋"/>
          <w:b w:val="0"/>
          <w:color w:val="auto"/>
          <w:kern w:val="0"/>
          <w:sz w:val="32"/>
          <w:szCs w:val="32"/>
          <w:lang w:val="en-US" w:eastAsia="zh-CN"/>
        </w:rPr>
        <w:t>南吕镇中心幼儿园</w:t>
      </w:r>
      <w:r>
        <w:rPr>
          <w:rFonts w:hint="eastAsia" w:ascii="仿宋" w:hAnsi="仿宋" w:eastAsia="仿宋" w:cs="仿宋"/>
          <w:b w:val="0"/>
          <w:color w:val="auto"/>
          <w:kern w:val="0"/>
          <w:sz w:val="32"/>
          <w:szCs w:val="32"/>
        </w:rPr>
        <w:t>内设行政组织机构、食品安全组织机构、保健组、保教组、</w:t>
      </w:r>
      <w:r>
        <w:rPr>
          <w:rFonts w:hint="eastAsia" w:ascii="仿宋" w:hAnsi="仿宋" w:eastAsia="仿宋" w:cs="仿宋"/>
          <w:b w:val="0"/>
          <w:color w:val="auto"/>
          <w:kern w:val="0"/>
          <w:sz w:val="32"/>
          <w:szCs w:val="32"/>
          <w:lang w:val="en-US" w:eastAsia="zh-CN"/>
        </w:rPr>
        <w:t>后勤</w:t>
      </w:r>
      <w:r>
        <w:rPr>
          <w:rFonts w:hint="eastAsia" w:ascii="仿宋" w:hAnsi="仿宋" w:eastAsia="仿宋" w:cs="仿宋"/>
          <w:b w:val="0"/>
          <w:color w:val="auto"/>
          <w:kern w:val="0"/>
          <w:sz w:val="32"/>
          <w:szCs w:val="32"/>
        </w:rPr>
        <w:t>组、工会、教代会。</w:t>
      </w:r>
      <w:r>
        <w:rPr>
          <w:rFonts w:hint="eastAsia" w:ascii="仿宋" w:hAnsi="仿宋" w:eastAsia="仿宋" w:cs="仿宋"/>
          <w:b w:val="0"/>
          <w:color w:val="auto"/>
          <w:kern w:val="0"/>
          <w:sz w:val="32"/>
          <w:szCs w:val="32"/>
          <w:lang w:val="en-US" w:eastAsia="zh-CN"/>
        </w:rPr>
        <w:t>创建于2013年，建筑面积为2519.7平方米。</w:t>
      </w:r>
      <w:r>
        <w:rPr>
          <w:rFonts w:hint="eastAsia" w:ascii="黑体" w:hAnsi="宋体" w:eastAsia="黑体" w:cs="黑体"/>
          <w:color w:val="auto"/>
          <w:kern w:val="0"/>
          <w:sz w:val="32"/>
          <w:szCs w:val="32"/>
          <w:shd w:val="clear" w:color="auto" w:fill="FFFFFF"/>
        </w:rPr>
        <w:t xml:space="preserve"> </w:t>
      </w: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color w:val="auto"/>
          <w:sz w:val="32"/>
          <w:szCs w:val="32"/>
        </w:rPr>
      </w:pPr>
      <w:bookmarkStart w:id="31" w:name="_Toc25608_WPSOffice_Level2"/>
      <w:bookmarkStart w:id="32" w:name="_Toc14349_WPSOffice_Level2"/>
      <w:bookmarkStart w:id="33" w:name="_Toc28622_WPSOffice_Level2"/>
      <w:bookmarkStart w:id="34" w:name="_Toc30334_WPSOffice_Level2"/>
      <w:bookmarkStart w:id="35" w:name="_Toc23139_WPSOffice_Level2"/>
      <w:bookmarkStart w:id="36" w:name="_Toc26621_WPSOffice_Level2"/>
      <w:r>
        <w:rPr>
          <w:rFonts w:hint="eastAsia" w:ascii="黑体" w:hAnsi="黑体" w:eastAsia="黑体" w:cs="黑体"/>
          <w:color w:val="auto"/>
          <w:sz w:val="32"/>
          <w:szCs w:val="32"/>
        </w:rPr>
        <w:t>二、收入决算公开表</w:t>
      </w:r>
      <w:bookmarkEnd w:id="31"/>
      <w:bookmarkEnd w:id="32"/>
      <w:bookmarkEnd w:id="33"/>
      <w:bookmarkEnd w:id="34"/>
      <w:bookmarkEnd w:id="35"/>
      <w:bookmarkEnd w:id="36"/>
      <w:bookmarkStart w:id="37" w:name="_Toc17858_WPSOffice_Level2"/>
      <w:bookmarkStart w:id="38" w:name="_Toc13854_WPSOffice_Level2"/>
      <w:bookmarkStart w:id="39" w:name="_Toc17626_WPSOffice_Level2"/>
      <w:bookmarkStart w:id="40" w:name="_Toc5489_WPSOffice_Level2"/>
      <w:bookmarkStart w:id="41" w:name="_Toc3262_WPSOffice_Level2"/>
      <w:bookmarkStart w:id="42" w:name="_Toc14658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7"/>
      <w:bookmarkEnd w:id="38"/>
      <w:bookmarkEnd w:id="39"/>
      <w:bookmarkEnd w:id="40"/>
      <w:bookmarkEnd w:id="41"/>
      <w:bookmarkEnd w:id="42"/>
      <w:bookmarkStart w:id="43" w:name="_Toc13701_WPSOffice_Level2"/>
      <w:bookmarkStart w:id="44" w:name="_Toc4265_WPSOffice_Level2"/>
      <w:bookmarkStart w:id="45" w:name="_Toc7988_WPSOffice_Level2"/>
      <w:bookmarkStart w:id="46" w:name="_Toc23591_WPSOffice_Level2"/>
      <w:bookmarkStart w:id="47" w:name="_Toc21415_WPSOffice_Level2"/>
      <w:bookmarkStart w:id="48" w:name="_Toc2349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color w:val="auto"/>
          <w:sz w:val="32"/>
          <w:szCs w:val="32"/>
        </w:rPr>
      </w:pPr>
      <w:bookmarkStart w:id="49" w:name="_Toc25166_WPSOffice_Level2"/>
      <w:bookmarkStart w:id="50" w:name="_Toc23829_WPSOffice_Level2"/>
      <w:bookmarkStart w:id="51" w:name="_Toc7879_WPSOffice_Level2"/>
      <w:bookmarkStart w:id="52" w:name="_Toc22783_WPSOffice_Level2"/>
      <w:bookmarkStart w:id="53" w:name="_Toc2158_WPSOffice_Level2"/>
      <w:bookmarkStart w:id="54" w:name="_Toc13516_WPSOffice_Level2"/>
      <w:r>
        <w:rPr>
          <w:rFonts w:hint="eastAsia" w:ascii="黑体" w:hAnsi="黑体" w:eastAsia="黑体" w:cs="黑体"/>
          <w:color w:val="auto"/>
          <w:sz w:val="32"/>
          <w:szCs w:val="32"/>
        </w:rPr>
        <w:t>五、一般公共预算财政拨款收入支出决算</w:t>
      </w:r>
      <w:bookmarkEnd w:id="49"/>
      <w:bookmarkEnd w:id="50"/>
      <w:bookmarkEnd w:id="51"/>
      <w:bookmarkEnd w:id="52"/>
      <w:r>
        <w:rPr>
          <w:rFonts w:hint="eastAsia" w:ascii="黑体" w:hAnsi="黑体" w:eastAsia="黑体" w:cs="黑体"/>
          <w:color w:val="auto"/>
          <w:sz w:val="32"/>
          <w:szCs w:val="32"/>
        </w:rPr>
        <w:t>公开表</w:t>
      </w:r>
      <w:bookmarkEnd w:id="53"/>
      <w:bookmarkEnd w:id="54"/>
      <w:bookmarkStart w:id="55" w:name="_Toc17833_WPSOffice_Level2"/>
      <w:bookmarkStart w:id="56" w:name="_Toc8373_WPSOffice_Level2"/>
      <w:bookmarkStart w:id="57" w:name="_Toc25362_WPSOffice_Level2"/>
      <w:bookmarkStart w:id="58" w:name="_Toc2632_WPSOffice_Level2"/>
      <w:bookmarkStart w:id="59" w:name="_Toc5343_WPSOffice_Level2"/>
      <w:bookmarkStart w:id="60" w:name="_Toc1728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1" w:name="_Toc21310_WPSOffice_Level2"/>
      <w:bookmarkStart w:id="62" w:name="_Toc1533_WPSOffice_Level2"/>
      <w:bookmarkStart w:id="63" w:name="_Toc13345_WPSOffice_Level2"/>
      <w:bookmarkStart w:id="64" w:name="_Toc5594_WPSOffice_Level2"/>
      <w:bookmarkStart w:id="65" w:name="_Toc11799_WPSOffice_Level2"/>
      <w:bookmarkStart w:id="66" w:name="_Toc6020_WPSOffice_Level2"/>
      <w:r>
        <w:rPr>
          <w:rFonts w:hint="eastAsia" w:ascii="黑体" w:hAnsi="黑体" w:eastAsia="黑体" w:cs="黑体"/>
          <w:color w:val="auto"/>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7" w:name="_Toc29886_WPSOffice_Level2"/>
      <w:bookmarkStart w:id="68" w:name="_Toc9377_WPSOffice_Level2"/>
      <w:bookmarkStart w:id="69" w:name="_Toc19961_WPSOffice_Level2"/>
      <w:bookmarkStart w:id="70" w:name="_Toc1820_WPSOffice_Level2"/>
      <w:r>
        <w:rPr>
          <w:rFonts w:hint="eastAsia" w:ascii="黑体" w:hAnsi="黑体" w:eastAsia="黑体" w:cs="黑体"/>
          <w:color w:val="auto"/>
          <w:sz w:val="32"/>
          <w:szCs w:val="32"/>
        </w:rPr>
        <w:t>九、财政拨款“三公”经费支出决算</w:t>
      </w:r>
      <w:bookmarkEnd w:id="67"/>
      <w:bookmarkEnd w:id="68"/>
      <w:bookmarkEnd w:id="69"/>
      <w:bookmarkEnd w:id="70"/>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1" w:name="_Toc27590_WPSOffice_Level1"/>
      <w:bookmarkStart w:id="72" w:name="_Toc29683_WPSOffice_Level1"/>
      <w:bookmarkStart w:id="73" w:name="_Toc31264_WPSOffice_Level1"/>
      <w:bookmarkStart w:id="74" w:name="_Toc28629_WPSOffice_Level1"/>
      <w:bookmarkStart w:id="75" w:name="_Toc16686_WPSOffice_Level1"/>
      <w:bookmarkStart w:id="76" w:name="_Toc4402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361.08</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361.08</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56.66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13.56</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是</w:t>
      </w:r>
      <w:r>
        <w:rPr>
          <w:rFonts w:hint="eastAsia" w:ascii="仿宋_GB2312" w:hAnsi="仿宋" w:eastAsia="仿宋_GB2312"/>
          <w:color w:val="auto"/>
          <w:sz w:val="32"/>
          <w:szCs w:val="32"/>
          <w:highlight w:val="none"/>
        </w:rPr>
        <w:t>一般公共预算财政拨款</w:t>
      </w:r>
      <w:r>
        <w:rPr>
          <w:rFonts w:hint="eastAsia" w:ascii="仿宋_GB2312" w:hAnsi="仿宋" w:eastAsia="仿宋_GB2312"/>
          <w:color w:val="auto"/>
          <w:sz w:val="32"/>
          <w:szCs w:val="32"/>
          <w:highlight w:val="none"/>
          <w:lang w:eastAsia="zh-CN"/>
        </w:rPr>
        <w:t>减少</w:t>
      </w:r>
      <w:r>
        <w:rPr>
          <w:rFonts w:hint="eastAsia" w:ascii="仿宋_GB2312" w:hAnsi="仿宋"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361.07</w:t>
      </w:r>
      <w:r>
        <w:rPr>
          <w:rFonts w:hint="eastAsia" w:ascii="仿宋_GB2312" w:hAnsi="ˎ̥" w:eastAsia="仿宋_GB2312"/>
          <w:color w:val="auto"/>
          <w:sz w:val="32"/>
          <w:szCs w:val="32"/>
        </w:rPr>
        <w:t>万元。</w:t>
      </w:r>
    </w:p>
    <w:p>
      <w:pPr>
        <w:keepNext w:val="0"/>
        <w:keepLines w:val="0"/>
        <w:pageBreakBefore w:val="0"/>
        <w:kinsoku/>
        <w:wordWrap/>
        <w:overflowPunct/>
        <w:topLinePunct w:val="0"/>
        <w:autoSpaceDE/>
        <w:autoSpaceDN/>
        <w:bidi w:val="0"/>
        <w:adjustRightInd/>
        <w:snapToGrid w:val="0"/>
        <w:spacing w:line="590" w:lineRule="exact"/>
        <w:ind w:left="0" w:leftChars="0" w:right="0" w:rightChars="0" w:firstLine="640" w:firstLineChars="200"/>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18.43</w:t>
      </w:r>
      <w:r>
        <w:rPr>
          <w:rFonts w:hint="eastAsia" w:ascii="仿宋_GB2312" w:hAnsi="ˎ̥" w:eastAsia="仿宋_GB2312"/>
          <w:color w:val="auto"/>
          <w:sz w:val="32"/>
          <w:szCs w:val="32"/>
        </w:rPr>
        <w:t>万元，主要原因是</w:t>
      </w:r>
      <w:r>
        <w:rPr>
          <w:rFonts w:hint="eastAsia" w:ascii="仿宋_GB2312" w:hAnsi="仿宋" w:eastAsia="仿宋_GB2312"/>
          <w:color w:val="auto"/>
          <w:sz w:val="32"/>
          <w:szCs w:val="32"/>
          <w:highlight w:val="none"/>
          <w:lang w:val="en-US" w:eastAsia="zh-CN"/>
        </w:rPr>
        <w:t>项目支出减少</w:t>
      </w:r>
      <w:r>
        <w:rPr>
          <w:rFonts w:hint="eastAsia" w:ascii="仿宋_GB2312" w:hAnsi="仿宋"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0.02</w:t>
      </w:r>
      <w:r>
        <w:rPr>
          <w:rFonts w:hint="eastAsia" w:ascii="仿宋_GB2312" w:hAnsi="ˎ̥" w:eastAsia="仿宋_GB2312"/>
          <w:color w:val="auto"/>
          <w:sz w:val="32"/>
          <w:szCs w:val="32"/>
        </w:rPr>
        <w:t>万元，主要</w:t>
      </w:r>
      <w:r>
        <w:rPr>
          <w:rFonts w:hint="eastAsia" w:ascii="仿宋_GB2312" w:hAnsi="ˎ̥" w:eastAsia="仿宋_GB2312"/>
          <w:color w:val="auto"/>
          <w:sz w:val="32"/>
          <w:szCs w:val="32"/>
          <w:lang w:eastAsia="zh-CN"/>
        </w:rPr>
        <w:t>社保资金结余</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不变</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361.07</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万元，年末结转结余</w:t>
      </w:r>
      <w:r>
        <w:rPr>
          <w:rFonts w:hint="default" w:ascii="仿宋_GB2312" w:hAnsi="ˎ̥" w:eastAsia="仿宋_GB2312"/>
          <w:color w:val="auto"/>
          <w:sz w:val="32"/>
          <w:szCs w:val="32"/>
          <w:lang w:val="en-US"/>
        </w:rPr>
        <w:t>0.02</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社保资金结余</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不变</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年度相关决算数据可取自附件财决公开01、02</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03</w:t>
      </w:r>
      <w:r>
        <w:rPr>
          <w:rFonts w:hint="eastAsia" w:ascii="仿宋_GB2312" w:hAnsi="ˎ̥" w:eastAsia="仿宋_GB2312"/>
          <w:color w:val="auto"/>
          <w:sz w:val="32"/>
          <w:szCs w:val="32"/>
        </w:rPr>
        <w:t>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年度相关决算数据可取自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决算报表财决01表《收入支出决算总表》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361.07</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361.07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361.07</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306.05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84.48</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55.02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15.52</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361.07</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361.07</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56.66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13.56</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是</w:t>
      </w:r>
      <w:r>
        <w:rPr>
          <w:rFonts w:hint="eastAsia" w:ascii="仿宋_GB2312" w:hAnsi="仿宋" w:eastAsia="仿宋_GB2312"/>
          <w:color w:val="auto"/>
          <w:sz w:val="32"/>
          <w:szCs w:val="32"/>
          <w:highlight w:val="none"/>
        </w:rPr>
        <w:t>一般公共预算财政拨款</w:t>
      </w:r>
      <w:r>
        <w:rPr>
          <w:rFonts w:hint="eastAsia" w:ascii="仿宋_GB2312" w:hAnsi="仿宋" w:eastAsia="仿宋_GB2312"/>
          <w:color w:val="auto"/>
          <w:sz w:val="32"/>
          <w:szCs w:val="32"/>
          <w:highlight w:val="none"/>
          <w:lang w:eastAsia="zh-CN"/>
        </w:rPr>
        <w:t>减少</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56.66</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13.56</w:t>
      </w:r>
      <w:r>
        <w:rPr>
          <w:rFonts w:hint="eastAsia" w:ascii="仿宋_GB2312" w:hAnsi="ˎ̥" w:eastAsia="仿宋_GB2312"/>
          <w:color w:val="auto"/>
          <w:sz w:val="32"/>
          <w:szCs w:val="32"/>
        </w:rPr>
        <w:t>%，主要原因是</w:t>
      </w:r>
      <w:r>
        <w:rPr>
          <w:rFonts w:hint="eastAsia" w:ascii="仿宋_GB2312" w:hAnsi="仿宋" w:eastAsia="仿宋_GB2312"/>
          <w:color w:val="auto"/>
          <w:sz w:val="32"/>
          <w:szCs w:val="32"/>
          <w:highlight w:val="none"/>
          <w:lang w:val="en-US" w:eastAsia="zh-CN"/>
        </w:rPr>
        <w:t>项目支出减少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无变动</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无变动</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年度决算相关数据可取自财决公开04表。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年度决算相关数据可取自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9989_WPSOffice_Level2"/>
      <w:bookmarkStart w:id="78" w:name="_Toc13694_WPSOffice_Level2"/>
      <w:bookmarkStart w:id="79" w:name="_Toc23005_WPSOffice_Level2"/>
      <w:bookmarkStart w:id="80" w:name="_Toc21737_WPSOffice_Level2"/>
      <w:bookmarkStart w:id="81" w:name="_Toc19665_WPSOffice_Level2"/>
      <w:bookmarkStart w:id="82" w:name="_Toc17398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361.07</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56.66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13.56</w:t>
      </w:r>
      <w:r>
        <w:rPr>
          <w:rFonts w:hint="eastAsia" w:ascii="仿宋_GB2312" w:hAnsi="ˎ̥" w:eastAsia="仿宋_GB2312"/>
          <w:color w:val="auto"/>
          <w:sz w:val="32"/>
          <w:szCs w:val="32"/>
        </w:rPr>
        <w:t>%，主要原因是</w:t>
      </w:r>
      <w:r>
        <w:rPr>
          <w:rFonts w:hint="eastAsia" w:ascii="仿宋_GB2312" w:hAnsi="仿宋" w:eastAsia="仿宋_GB2312"/>
          <w:color w:val="auto"/>
          <w:sz w:val="32"/>
          <w:szCs w:val="32"/>
          <w:highlight w:val="none"/>
          <w:lang w:val="en-US" w:eastAsia="zh-CN"/>
        </w:rPr>
        <w:t xml:space="preserve">项目支出减少 </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23864_WPSOffice_Level2"/>
      <w:bookmarkStart w:id="84" w:name="_Toc18793_WPSOffice_Level2"/>
      <w:bookmarkStart w:id="85" w:name="_Toc27767_WPSOffice_Level2"/>
      <w:bookmarkStart w:id="86" w:name="_Toc19075_WPSOffice_Level2"/>
      <w:bookmarkStart w:id="87" w:name="_Toc2711_WPSOffice_Level2"/>
      <w:bookmarkStart w:id="88" w:name="_Toc19535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22318_WPSOffice_Level2"/>
      <w:bookmarkStart w:id="90" w:name="_Toc21701_WPSOffice_Level2"/>
      <w:bookmarkStart w:id="91" w:name="_Toc25136_WPSOffice_Level2"/>
      <w:bookmarkStart w:id="92" w:name="_Toc15415_WPSOffice_Level2"/>
      <w:bookmarkStart w:id="93" w:name="_Toc29364_WPSOffice_Level2"/>
      <w:bookmarkStart w:id="94" w:name="_Toc9502_WPSOffice_Level2"/>
      <w:r>
        <w:rPr>
          <w:rFonts w:hint="eastAsia" w:ascii="仿宋_GB2312" w:hAnsi="ˎ̥" w:eastAsia="仿宋_GB2312"/>
          <w:color w:val="auto"/>
          <w:sz w:val="32"/>
          <w:szCs w:val="32"/>
        </w:rPr>
        <w:t>2024年支出决算数为361.06万元，教育支出 267.49万元，占总支出的74.1%；社会保障和就业支出39.12万元，占总支出的10.8%；卫生健康支出32.01万元，占总支出的8.9%；住房保障支出22.44万元，占总支出的6.2%。</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346.67</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361.07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104.15</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lang w:eastAsia="zh-CN"/>
        </w:rPr>
        <w:t>教育支出</w:t>
      </w:r>
      <w:r>
        <w:rPr>
          <w:rFonts w:hint="eastAsia" w:ascii="仿宋_GB2312" w:hAnsi="ˎ̥" w:eastAsia="仿宋_GB2312"/>
          <w:b/>
          <w:color w:val="auto"/>
          <w:sz w:val="32"/>
          <w:szCs w:val="32"/>
        </w:rPr>
        <w:t>（类）</w:t>
      </w:r>
      <w:r>
        <w:rPr>
          <w:rFonts w:hint="eastAsia" w:ascii="仿宋_GB2312" w:hAnsi="ˎ̥" w:eastAsia="仿宋_GB2312"/>
          <w:b/>
          <w:color w:val="auto"/>
          <w:sz w:val="32"/>
          <w:szCs w:val="32"/>
          <w:lang w:eastAsia="zh-CN"/>
        </w:rPr>
        <w:t>普通教育</w:t>
      </w:r>
      <w:r>
        <w:rPr>
          <w:rFonts w:hint="eastAsia" w:ascii="仿宋_GB2312" w:hAnsi="ˎ̥" w:eastAsia="仿宋_GB2312"/>
          <w:b/>
          <w:color w:val="auto"/>
          <w:sz w:val="32"/>
          <w:szCs w:val="32"/>
        </w:rPr>
        <w:t>（款）</w:t>
      </w:r>
      <w:r>
        <w:rPr>
          <w:rFonts w:hint="eastAsia" w:ascii="仿宋_GB2312" w:hAnsi="ˎ̥" w:eastAsia="仿宋_GB2312"/>
          <w:b/>
          <w:color w:val="auto"/>
          <w:sz w:val="32"/>
          <w:szCs w:val="32"/>
          <w:lang w:eastAsia="zh-CN"/>
        </w:rPr>
        <w:t>学前教育</w:t>
      </w:r>
      <w:r>
        <w:rPr>
          <w:rFonts w:hint="eastAsia" w:ascii="仿宋_GB2312" w:hAnsi="ˎ̥" w:eastAsia="仿宋_GB2312"/>
          <w:b/>
          <w:color w:val="auto"/>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239</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267.49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111.92</w:t>
      </w:r>
      <w:r>
        <w:rPr>
          <w:rFonts w:hint="eastAsia" w:ascii="仿宋_GB2312" w:hAnsi="ˎ̥" w:eastAsia="仿宋_GB2312"/>
          <w:color w:val="auto"/>
          <w:sz w:val="32"/>
          <w:szCs w:val="32"/>
        </w:rPr>
        <w:t>%。决算数大于预算数的主要原因</w:t>
      </w:r>
      <w:r>
        <w:rPr>
          <w:rFonts w:hint="eastAsia" w:ascii="仿宋_GB2312" w:hAnsi="ˎ̥" w:eastAsia="仿宋_GB2312"/>
          <w:color w:val="auto"/>
          <w:sz w:val="32"/>
          <w:szCs w:val="32"/>
          <w:lang w:eastAsia="zh-CN"/>
        </w:rPr>
        <w:t>是幼儿园编外人员工资有变化</w:t>
      </w:r>
      <w:r>
        <w:rPr>
          <w:rFonts w:hint="eastAsia" w:ascii="仿宋_GB2312" w:hAnsi="ˎ̥" w:eastAsia="仿宋_GB2312"/>
          <w:color w:val="auto"/>
          <w:sz w:val="32"/>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eastAsia="zh-CN"/>
        </w:rPr>
        <w:t>社会保障和就业支出</w:t>
      </w:r>
      <w:r>
        <w:rPr>
          <w:rFonts w:hint="eastAsia" w:ascii="仿宋_GB2312" w:hAnsi="ˎ̥" w:eastAsia="仿宋_GB2312"/>
          <w:b/>
          <w:color w:val="auto"/>
          <w:sz w:val="32"/>
          <w:szCs w:val="32"/>
        </w:rPr>
        <w:t>（类）</w:t>
      </w:r>
      <w:r>
        <w:rPr>
          <w:rFonts w:hint="eastAsia" w:ascii="仿宋_GB2312" w:hAnsi="ˎ̥" w:eastAsia="仿宋_GB2312"/>
          <w:b/>
          <w:color w:val="auto"/>
          <w:sz w:val="32"/>
          <w:szCs w:val="32"/>
          <w:lang w:eastAsia="zh-CN"/>
        </w:rPr>
        <w:t>行政事业单位养老支出</w:t>
      </w:r>
      <w:r>
        <w:rPr>
          <w:rFonts w:hint="eastAsia" w:ascii="仿宋_GB2312" w:hAnsi="ˎ̥" w:eastAsia="仿宋_GB2312"/>
          <w:b/>
          <w:color w:val="auto"/>
          <w:sz w:val="32"/>
          <w:szCs w:val="32"/>
        </w:rPr>
        <w:t>（款）</w:t>
      </w:r>
      <w:r>
        <w:rPr>
          <w:rFonts w:hint="eastAsia" w:ascii="仿宋_GB2312" w:hAnsi="ˎ̥" w:eastAsia="仿宋_GB2312"/>
          <w:b/>
          <w:color w:val="auto"/>
          <w:sz w:val="32"/>
          <w:szCs w:val="32"/>
          <w:lang w:eastAsia="zh-CN"/>
        </w:rPr>
        <w:t>机关事业单位基本养老保险缴费支出</w:t>
      </w:r>
      <w:r>
        <w:rPr>
          <w:rFonts w:hint="eastAsia" w:ascii="仿宋_GB2312" w:hAnsi="ˎ̥" w:eastAsia="仿宋_GB2312"/>
          <w:b/>
          <w:color w:val="auto"/>
          <w:sz w:val="32"/>
          <w:szCs w:val="32"/>
        </w:rPr>
        <w:t>（项）机关事业单位职业年金缴费支出（项）。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44.81</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39.12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87.30</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小于</w:t>
      </w:r>
      <w:r>
        <w:rPr>
          <w:rFonts w:hint="eastAsia" w:ascii="仿宋_GB2312" w:hAnsi="ˎ̥" w:eastAsia="仿宋_GB2312"/>
          <w:color w:val="auto"/>
          <w:sz w:val="32"/>
          <w:szCs w:val="32"/>
        </w:rPr>
        <w:t>预算数的主要原因</w:t>
      </w:r>
      <w:r>
        <w:rPr>
          <w:rFonts w:hint="eastAsia" w:ascii="仿宋_GB2312" w:hAnsi="ˎ̥" w:eastAsia="仿宋_GB2312"/>
          <w:color w:val="auto"/>
          <w:sz w:val="32"/>
          <w:szCs w:val="32"/>
          <w:lang w:eastAsia="zh-CN"/>
        </w:rPr>
        <w:t>是</w:t>
      </w:r>
      <w:r>
        <w:rPr>
          <w:rFonts w:hint="eastAsia" w:ascii="仿宋_GB2312" w:hAnsi="ˎ̥" w:eastAsia="仿宋_GB2312"/>
          <w:color w:val="auto"/>
          <w:sz w:val="32"/>
          <w:szCs w:val="32"/>
          <w:lang w:val="en-US" w:eastAsia="zh-CN"/>
        </w:rPr>
        <w:t>24年调出一人</w:t>
      </w:r>
      <w:r>
        <w:rPr>
          <w:rFonts w:hint="eastAsia" w:ascii="仿宋_GB2312" w:hAnsi="ˎ̥" w:eastAsia="仿宋_GB2312"/>
          <w:color w:val="auto"/>
          <w:sz w:val="32"/>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eastAsia="zh-CN"/>
        </w:rPr>
        <w:t>卫生健康支出</w:t>
      </w:r>
      <w:r>
        <w:rPr>
          <w:rFonts w:hint="eastAsia" w:ascii="仿宋_GB2312" w:hAnsi="ˎ̥" w:eastAsia="仿宋_GB2312"/>
          <w:b/>
          <w:color w:val="auto"/>
          <w:sz w:val="32"/>
          <w:szCs w:val="32"/>
        </w:rPr>
        <w:t>（类）</w:t>
      </w:r>
      <w:r>
        <w:rPr>
          <w:rFonts w:hint="eastAsia" w:ascii="仿宋_GB2312" w:hAnsi="ˎ̥" w:eastAsia="仿宋_GB2312"/>
          <w:b/>
          <w:color w:val="auto"/>
          <w:sz w:val="32"/>
          <w:szCs w:val="32"/>
          <w:lang w:eastAsia="zh-CN"/>
        </w:rPr>
        <w:t>行政事业单位医疗</w:t>
      </w:r>
      <w:r>
        <w:rPr>
          <w:rFonts w:hint="eastAsia" w:ascii="仿宋_GB2312" w:hAnsi="ˎ̥" w:eastAsia="仿宋_GB2312"/>
          <w:b/>
          <w:color w:val="auto"/>
          <w:sz w:val="32"/>
          <w:szCs w:val="32"/>
        </w:rPr>
        <w:t>（款）</w:t>
      </w:r>
      <w:r>
        <w:rPr>
          <w:rFonts w:hint="eastAsia" w:ascii="仿宋_GB2312" w:hAnsi="ˎ̥" w:eastAsia="仿宋_GB2312"/>
          <w:b/>
          <w:color w:val="auto"/>
          <w:sz w:val="32"/>
          <w:szCs w:val="32"/>
          <w:lang w:eastAsia="zh-CN"/>
        </w:rPr>
        <w:t>事业单位医疗</w:t>
      </w:r>
      <w:r>
        <w:rPr>
          <w:rFonts w:hint="eastAsia" w:ascii="仿宋_GB2312" w:hAnsi="ˎ̥" w:eastAsia="仿宋_GB2312"/>
          <w:b/>
          <w:color w:val="auto"/>
          <w:sz w:val="32"/>
          <w:szCs w:val="32"/>
        </w:rPr>
        <w:t>（项）公务员医疗补助（项）其他行政事业单位医疗支出（项）。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36.47</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32.01</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87.78</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小于</w:t>
      </w:r>
      <w:r>
        <w:rPr>
          <w:rFonts w:hint="eastAsia" w:ascii="仿宋_GB2312" w:hAnsi="ˎ̥" w:eastAsia="仿宋_GB2312"/>
          <w:color w:val="auto"/>
          <w:sz w:val="32"/>
          <w:szCs w:val="32"/>
        </w:rPr>
        <w:t>预算数的主要原因</w:t>
      </w:r>
      <w:r>
        <w:rPr>
          <w:rFonts w:hint="eastAsia" w:ascii="仿宋_GB2312" w:hAnsi="ˎ̥" w:eastAsia="仿宋_GB2312"/>
          <w:color w:val="auto"/>
          <w:sz w:val="32"/>
          <w:szCs w:val="32"/>
          <w:lang w:eastAsia="zh-CN"/>
        </w:rPr>
        <w:t>是</w:t>
      </w:r>
      <w:r>
        <w:rPr>
          <w:rFonts w:hint="eastAsia" w:ascii="仿宋_GB2312" w:hAnsi="ˎ̥" w:eastAsia="仿宋_GB2312"/>
          <w:color w:val="auto"/>
          <w:sz w:val="32"/>
          <w:szCs w:val="32"/>
          <w:lang w:val="en-US" w:eastAsia="zh-CN"/>
        </w:rPr>
        <w:t>24年调出一人</w:t>
      </w:r>
      <w:r>
        <w:rPr>
          <w:rFonts w:hint="eastAsia" w:ascii="仿宋_GB2312" w:hAnsi="ˎ̥" w:eastAsia="仿宋_GB2312"/>
          <w:color w:val="auto"/>
          <w:sz w:val="32"/>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lang w:eastAsia="zh-CN"/>
        </w:rPr>
        <w:t>住房保障支出</w:t>
      </w:r>
      <w:r>
        <w:rPr>
          <w:rFonts w:hint="eastAsia" w:ascii="仿宋_GB2312" w:hAnsi="ˎ̥" w:eastAsia="仿宋_GB2312"/>
          <w:b/>
          <w:color w:val="auto"/>
          <w:sz w:val="32"/>
          <w:szCs w:val="32"/>
        </w:rPr>
        <w:t>（类）</w:t>
      </w:r>
      <w:r>
        <w:rPr>
          <w:rFonts w:hint="eastAsia" w:ascii="仿宋_GB2312" w:hAnsi="ˎ̥" w:eastAsia="仿宋_GB2312"/>
          <w:b/>
          <w:color w:val="auto"/>
          <w:sz w:val="32"/>
          <w:szCs w:val="32"/>
          <w:lang w:eastAsia="zh-CN"/>
        </w:rPr>
        <w:t>住房改革支出</w:t>
      </w:r>
      <w:r>
        <w:rPr>
          <w:rFonts w:hint="eastAsia" w:ascii="仿宋_GB2312" w:hAnsi="ˎ̥" w:eastAsia="仿宋_GB2312"/>
          <w:b/>
          <w:color w:val="auto"/>
          <w:sz w:val="32"/>
          <w:szCs w:val="32"/>
        </w:rPr>
        <w:t>（款）</w:t>
      </w:r>
      <w:r>
        <w:rPr>
          <w:rFonts w:hint="eastAsia" w:ascii="仿宋_GB2312" w:hAnsi="ˎ̥" w:eastAsia="仿宋_GB2312"/>
          <w:b/>
          <w:color w:val="auto"/>
          <w:sz w:val="32"/>
          <w:szCs w:val="32"/>
          <w:lang w:eastAsia="zh-CN"/>
        </w:rPr>
        <w:t>住房公积金</w:t>
      </w:r>
      <w:r>
        <w:rPr>
          <w:rFonts w:hint="eastAsia" w:ascii="仿宋_GB2312" w:hAnsi="ˎ̥" w:eastAsia="仿宋_GB2312"/>
          <w:b/>
          <w:color w:val="auto"/>
          <w:sz w:val="32"/>
          <w:szCs w:val="32"/>
        </w:rPr>
        <w:t>（项）。</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26.39</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22.44</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85.03</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小于</w:t>
      </w:r>
      <w:r>
        <w:rPr>
          <w:rFonts w:hint="eastAsia" w:ascii="仿宋_GB2312" w:hAnsi="ˎ̥" w:eastAsia="仿宋_GB2312"/>
          <w:color w:val="auto"/>
          <w:sz w:val="32"/>
          <w:szCs w:val="32"/>
        </w:rPr>
        <w:t>预算数的主要原因</w:t>
      </w:r>
      <w:r>
        <w:rPr>
          <w:rFonts w:hint="eastAsia" w:ascii="仿宋_GB2312" w:hAnsi="ˎ̥" w:eastAsia="仿宋_GB2312"/>
          <w:color w:val="auto"/>
          <w:sz w:val="32"/>
          <w:szCs w:val="32"/>
          <w:lang w:eastAsia="zh-CN"/>
        </w:rPr>
        <w:t>是</w:t>
      </w:r>
      <w:r>
        <w:rPr>
          <w:rFonts w:hint="eastAsia" w:ascii="仿宋_GB2312" w:hAnsi="ˎ̥" w:eastAsia="仿宋_GB2312"/>
          <w:color w:val="auto"/>
          <w:sz w:val="32"/>
          <w:szCs w:val="32"/>
          <w:lang w:val="en-US" w:eastAsia="zh-CN"/>
        </w:rPr>
        <w:t>24年调出一人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eastAsia="zh-CN"/>
        </w:rPr>
        <w:t>306.05</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301.84</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4.21</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可取自财决公开06表，各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w:t>
      </w:r>
      <w:r>
        <w:rPr>
          <w:rFonts w:hint="eastAsia" w:ascii="仿宋_GB2312" w:hAnsi="ˎ̥" w:eastAsia="仿宋_GB2312"/>
          <w:color w:val="auto"/>
          <w:sz w:val="32"/>
          <w:szCs w:val="32"/>
          <w:lang w:eastAsia="zh-CN"/>
        </w:rPr>
        <w:t>无变动</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决算相关数据取自财决公开07表；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lang w:val="en-US" w:eastAsia="zh-CN"/>
        </w:rPr>
        <w:t>年度单位决算报表</w:t>
      </w:r>
      <w:r>
        <w:rPr>
          <w:rFonts w:hint="eastAsia" w:ascii="仿宋_GB2312" w:hAnsi="ˎ̥" w:eastAsia="仿宋_GB2312"/>
          <w:color w:val="auto"/>
          <w:sz w:val="32"/>
          <w:szCs w:val="32"/>
        </w:rPr>
        <w:t>财决09表《政府性基金预算财政拨款收入支出决算表》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w:t>
      </w:r>
      <w:r>
        <w:rPr>
          <w:rFonts w:hint="eastAsia" w:ascii="仿宋_GB2312" w:hAnsi="ˎ̥" w:eastAsia="仿宋_GB2312"/>
          <w:color w:val="auto"/>
          <w:sz w:val="32"/>
          <w:szCs w:val="32"/>
          <w:lang w:eastAsia="zh-CN"/>
        </w:rPr>
        <w:t>无变动。</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决算相关数据取自财决公开08表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w:t>
      </w:r>
      <w:r>
        <w:rPr>
          <w:rFonts w:hint="eastAsia" w:ascii="仿宋_GB2312" w:hAnsi="ˎ̥" w:eastAsia="仿宋_GB2312"/>
          <w:color w:val="auto"/>
          <w:sz w:val="32"/>
          <w:szCs w:val="32"/>
          <w:lang w:eastAsia="zh-CN"/>
        </w:rPr>
        <w:t>无变动</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w:t>
      </w:r>
      <w:r>
        <w:rPr>
          <w:rFonts w:ascii="仿宋_GB2312" w:hAnsi="ˎ̥" w:eastAsia="仿宋_GB2312"/>
          <w:color w:val="auto"/>
          <w:sz w:val="32"/>
          <w:szCs w:val="32"/>
        </w:rPr>
        <w:t>数据</w:t>
      </w:r>
      <w:r>
        <w:rPr>
          <w:rFonts w:hint="eastAsia" w:ascii="仿宋_GB2312" w:hAnsi="ˎ̥" w:eastAsia="仿宋_GB2312"/>
          <w:color w:val="auto"/>
          <w:sz w:val="32"/>
          <w:szCs w:val="32"/>
        </w:rPr>
        <w:t>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ascii="仿宋_GB2312" w:hAnsi="ˎ̥" w:eastAsia="仿宋_GB2312"/>
          <w:color w:val="auto"/>
          <w:sz w:val="32"/>
          <w:szCs w:val="32"/>
        </w:rPr>
        <w:t>决算报表</w:t>
      </w:r>
      <w:r>
        <w:rPr>
          <w:rFonts w:hint="eastAsia" w:ascii="仿宋_GB2312" w:hAnsi="ˎ̥" w:eastAsia="仿宋_GB2312"/>
          <w:color w:val="auto"/>
          <w:sz w:val="32"/>
          <w:szCs w:val="32"/>
        </w:rPr>
        <w:t>F03表《机构</w:t>
      </w:r>
      <w:r>
        <w:rPr>
          <w:rFonts w:ascii="仿宋_GB2312" w:hAnsi="ˎ̥" w:eastAsia="仿宋_GB2312"/>
          <w:color w:val="auto"/>
          <w:sz w:val="32"/>
          <w:szCs w:val="32"/>
        </w:rPr>
        <w:t>运行信息表》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5" w:name="_Toc5978_WPSOffice_Level2"/>
      <w:bookmarkStart w:id="96" w:name="_Toc18325_WPSOffice_Level2"/>
      <w:bookmarkStart w:id="97" w:name="_Toc32639_WPSOffice_Level2"/>
      <w:bookmarkStart w:id="98" w:name="_Toc15565_WPSOffice_Level2"/>
      <w:bookmarkStart w:id="99" w:name="_Toc23598_WPSOffice_Level2"/>
      <w:bookmarkStart w:id="100" w:name="_Toc15262_WPSOffice_Level2"/>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屯昌县南吕镇中心幼儿园</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决算中行政单位和参公事业单位财政拨款基本支出中公用经费支出之和，事业单位没有机关运行经费支出）</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lang w:eastAsia="zh-CN"/>
        </w:rPr>
        <w:t>无变动</w:t>
      </w:r>
      <w:r>
        <w:rPr>
          <w:rFonts w:hint="eastAsia" w:ascii="仿宋_GB2312" w:hAnsi="ˎ̥" w:eastAsia="仿宋_GB2312"/>
          <w:color w:val="auto"/>
          <w:sz w:val="32"/>
          <w:szCs w:val="32"/>
        </w:rPr>
        <w:t>（具体增减原因由</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机关运行经费预算数可取自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决算报表财决01-1表《财政拨款收入支出决算总表》，年初预算数-一般公共预算财政拨款-公用经费，注意</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汇总公开决算时，因事业单位没有机关运行经费支出，故</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汇总的机关运行经费预算数应为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所属的各行政单位或参公单位的汇总数；决算数可取自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上述政府采购支出相关</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决算报表F03表《机构运行信息表》，授予中小企业和小微企业合同金额由各</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查阅本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1" w:name="_Toc527_WPSOffice_Level2"/>
      <w:bookmarkStart w:id="102" w:name="_Toc10902_WPSOffice_Level2"/>
      <w:bookmarkStart w:id="103" w:name="_Toc29584_WPSOffice_Level2"/>
      <w:bookmarkStart w:id="104" w:name="_Toc6016_WPSOffice_Level2"/>
      <w:bookmarkStart w:id="105" w:name="_Toc15129_WPSOffice_Level2"/>
      <w:bookmarkStart w:id="106" w:name="_Toc19989_WPSOffice_Level2"/>
      <w:r>
        <w:rPr>
          <w:rFonts w:hint="eastAsia" w:ascii="楷体" w:hAnsi="楷体" w:eastAsia="楷体" w:cs="楷体"/>
          <w:bCs/>
          <w:color w:val="auto"/>
          <w:sz w:val="32"/>
          <w:szCs w:val="32"/>
        </w:rPr>
        <w:t>（三）国有资产占用情况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1757.62</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上述国有资产占用情况相关数</w:t>
      </w:r>
      <w:r>
        <w:rPr>
          <w:rFonts w:hint="eastAsia" w:ascii="仿宋_GB2312" w:hAnsi="ˎ̥" w:eastAsia="仿宋_GB2312"/>
          <w:color w:val="auto"/>
          <w:sz w:val="32"/>
          <w:szCs w:val="32"/>
          <w:lang w:val="en-US" w:eastAsia="zh-CN"/>
        </w:rPr>
        <w:t>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决算F0</w:t>
      </w:r>
      <w:r>
        <w:rPr>
          <w:rFonts w:hint="default" w:ascii="仿宋_GB2312" w:hAnsi="ˎ̥" w:eastAsia="仿宋_GB2312"/>
          <w:color w:val="auto"/>
          <w:sz w:val="32"/>
          <w:szCs w:val="32"/>
          <w:lang w:val="en-US"/>
        </w:rPr>
        <w:t>2</w:t>
      </w:r>
      <w:r>
        <w:rPr>
          <w:rFonts w:hint="eastAsia" w:ascii="仿宋_GB2312" w:hAnsi="ˎ̥" w:eastAsia="仿宋_GB2312"/>
          <w:color w:val="auto"/>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07" w:name="_Toc15425_WPSOffice_Level1"/>
      <w:bookmarkStart w:id="108" w:name="_Toc8808_WPSOffice_Level1"/>
      <w:bookmarkStart w:id="109" w:name="_Toc11039_WPSOffice_Level1"/>
      <w:bookmarkStart w:id="110" w:name="_Toc8874_WPSOffice_Level1"/>
      <w:bookmarkStart w:id="111" w:name="_Toc17580_WPSOffice_Level1"/>
      <w:bookmarkStart w:id="112"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18</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199C2AB6"/>
    <w:multiLevelType w:val="singleLevel"/>
    <w:tmpl w:val="199C2AB6"/>
    <w:lvl w:ilvl="0" w:tentative="0">
      <w:start w:val="1"/>
      <w:numFmt w:val="chineseCounting"/>
      <w:suff w:val="nothing"/>
      <w:lvlText w:val="%1、"/>
      <w:lvlJc w:val="left"/>
      <w:rPr>
        <w:rFonts w:hint="eastAsia"/>
      </w:rPr>
    </w:lvl>
  </w:abstractNum>
  <w:abstractNum w:abstractNumId="2">
    <w:nsid w:val="28CF24BB"/>
    <w:multiLevelType w:val="singleLevel"/>
    <w:tmpl w:val="28CF24BB"/>
    <w:lvl w:ilvl="0" w:tentative="0">
      <w:start w:val="2"/>
      <w:numFmt w:val="decimal"/>
      <w:lvlText w:val="%1."/>
      <w:lvlJc w:val="left"/>
      <w:pPr>
        <w:tabs>
          <w:tab w:val="left" w:pos="312"/>
        </w:tabs>
      </w:p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A4B41BB"/>
    <w:rsid w:val="0FC80124"/>
    <w:rsid w:val="136F98C7"/>
    <w:rsid w:val="17427E68"/>
    <w:rsid w:val="1755065F"/>
    <w:rsid w:val="1AFC29C9"/>
    <w:rsid w:val="1CA52F2E"/>
    <w:rsid w:val="1E3630B9"/>
    <w:rsid w:val="26EEC2B5"/>
    <w:rsid w:val="29472309"/>
    <w:rsid w:val="2B406E77"/>
    <w:rsid w:val="2B5240A5"/>
    <w:rsid w:val="2C2A0C43"/>
    <w:rsid w:val="2D1E73A5"/>
    <w:rsid w:val="32717154"/>
    <w:rsid w:val="34B63260"/>
    <w:rsid w:val="37FDA7E2"/>
    <w:rsid w:val="39DF6547"/>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9C83ABE"/>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rPr>
  </w:style>
  <w:style w:type="paragraph" w:styleId="4">
    <w:name w:val="annotation text"/>
    <w:basedOn w:val="1"/>
    <w:link w:val="13"/>
    <w:qFormat/>
    <w:uiPriority w:val="0"/>
    <w:pPr>
      <w:jc w:val="left"/>
    </w:p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6"/>
    <w:qFormat/>
    <w:uiPriority w:val="0"/>
    <w:rPr>
      <w:b/>
      <w:bCs/>
    </w:rPr>
  </w:style>
  <w:style w:type="character" w:styleId="11">
    <w:name w:val="page number"/>
    <w:qFormat/>
    <w:uiPriority w:val="0"/>
  </w:style>
  <w:style w:type="character" w:styleId="12">
    <w:name w:val="annotation reference"/>
    <w:qFormat/>
    <w:uiPriority w:val="0"/>
    <w:rPr>
      <w:sz w:val="21"/>
      <w:szCs w:val="21"/>
    </w:rPr>
  </w:style>
  <w:style w:type="character" w:customStyle="1" w:styleId="13">
    <w:name w:val="批注文字 Char"/>
    <w:link w:val="4"/>
    <w:qFormat/>
    <w:uiPriority w:val="0"/>
    <w:rPr>
      <w:kern w:val="2"/>
      <w:sz w:val="21"/>
      <w:szCs w:val="24"/>
    </w:rPr>
  </w:style>
  <w:style w:type="character" w:customStyle="1" w:styleId="14">
    <w:name w:val="批注框文本 Char"/>
    <w:link w:val="5"/>
    <w:qFormat/>
    <w:uiPriority w:val="0"/>
    <w:rPr>
      <w:kern w:val="2"/>
      <w:sz w:val="18"/>
      <w:szCs w:val="18"/>
    </w:rPr>
  </w:style>
  <w:style w:type="character" w:customStyle="1" w:styleId="15">
    <w:name w:val="页眉 Char"/>
    <w:link w:val="7"/>
    <w:qFormat/>
    <w:uiPriority w:val="0"/>
    <w:rPr>
      <w:kern w:val="2"/>
      <w:sz w:val="18"/>
      <w:szCs w:val="18"/>
    </w:rPr>
  </w:style>
  <w:style w:type="character" w:customStyle="1" w:styleId="16">
    <w:name w:val="批注主题 Char"/>
    <w:link w:val="8"/>
    <w:qFormat/>
    <w:uiPriority w:val="0"/>
    <w:rPr>
      <w:b/>
      <w:bCs/>
      <w:kern w:val="2"/>
      <w:sz w:val="21"/>
      <w:szCs w:val="24"/>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WPSOffice手动目录 2"/>
    <w:qFormat/>
    <w:uiPriority w:val="0"/>
    <w:pPr>
      <w:ind w:leftChars="200"/>
    </w:pPr>
    <w:rPr>
      <w:rFonts w:ascii="Times New Roman" w:hAnsi="Times New Roman" w:eastAsia="宋体" w:cs="Times New Roman"/>
      <w:lang w:val="en-US" w:eastAsia="zh-CN" w:bidi="ar-SA"/>
    </w:rPr>
  </w:style>
  <w:style w:type="paragraph" w:customStyle="1" w:styleId="19">
    <w:name w:val="正文1 Char Char Char"/>
    <w:basedOn w:val="1"/>
    <w:qFormat/>
    <w:uiPriority w:val="0"/>
    <w:pPr>
      <w:spacing w:line="360" w:lineRule="auto"/>
      <w:ind w:firstLine="200" w:firstLineChars="200"/>
    </w:pPr>
  </w:style>
  <w:style w:type="paragraph" w:customStyle="1" w:styleId="20">
    <w:name w:val="列出段落1"/>
    <w:basedOn w:val="1"/>
    <w:qFormat/>
    <w:uiPriority w:val="34"/>
    <w:pPr>
      <w:ind w:firstLine="420" w:firstLineChars="200"/>
    </w:pPr>
    <w:rPr>
      <w:rFonts w:ascii="Calibri" w:hAnsi="Calibri" w:eastAsia="宋体" w:cs="黑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7197</Words>
  <Characters>8085</Characters>
  <Lines>67</Lines>
  <Paragraphs>18</Paragraphs>
  <TotalTime>39</TotalTime>
  <ScaleCrop>false</ScaleCrop>
  <LinksUpToDate>false</LinksUpToDate>
  <CharactersWithSpaces>8171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2025-10-27T07:38:59Z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eyJoZGlkIjoiZWQ2YzBiOTE5NmViNjk3NDQ5ZDZiOTZmZjc0YTkwNzciLCJ1c2VySWQiOiI0MTYxNDg2MzUifQ==</vt:lpwstr>
  </property>
</Properties>
</file>