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47D1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屯昌县枫木镇中心幼儿园2024年度</w:t>
      </w:r>
    </w:p>
    <w:p w14:paraId="1513614B">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14:paraId="4E69D18A">
      <w:pPr>
        <w:spacing w:line="578" w:lineRule="exact"/>
        <w:jc w:val="center"/>
        <w:rPr>
          <w:rFonts w:hint="eastAsia" w:ascii="黑体" w:hAnsi="ˎ̥" w:eastAsia="黑体"/>
          <w:b/>
          <w:sz w:val="32"/>
          <w:szCs w:val="32"/>
        </w:rPr>
      </w:pPr>
    </w:p>
    <w:p w14:paraId="0ABFCA1B">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57D8CFA0">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318DAC77">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4383E1D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6B987B7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14:paraId="3EF9449A">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14:paraId="6235FA56">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03461C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44BE2B46">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5F0015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2610D4A1">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4A7C8B38">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72817BAA">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49DEDE91">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1B124FF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69AC043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7574639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00F6F545">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30FE2FF0">
      <w:pPr>
        <w:spacing w:line="578" w:lineRule="exact"/>
        <w:jc w:val="both"/>
        <w:rPr>
          <w:rFonts w:hint="eastAsia" w:ascii="黑体" w:hAnsi="ˎ̥" w:eastAsia="黑体"/>
          <w:sz w:val="32"/>
          <w:szCs w:val="32"/>
        </w:rPr>
      </w:pPr>
      <w:bookmarkStart w:id="2" w:name="_Toc1704_WPSOffice_Level1"/>
      <w:bookmarkStart w:id="3" w:name="_Toc22941_WPSOffice_Level1"/>
      <w:bookmarkStart w:id="4" w:name="_Toc10720_WPSOffice_Level1"/>
      <w:bookmarkStart w:id="5" w:name="_Toc23465_WPSOffice_Level1"/>
      <w:bookmarkStart w:id="6" w:name="_Toc10049_WPSOffice_Level1"/>
      <w:bookmarkStart w:id="7" w:name="_Toc32433_WPSOffice_Level1"/>
      <w:bookmarkStart w:id="8" w:name="_Toc14159_WPSOffice_Level2"/>
      <w:bookmarkStart w:id="9" w:name="_Toc26580_WPSOffice_Level2"/>
      <w:bookmarkStart w:id="10" w:name="_Toc24238_WPSOffice_Level2"/>
      <w:bookmarkStart w:id="11" w:name="_Toc20274_WPSOffice_Level2"/>
      <w:bookmarkStart w:id="12" w:name="_Toc20205_WPSOffice_Level2"/>
      <w:bookmarkStart w:id="13" w:name="_Toc32622_WPSOffice_Level2"/>
    </w:p>
    <w:p w14:paraId="29BF9DB9">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310D9D02">
      <w:pPr>
        <w:spacing w:line="578" w:lineRule="exact"/>
        <w:ind w:firstLine="640" w:firstLineChars="200"/>
        <w:rPr>
          <w:rFonts w:hint="eastAsia" w:ascii="楷体" w:hAnsi="楷体" w:eastAsia="楷体" w:cs="楷体"/>
          <w:sz w:val="32"/>
          <w:szCs w:val="32"/>
        </w:rPr>
      </w:pPr>
    </w:p>
    <w:bookmarkEnd w:id="8"/>
    <w:bookmarkEnd w:id="9"/>
    <w:bookmarkEnd w:id="10"/>
    <w:bookmarkEnd w:id="11"/>
    <w:bookmarkEnd w:id="12"/>
    <w:bookmarkEnd w:id="13"/>
    <w:p w14:paraId="17557EC5">
      <w:pPr>
        <w:pStyle w:val="18"/>
        <w:numPr>
          <w:ilvl w:val="0"/>
          <w:numId w:val="2"/>
        </w:numPr>
        <w:shd w:val="clear" w:color="auto" w:fill="FFFFFF"/>
        <w:spacing w:before="100" w:beforeAutospacing="1" w:after="100" w:afterAutospacing="1"/>
        <w:ind w:left="1360" w:hanging="720" w:firstLineChars="0"/>
        <w:rPr>
          <w:rFonts w:hint="eastAsia" w:ascii="黑体" w:hAnsi="宋体" w:eastAsia="黑体" w:cs="楷体"/>
          <w:kern w:val="0"/>
          <w:sz w:val="32"/>
          <w:szCs w:val="32"/>
          <w:shd w:val="clear" w:color="auto" w:fill="FFFFFF"/>
        </w:rPr>
      </w:pPr>
      <w:bookmarkStart w:id="14" w:name="_Toc6234_WPSOffice_Level1"/>
      <w:bookmarkStart w:id="15" w:name="_Toc30690_WPSOffice_Level1"/>
      <w:bookmarkStart w:id="16" w:name="_Toc15521_WPSOffice_Level1"/>
      <w:bookmarkStart w:id="17" w:name="_Toc28253_WPSOffice_Level1"/>
      <w:bookmarkStart w:id="18" w:name="_Toc8164_WPSOffice_Level1"/>
      <w:bookmarkStart w:id="19" w:name="_Toc30451_WPSOffice_Level1"/>
      <w:bookmarkStart w:id="20" w:name="_Toc8867_WPSOffice_Level2"/>
      <w:bookmarkStart w:id="21" w:name="_Toc11518_WPSOffice_Level2"/>
      <w:bookmarkStart w:id="22" w:name="_Toc4029_WPSOffice_Level2"/>
      <w:bookmarkStart w:id="23" w:name="_Toc32472_WPSOffice_Level2"/>
      <w:bookmarkStart w:id="24" w:name="_Toc6211_WPSOffice_Level2"/>
      <w:bookmarkStart w:id="25" w:name="_Toc32695_WPSOffice_Level2"/>
      <w:r>
        <w:rPr>
          <w:rFonts w:hint="eastAsia" w:ascii="黑体" w:hAnsi="宋体" w:eastAsia="黑体" w:cs="黑体"/>
          <w:kern w:val="0"/>
          <w:sz w:val="32"/>
          <w:szCs w:val="32"/>
          <w:shd w:val="clear" w:color="auto" w:fill="FFFFFF"/>
        </w:rPr>
        <w:t>枫木镇中心幼儿园</w:t>
      </w:r>
      <w:r>
        <w:rPr>
          <w:rFonts w:hint="eastAsia" w:ascii="黑体" w:hAnsi="宋体" w:eastAsia="黑体" w:cs="黑体"/>
          <w:b/>
          <w:bCs/>
          <w:kern w:val="0"/>
          <w:sz w:val="32"/>
          <w:szCs w:val="32"/>
          <w:shd w:val="clear" w:color="auto" w:fill="FFFFFF"/>
        </w:rPr>
        <w:t>的</w:t>
      </w:r>
      <w:r>
        <w:rPr>
          <w:rFonts w:hint="eastAsia" w:ascii="黑体" w:hAnsi="宋体" w:eastAsia="黑体" w:cs="黑体"/>
          <w:kern w:val="0"/>
          <w:sz w:val="32"/>
          <w:szCs w:val="32"/>
          <w:shd w:val="clear" w:color="auto" w:fill="FFFFFF"/>
        </w:rPr>
        <w:t>职责</w:t>
      </w:r>
    </w:p>
    <w:p w14:paraId="6F53B8A6">
      <w:pPr>
        <w:keepNext w:val="0"/>
        <w:keepLines w:val="0"/>
        <w:widowControl/>
        <w:suppressLineNumbers w:val="0"/>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（一）我园执行并学习县教育局制定的改革与发展战略和教育事业发展规划、年度计划;教育事业的发展重点、结构、规模、速度和步骤、教育信息的统计工作等等。</w:t>
      </w:r>
    </w:p>
    <w:p w14:paraId="77B178DB">
      <w:pPr>
        <w:keepNext w:val="0"/>
        <w:keepLines w:val="0"/>
        <w:widowControl/>
        <w:suppressLineNumbers w:val="0"/>
        <w:ind w:left="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（二）我园负责授权范围内的教职工管理工作;协助有关部门做好教育系统的纪检、监察、审计、群团等工作。</w:t>
      </w:r>
    </w:p>
    <w:p w14:paraId="2D63FBB9">
      <w:pPr>
        <w:keepNext w:val="0"/>
        <w:keepLines w:val="0"/>
        <w:widowControl/>
        <w:suppressLineNumbers w:val="0"/>
        <w:ind w:left="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（三）履行并接受县教育局协调指导的教育体制、办学体制及学校内部管理体制的改革,教育内部与外部的关系。</w:t>
      </w:r>
    </w:p>
    <w:p w14:paraId="5C7BAA75">
      <w:pPr>
        <w:pStyle w:val="17"/>
        <w:numPr>
          <w:ilvl w:val="0"/>
          <w:numId w:val="0"/>
        </w:num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综合管理全园的幼儿教育，主管全园教师工作，指导各级各班老师们的思想政治工作、品德教育工作、体育卫生与艺术教育工作、国防教育工作及安全稳定工作。</w:t>
      </w:r>
    </w:p>
    <w:p w14:paraId="74471795">
      <w:pPr>
        <w:pStyle w:val="17"/>
        <w:numPr>
          <w:ilvl w:val="0"/>
          <w:numId w:val="0"/>
        </w:num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组织全园的招生指导计划并组织实施。</w:t>
      </w:r>
    </w:p>
    <w:p w14:paraId="74E67807">
      <w:pPr>
        <w:pStyle w:val="17"/>
        <w:numPr>
          <w:ilvl w:val="0"/>
          <w:numId w:val="0"/>
        </w:num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统筹管理本园的教育经费。</w:t>
      </w:r>
    </w:p>
    <w:p w14:paraId="0A6C8084">
      <w:pPr>
        <w:pStyle w:val="17"/>
        <w:numPr>
          <w:ilvl w:val="0"/>
          <w:numId w:val="0"/>
        </w:num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负责管理全园教育、教科研工作和信息化建设。</w:t>
      </w:r>
    </w:p>
    <w:p w14:paraId="63BAC88F">
      <w:pPr>
        <w:pStyle w:val="17"/>
        <w:numPr>
          <w:ilvl w:val="0"/>
          <w:numId w:val="0"/>
        </w:num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承办县教育局的有关部门交办的其他事项。</w:t>
      </w:r>
    </w:p>
    <w:p w14:paraId="29E58689">
      <w:pPr>
        <w:keepNext w:val="0"/>
        <w:keepLines w:val="0"/>
        <w:widowControl/>
        <w:suppressLineNumbers w:val="0"/>
        <w:ind w:left="0" w:firstLine="640" w:firstLineChars="200"/>
        <w:rPr>
          <w:rFonts w:hint="eastAsia" w:ascii="仿宋_GB2312" w:hAnsi="仿宋_GB2312" w:eastAsia="仿宋_GB2312" w:cs="仿宋_GB2312"/>
          <w:kern w:val="0"/>
          <w:sz w:val="32"/>
          <w:szCs w:val="32"/>
        </w:rPr>
      </w:pPr>
    </w:p>
    <w:p w14:paraId="38920F02">
      <w:pPr>
        <w:numPr>
          <w:ilvl w:val="0"/>
          <w:numId w:val="0"/>
        </w:numPr>
        <w:spacing w:line="578" w:lineRule="exact"/>
        <w:rPr>
          <w:rFonts w:hint="eastAsia" w:ascii="黑体" w:hAnsi="黑体" w:eastAsia="黑体" w:cs="黑体"/>
          <w:sz w:val="32"/>
          <w:szCs w:val="32"/>
        </w:rPr>
      </w:pPr>
    </w:p>
    <w:p w14:paraId="014D2270">
      <w:pPr>
        <w:keepNext w:val="0"/>
        <w:keepLines w:val="0"/>
        <w:widowControl/>
        <w:suppressLineNumbers w:val="0"/>
        <w:spacing w:before="100" w:beforeAutospacing="1" w:after="100" w:afterAutospacing="1"/>
        <w:ind w:right="0" w:firstLine="640" w:firstLineChars="200"/>
        <w:rPr>
          <w:rFonts w:hint="eastAsia" w:ascii="黑体" w:hAnsi="宋体" w:eastAsia="黑体" w:cs="黑体"/>
          <w:kern w:val="0"/>
          <w:sz w:val="32"/>
          <w:szCs w:val="32"/>
        </w:rPr>
      </w:pPr>
      <w:r>
        <w:rPr>
          <w:rFonts w:hint="eastAsia" w:ascii="黑体" w:hAnsi="宋体" w:eastAsia="黑体" w:cs="黑体"/>
          <w:kern w:val="0"/>
          <w:sz w:val="32"/>
          <w:szCs w:val="32"/>
        </w:rPr>
        <w:t>二、机构设置</w:t>
      </w:r>
    </w:p>
    <w:p w14:paraId="1D8E1983">
      <w:pPr>
        <w:spacing w:line="578" w:lineRule="exact"/>
        <w:jc w:val="left"/>
        <w:rPr>
          <w:rFonts w:hint="eastAsia" w:ascii="仿宋_GB2312" w:hAnsi="仿宋_GB2312" w:eastAsia="仿宋_GB2312" w:cs="仿宋_GB2312"/>
          <w:sz w:val="32"/>
          <w:szCs w:val="32"/>
        </w:rPr>
      </w:pPr>
      <w:r>
        <w:rPr>
          <w:rFonts w:hint="eastAsia" w:ascii="serif" w:hAnsi="serif" w:eastAsia="宋体" w:cs="serif"/>
          <w:kern w:val="0"/>
          <w:sz w:val="32"/>
          <w:szCs w:val="32"/>
          <w:shd w:val="clear" w:color="auto" w:fill="FFFFFF"/>
          <w:lang w:val="en-US" w:eastAsia="zh-CN"/>
        </w:rPr>
        <w:t xml:space="preserve">   </w:t>
      </w:r>
      <w:r>
        <w:rPr>
          <w:rFonts w:hint="eastAsia" w:ascii="仿宋_GB2312" w:hAnsi="仿宋_GB2312" w:eastAsia="仿宋_GB2312" w:cs="仿宋_GB2312"/>
          <w:kern w:val="0"/>
          <w:sz w:val="32"/>
          <w:szCs w:val="32"/>
          <w:shd w:val="clear" w:color="auto" w:fill="FFFFFF"/>
          <w:lang w:val="en-US" w:eastAsia="zh-CN"/>
        </w:rPr>
        <w:t xml:space="preserve"> </w:t>
      </w:r>
      <w:r>
        <w:rPr>
          <w:rFonts w:hint="eastAsia" w:ascii="仿宋_GB2312" w:hAnsi="仿宋_GB2312" w:eastAsia="仿宋_GB2312" w:cs="仿宋_GB2312"/>
          <w:kern w:val="0"/>
          <w:sz w:val="32"/>
          <w:szCs w:val="32"/>
          <w:shd w:val="clear" w:color="auto" w:fill="FFFFFF"/>
        </w:rPr>
        <w:t>屯昌县枫木镇中心幼儿园是县编委会决定成立的幼儿园。隶属屯昌县教育局，为财政预算管理事业单位。</w:t>
      </w:r>
    </w:p>
    <w:p w14:paraId="0C99761D">
      <w:pPr>
        <w:spacing w:line="578" w:lineRule="exact"/>
        <w:jc w:val="center"/>
        <w:rPr>
          <w:rFonts w:hint="eastAsia" w:ascii="黑体" w:hAnsi="ˎ̥" w:eastAsia="黑体"/>
          <w:sz w:val="32"/>
          <w:szCs w:val="32"/>
        </w:rPr>
      </w:pPr>
    </w:p>
    <w:p w14:paraId="1473BFB9">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4"/>
      <w:bookmarkEnd w:id="15"/>
      <w:bookmarkEnd w:id="16"/>
      <w:bookmarkEnd w:id="17"/>
      <w:bookmarkEnd w:id="18"/>
      <w:bookmarkEnd w:id="19"/>
    </w:p>
    <w:p w14:paraId="6A4134A6">
      <w:pPr>
        <w:spacing w:line="578" w:lineRule="exact"/>
        <w:ind w:firstLine="645"/>
        <w:rPr>
          <w:rFonts w:hint="eastAsia" w:ascii="黑体" w:hAnsi="黑体" w:eastAsia="黑体" w:cs="黑体"/>
          <w:sz w:val="32"/>
          <w:szCs w:val="32"/>
        </w:rPr>
      </w:pPr>
    </w:p>
    <w:p w14:paraId="4772947E">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0"/>
      <w:bookmarkEnd w:id="21"/>
      <w:bookmarkEnd w:id="22"/>
      <w:bookmarkEnd w:id="23"/>
      <w:bookmarkEnd w:id="24"/>
      <w:bookmarkEnd w:id="25"/>
    </w:p>
    <w:p w14:paraId="238BC0C7">
      <w:pPr>
        <w:spacing w:line="578" w:lineRule="exact"/>
        <w:ind w:firstLine="645"/>
        <w:rPr>
          <w:rFonts w:hint="eastAsia" w:ascii="黑体" w:hAnsi="黑体" w:eastAsia="黑体" w:cs="黑体"/>
          <w:sz w:val="32"/>
          <w:szCs w:val="32"/>
        </w:rPr>
      </w:pPr>
      <w:bookmarkStart w:id="26" w:name="_Toc25608_WPSOffice_Level2"/>
      <w:bookmarkStart w:id="27" w:name="_Toc30334_WPSOffice_Level2"/>
      <w:bookmarkStart w:id="28" w:name="_Toc14349_WPSOffice_Level2"/>
      <w:bookmarkStart w:id="29" w:name="_Toc26621_WPSOffice_Level2"/>
      <w:bookmarkStart w:id="30" w:name="_Toc28622_WPSOffice_Level2"/>
      <w:bookmarkStart w:id="31" w:name="_Toc23139_WPSOffice_Level2"/>
      <w:r>
        <w:rPr>
          <w:rFonts w:hint="eastAsia" w:ascii="黑体" w:hAnsi="黑体" w:eastAsia="黑体" w:cs="黑体"/>
          <w:sz w:val="32"/>
          <w:szCs w:val="32"/>
        </w:rPr>
        <w:t>二、收入决算公开表</w:t>
      </w:r>
      <w:bookmarkEnd w:id="26"/>
      <w:bookmarkEnd w:id="27"/>
      <w:bookmarkEnd w:id="28"/>
      <w:bookmarkEnd w:id="29"/>
      <w:bookmarkEnd w:id="30"/>
      <w:bookmarkEnd w:id="31"/>
      <w:bookmarkStart w:id="32" w:name="_Toc3262_WPSOffice_Level2"/>
      <w:bookmarkStart w:id="33" w:name="_Toc5489_WPSOffice_Level2"/>
      <w:bookmarkStart w:id="34" w:name="_Toc17626_WPSOffice_Level2"/>
      <w:bookmarkStart w:id="35" w:name="_Toc17858_WPSOffice_Level2"/>
      <w:bookmarkStart w:id="36" w:name="_Toc13854_WPSOffice_Level2"/>
      <w:bookmarkStart w:id="37" w:name="_Toc14658_WPSOffice_Level2"/>
    </w:p>
    <w:p w14:paraId="042B4B8B">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2"/>
      <w:bookmarkEnd w:id="33"/>
      <w:bookmarkEnd w:id="34"/>
      <w:bookmarkEnd w:id="35"/>
      <w:bookmarkEnd w:id="36"/>
      <w:bookmarkEnd w:id="37"/>
      <w:bookmarkStart w:id="38" w:name="_Toc7988_WPSOffice_Level2"/>
      <w:bookmarkStart w:id="39" w:name="_Toc4265_WPSOffice_Level2"/>
      <w:bookmarkStart w:id="40" w:name="_Toc21415_WPSOffice_Level2"/>
      <w:bookmarkStart w:id="41" w:name="_Toc23591_WPSOffice_Level2"/>
      <w:bookmarkStart w:id="42" w:name="_Toc23493_WPSOffice_Level2"/>
      <w:bookmarkStart w:id="43" w:name="_Toc13701_WPSOffice_Level2"/>
    </w:p>
    <w:p w14:paraId="57227AA1">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38"/>
      <w:bookmarkEnd w:id="39"/>
      <w:bookmarkEnd w:id="40"/>
      <w:bookmarkEnd w:id="41"/>
      <w:bookmarkEnd w:id="42"/>
      <w:bookmarkEnd w:id="43"/>
    </w:p>
    <w:p w14:paraId="29E05F0A">
      <w:pPr>
        <w:spacing w:line="578" w:lineRule="exact"/>
        <w:ind w:firstLine="645"/>
        <w:rPr>
          <w:rFonts w:hint="eastAsia" w:ascii="黑体" w:hAnsi="黑体" w:eastAsia="黑体" w:cs="黑体"/>
          <w:sz w:val="32"/>
          <w:szCs w:val="32"/>
        </w:rPr>
      </w:pPr>
      <w:bookmarkStart w:id="44" w:name="_Toc7879_WPSOffice_Level2"/>
      <w:bookmarkStart w:id="45" w:name="_Toc22783_WPSOffice_Level2"/>
      <w:bookmarkStart w:id="46" w:name="_Toc25166_WPSOffice_Level2"/>
      <w:bookmarkStart w:id="47" w:name="_Toc23829_WPSOffice_Level2"/>
      <w:bookmarkStart w:id="48" w:name="_Toc2158_WPSOffice_Level2"/>
      <w:bookmarkStart w:id="49" w:name="_Toc13516_WPSOffice_Level2"/>
      <w:r>
        <w:rPr>
          <w:rFonts w:hint="eastAsia" w:ascii="黑体" w:hAnsi="黑体" w:eastAsia="黑体" w:cs="黑体"/>
          <w:sz w:val="32"/>
          <w:szCs w:val="32"/>
        </w:rPr>
        <w:t>五、一般公共预算财政拨款收入支出决算</w:t>
      </w:r>
      <w:bookmarkEnd w:id="44"/>
      <w:bookmarkEnd w:id="45"/>
      <w:bookmarkEnd w:id="46"/>
      <w:bookmarkEnd w:id="47"/>
      <w:r>
        <w:rPr>
          <w:rFonts w:hint="eastAsia" w:ascii="黑体" w:hAnsi="黑体" w:eastAsia="黑体" w:cs="黑体"/>
          <w:sz w:val="32"/>
          <w:szCs w:val="32"/>
        </w:rPr>
        <w:t>公开表</w:t>
      </w:r>
      <w:bookmarkEnd w:id="48"/>
      <w:bookmarkEnd w:id="49"/>
      <w:bookmarkStart w:id="50" w:name="_Toc17833_WPSOffice_Level2"/>
      <w:bookmarkStart w:id="51" w:name="_Toc5343_WPSOffice_Level2"/>
      <w:bookmarkStart w:id="52" w:name="_Toc25362_WPSOffice_Level2"/>
      <w:bookmarkStart w:id="53" w:name="_Toc17283_WPSOffice_Level2"/>
      <w:bookmarkStart w:id="54" w:name="_Toc2632_WPSOffice_Level2"/>
      <w:bookmarkStart w:id="55" w:name="_Toc8373_WPSOffice_Level2"/>
    </w:p>
    <w:p w14:paraId="723D4655">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0"/>
      <w:bookmarkEnd w:id="51"/>
      <w:bookmarkEnd w:id="52"/>
      <w:bookmarkEnd w:id="53"/>
      <w:bookmarkEnd w:id="54"/>
      <w:bookmarkEnd w:id="55"/>
      <w:r>
        <w:rPr>
          <w:rFonts w:hint="eastAsia" w:ascii="黑体" w:hAnsi="黑体" w:eastAsia="黑体" w:cs="黑体"/>
          <w:sz w:val="32"/>
          <w:szCs w:val="32"/>
        </w:rPr>
        <w:t>公开表</w:t>
      </w:r>
    </w:p>
    <w:p w14:paraId="597BB2F0">
      <w:pPr>
        <w:spacing w:line="578" w:lineRule="exact"/>
        <w:ind w:left="1118" w:leftChars="304" w:hanging="480" w:hangingChars="150"/>
        <w:rPr>
          <w:rFonts w:hint="eastAsia" w:ascii="黑体" w:hAnsi="黑体" w:eastAsia="黑体" w:cs="黑体"/>
          <w:sz w:val="32"/>
          <w:szCs w:val="32"/>
        </w:rPr>
      </w:pPr>
      <w:bookmarkStart w:id="56" w:name="_Toc13345_WPSOffice_Level2"/>
      <w:bookmarkStart w:id="57" w:name="_Toc21310_WPSOffice_Level2"/>
      <w:bookmarkStart w:id="58" w:name="_Toc5594_WPSOffice_Level2"/>
      <w:bookmarkStart w:id="59" w:name="_Toc1533_WPSOffice_Level2"/>
      <w:bookmarkStart w:id="60" w:name="_Toc6020_WPSOffice_Level2"/>
      <w:bookmarkStart w:id="61" w:name="_Toc11799_WPSOffice_Level2"/>
      <w:r>
        <w:rPr>
          <w:rFonts w:hint="eastAsia" w:ascii="黑体" w:hAnsi="黑体" w:eastAsia="黑体" w:cs="黑体"/>
          <w:sz w:val="32"/>
          <w:szCs w:val="32"/>
        </w:rPr>
        <w:t>七、政府性基金预算财政拨款收入支出决算</w:t>
      </w:r>
      <w:bookmarkEnd w:id="56"/>
      <w:bookmarkEnd w:id="57"/>
      <w:bookmarkEnd w:id="58"/>
      <w:bookmarkEnd w:id="59"/>
      <w:bookmarkEnd w:id="60"/>
      <w:bookmarkEnd w:id="61"/>
      <w:r>
        <w:rPr>
          <w:rFonts w:hint="eastAsia" w:ascii="黑体" w:hAnsi="黑体" w:eastAsia="黑体" w:cs="黑体"/>
          <w:sz w:val="32"/>
          <w:szCs w:val="32"/>
        </w:rPr>
        <w:t>公开表</w:t>
      </w:r>
    </w:p>
    <w:p w14:paraId="0DB798A0">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21AF811B">
      <w:pPr>
        <w:spacing w:line="578" w:lineRule="exact"/>
        <w:ind w:firstLine="640"/>
        <w:rPr>
          <w:rFonts w:hint="eastAsia" w:ascii="黑体" w:hAnsi="黑体" w:eastAsia="黑体" w:cs="黑体"/>
          <w:sz w:val="32"/>
          <w:szCs w:val="32"/>
        </w:rPr>
      </w:pPr>
      <w:bookmarkStart w:id="62" w:name="_Toc1820_WPSOffice_Level2"/>
      <w:bookmarkStart w:id="63" w:name="_Toc19961_WPSOffice_Level2"/>
      <w:bookmarkStart w:id="64" w:name="_Toc29886_WPSOffice_Level2"/>
      <w:bookmarkStart w:id="65" w:name="_Toc9377_WPSOffice_Level2"/>
      <w:r>
        <w:rPr>
          <w:rFonts w:hint="eastAsia" w:ascii="黑体" w:hAnsi="黑体" w:eastAsia="黑体" w:cs="黑体"/>
          <w:sz w:val="32"/>
          <w:szCs w:val="32"/>
        </w:rPr>
        <w:t>九、财政拨款“三公”经费支出决算</w:t>
      </w:r>
      <w:bookmarkEnd w:id="62"/>
      <w:bookmarkEnd w:id="63"/>
      <w:bookmarkEnd w:id="64"/>
      <w:bookmarkEnd w:id="65"/>
      <w:r>
        <w:rPr>
          <w:rFonts w:hint="eastAsia" w:ascii="黑体" w:hAnsi="黑体" w:eastAsia="黑体" w:cs="黑体"/>
          <w:sz w:val="32"/>
          <w:szCs w:val="32"/>
        </w:rPr>
        <w:t>公开表</w:t>
      </w:r>
    </w:p>
    <w:p w14:paraId="62ACFC02">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15849F52">
      <w:pPr>
        <w:spacing w:line="578" w:lineRule="exact"/>
        <w:rPr>
          <w:rFonts w:hint="eastAsia" w:ascii="黑体" w:hAnsi="黑体" w:eastAsia="黑体" w:cs="黑体"/>
          <w:sz w:val="32"/>
          <w:szCs w:val="32"/>
        </w:rPr>
      </w:pPr>
    </w:p>
    <w:p w14:paraId="38C9C6FB">
      <w:pPr>
        <w:spacing w:line="578" w:lineRule="exact"/>
        <w:jc w:val="center"/>
        <w:rPr>
          <w:rFonts w:hint="eastAsia" w:ascii="黑体" w:hAnsi="ˎ̥" w:eastAsia="黑体"/>
          <w:sz w:val="32"/>
          <w:szCs w:val="32"/>
        </w:rPr>
      </w:pPr>
      <w:bookmarkStart w:id="66" w:name="_Toc31264_WPSOffice_Level1"/>
      <w:bookmarkStart w:id="67" w:name="_Toc28629_WPSOffice_Level1"/>
      <w:bookmarkStart w:id="68" w:name="_Toc16686_WPSOffice_Level1"/>
      <w:bookmarkStart w:id="69" w:name="_Toc4402_WPSOffice_Level1"/>
      <w:bookmarkStart w:id="70" w:name="_Toc27590_WPSOffice_Level1"/>
      <w:bookmarkStart w:id="71"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66"/>
      <w:bookmarkEnd w:id="67"/>
      <w:bookmarkEnd w:id="68"/>
      <w:bookmarkEnd w:id="69"/>
      <w:bookmarkEnd w:id="70"/>
      <w:bookmarkEnd w:id="71"/>
    </w:p>
    <w:p w14:paraId="64A4B52E">
      <w:pPr>
        <w:spacing w:line="578" w:lineRule="exact"/>
        <w:jc w:val="center"/>
        <w:rPr>
          <w:rFonts w:hint="eastAsia" w:ascii="黑体" w:hAnsi="ˎ̥" w:eastAsia="黑体"/>
          <w:sz w:val="32"/>
          <w:szCs w:val="32"/>
        </w:rPr>
      </w:pPr>
    </w:p>
    <w:p w14:paraId="0D7FA0C8">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658.59</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658.59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31.74</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%。主要原因：</w:t>
      </w:r>
      <w:r>
        <w:rPr>
          <w:rFonts w:hint="eastAsia" w:ascii="仿宋" w:hAnsi="仿宋" w:eastAsia="仿宋" w:cs="仿宋"/>
          <w:kern w:val="0"/>
          <w:sz w:val="32"/>
          <w:szCs w:val="32"/>
          <w:shd w:val="clear" w:color="auto" w:fill="FFFFFF"/>
        </w:rPr>
        <w:t>一是一般公共预算财政拨款收入增加；二是教育支出增加；三是卫生健康支出增加</w:t>
      </w:r>
      <w:r>
        <w:rPr>
          <w:rFonts w:hint="eastAsia" w:ascii="仿宋_GB2312" w:hAnsi="ˎ̥" w:eastAsia="仿宋_GB2312"/>
          <w:sz w:val="32"/>
          <w:szCs w:val="32"/>
        </w:rPr>
        <w:t>。</w:t>
      </w:r>
    </w:p>
    <w:p w14:paraId="231D0787">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320" w:firstLineChars="1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034335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657.19</w:t>
      </w:r>
      <w:r>
        <w:rPr>
          <w:rFonts w:hint="eastAsia" w:ascii="仿宋_GB2312" w:hAnsi="ˎ̥" w:eastAsia="仿宋_GB2312"/>
          <w:sz w:val="32"/>
          <w:szCs w:val="32"/>
        </w:rPr>
        <w:t>万元。使用非财政拨款结余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30.73</w:t>
      </w:r>
      <w:r>
        <w:rPr>
          <w:rFonts w:hint="eastAsia" w:ascii="仿宋_GB2312" w:hAnsi="ˎ̥" w:eastAsia="仿宋_GB2312"/>
          <w:sz w:val="32"/>
          <w:szCs w:val="32"/>
        </w:rPr>
        <w:t>万元，主要原因是</w:t>
      </w:r>
      <w:r>
        <w:rPr>
          <w:rFonts w:hint="eastAsia" w:ascii="仿宋" w:hAnsi="仿宋" w:eastAsia="仿宋" w:cs="仿宋"/>
          <w:kern w:val="0"/>
          <w:sz w:val="32"/>
          <w:szCs w:val="32"/>
          <w:shd w:val="clear" w:color="auto" w:fill="FFFFFF"/>
        </w:rPr>
        <w:t>一般公共预算财政拨款收入增加</w:t>
      </w:r>
      <w:r>
        <w:rPr>
          <w:rFonts w:hint="eastAsia" w:ascii="仿宋_GB2312" w:hAnsi="ˎ̥" w:eastAsia="仿宋_GB2312"/>
          <w:sz w:val="32"/>
          <w:szCs w:val="32"/>
        </w:rPr>
        <w:t>。。</w:t>
      </w:r>
    </w:p>
    <w:p w14:paraId="382DD27F">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1.40</w:t>
      </w:r>
      <w:r>
        <w:rPr>
          <w:rFonts w:hint="eastAsia" w:ascii="仿宋_GB2312" w:hAnsi="ˎ̥" w:eastAsia="仿宋_GB2312"/>
          <w:sz w:val="32"/>
          <w:szCs w:val="32"/>
        </w:rPr>
        <w:t>万元，</w:t>
      </w:r>
      <w:r>
        <w:rPr>
          <w:rFonts w:hint="eastAsia" w:ascii="仿宋_GB2312" w:hAnsi="ˎ̥" w:eastAsia="仿宋_GB2312"/>
          <w:sz w:val="32"/>
          <w:szCs w:val="32"/>
          <w:lang w:eastAsia="zh-CN"/>
        </w:rPr>
        <w:t>主要是</w:t>
      </w:r>
      <w:r>
        <w:rPr>
          <w:rFonts w:hint="eastAsia" w:ascii="仿宋" w:hAnsi="仿宋" w:eastAsia="仿宋" w:cs="仿宋"/>
          <w:kern w:val="0"/>
          <w:sz w:val="32"/>
          <w:szCs w:val="32"/>
          <w:shd w:val="clear" w:color="auto" w:fill="FFFFFF"/>
        </w:rPr>
        <w:t>年初结转结余</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30.73</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%，主要原因是</w:t>
      </w:r>
      <w:r>
        <w:rPr>
          <w:rFonts w:hint="eastAsia" w:ascii="仿宋" w:hAnsi="仿宋" w:eastAsia="仿宋" w:cs="仿宋"/>
          <w:kern w:val="0"/>
          <w:sz w:val="32"/>
          <w:szCs w:val="32"/>
          <w:shd w:val="clear" w:color="auto" w:fill="FFFFFF"/>
        </w:rPr>
        <w:t>般公共预算财政拨款收入增加</w:t>
      </w:r>
      <w:r>
        <w:rPr>
          <w:rFonts w:hint="eastAsia" w:ascii="仿宋_GB2312" w:hAnsi="ˎ̥" w:eastAsia="仿宋_GB2312"/>
          <w:sz w:val="32"/>
          <w:szCs w:val="32"/>
        </w:rPr>
        <w:t>。</w:t>
      </w:r>
    </w:p>
    <w:p w14:paraId="7DC9809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162E4FD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658.19</w:t>
      </w:r>
      <w:r>
        <w:rPr>
          <w:rFonts w:hint="eastAsia" w:ascii="仿宋_GB2312" w:hAnsi="ˎ̥" w:eastAsia="仿宋_GB2312"/>
          <w:sz w:val="32"/>
          <w:szCs w:val="32"/>
        </w:rPr>
        <w:t>万元。</w:t>
      </w:r>
    </w:p>
    <w:p w14:paraId="4C3362F0">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结余分配</w:t>
      </w:r>
      <w:r>
        <w:rPr>
          <w:rFonts w:hint="eastAsia" w:ascii="仿宋_GB2312" w:hAnsi="ˎ̥" w:eastAsia="仿宋_GB2312"/>
          <w:color w:val="FF0000"/>
          <w:sz w:val="32"/>
          <w:szCs w:val="32"/>
          <w:lang w:val="en-US" w:eastAsia="zh-CN"/>
        </w:rPr>
        <w:t>0.34</w:t>
      </w:r>
      <w:r>
        <w:rPr>
          <w:rFonts w:hint="eastAsia" w:ascii="仿宋_GB2312" w:hAnsi="ˎ̥" w:eastAsia="仿宋_GB2312"/>
          <w:sz w:val="32"/>
          <w:szCs w:val="32"/>
        </w:rPr>
        <w:t>万元，主要是…</w:t>
      </w:r>
      <w:r>
        <w:rPr>
          <w:rFonts w:hint="eastAsia" w:ascii="仿宋" w:hAnsi="仿宋" w:eastAsia="仿宋" w:cs="仿宋"/>
          <w:kern w:val="0"/>
          <w:sz w:val="32"/>
          <w:szCs w:val="32"/>
          <w:shd w:val="clear" w:color="auto" w:fill="FFFFFF"/>
        </w:rPr>
        <w:t>年初结转结余</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31.74</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w:t>
      </w:r>
      <w:r>
        <w:rPr>
          <w:rFonts w:hint="eastAsia" w:ascii="仿宋_GB2312" w:hAnsi="ˎ̥" w:eastAsia="仿宋_GB2312"/>
          <w:sz w:val="32"/>
          <w:szCs w:val="32"/>
        </w:rPr>
        <w:t>%，主要原因是</w:t>
      </w:r>
      <w:r>
        <w:rPr>
          <w:rFonts w:hint="eastAsia" w:ascii="仿宋_GB2312" w:hAnsi="ˎ̥" w:eastAsia="仿宋_GB2312" w:cs="仿宋_GB2312"/>
          <w:kern w:val="0"/>
          <w:sz w:val="32"/>
          <w:szCs w:val="32"/>
        </w:rPr>
        <w:t>教育支出增加</w:t>
      </w:r>
      <w:r>
        <w:rPr>
          <w:rFonts w:hint="eastAsia" w:ascii="仿宋_GB2312" w:hAnsi="ˎ̥" w:eastAsia="仿宋_GB2312"/>
          <w:sz w:val="32"/>
          <w:szCs w:val="32"/>
        </w:rPr>
        <w:t>。</w:t>
      </w:r>
    </w:p>
    <w:p w14:paraId="6CAC51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0.40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2024年末结转结余</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31.74</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w:t>
      </w:r>
      <w:r>
        <w:rPr>
          <w:rFonts w:hint="eastAsia" w:ascii="仿宋_GB2312" w:hAnsi="ˎ̥" w:eastAsia="仿宋_GB2312"/>
          <w:sz w:val="32"/>
          <w:szCs w:val="32"/>
        </w:rPr>
        <w:t>%，主要原因是</w:t>
      </w:r>
      <w:bookmarkStart w:id="96" w:name="_GoBack"/>
      <w:bookmarkEnd w:id="96"/>
      <w:r>
        <w:rPr>
          <w:rFonts w:hint="eastAsia" w:ascii="仿宋_GB2312" w:hAnsi="ˎ̥" w:eastAsia="仿宋_GB2312" w:cs="仿宋_GB2312"/>
          <w:kern w:val="0"/>
          <w:sz w:val="32"/>
          <w:szCs w:val="32"/>
        </w:rPr>
        <w:t>教育支出增加</w:t>
      </w:r>
      <w:r>
        <w:rPr>
          <w:rFonts w:hint="eastAsia" w:ascii="仿宋_GB2312" w:hAnsi="ˎ̥" w:eastAsia="仿宋_GB2312"/>
          <w:sz w:val="32"/>
          <w:szCs w:val="32"/>
        </w:rPr>
        <w:t>。</w:t>
      </w:r>
    </w:p>
    <w:p w14:paraId="58E98D4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657.19</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657.19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15FAB0C3">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lang w:eastAsia="zh-CN"/>
        </w:rPr>
      </w:pPr>
      <w:r>
        <w:rPr>
          <w:rFonts w:hint="eastAsia" w:ascii="仿宋_GB2312" w:hAnsi="ˎ̥" w:eastAsia="仿宋_GB2312"/>
          <w:sz w:val="32"/>
          <w:szCs w:val="32"/>
        </w:rPr>
        <w:t xml:space="preserve">  </w:t>
      </w:r>
      <w:r>
        <w:rPr>
          <w:rFonts w:hint="eastAsia" w:ascii="仿宋_GB2312" w:hAnsi="ˎ̥" w:eastAsia="仿宋_GB2312"/>
          <w:sz w:val="32"/>
          <w:szCs w:val="32"/>
          <w:lang w:val="en-US" w:eastAsia="zh-CN"/>
        </w:rPr>
        <w:t>0</w:t>
      </w:r>
    </w:p>
    <w:p w14:paraId="3030BC1E">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412F96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658.19</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461.56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70</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196.63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30</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506E4D7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4479DB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657.19</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657.19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30.73</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w:t>
      </w:r>
      <w:r>
        <w:rPr>
          <w:rFonts w:hint="eastAsia" w:ascii="仿宋_GB2312" w:hAnsi="ˎ̥" w:eastAsia="仿宋_GB2312"/>
          <w:sz w:val="32"/>
          <w:szCs w:val="32"/>
        </w:rPr>
        <w:t>%，主要原因：</w:t>
      </w:r>
      <w:r>
        <w:rPr>
          <w:rFonts w:hint="eastAsia" w:ascii="仿宋_GB2312" w:hAnsi="仿宋_GB2312" w:eastAsia="仿宋_GB2312" w:cs="仿宋_GB2312"/>
          <w:kern w:val="0"/>
          <w:sz w:val="32"/>
          <w:szCs w:val="32"/>
          <w:shd w:val="clear" w:color="auto" w:fill="FFFFFF"/>
        </w:rPr>
        <w:t>一般公共预算财政拨款收入增加</w:t>
      </w:r>
      <w:r>
        <w:rPr>
          <w:rFonts w:hint="eastAsia" w:ascii="仿宋_GB2312" w:hAnsi="仿宋_GB2312" w:eastAsia="仿宋_GB2312" w:cs="仿宋_GB2312"/>
          <w:sz w:val="32"/>
          <w:szCs w:val="32"/>
        </w:rPr>
        <w:t>。支出增加</w:t>
      </w:r>
      <w:r>
        <w:rPr>
          <w:rFonts w:hint="eastAsia" w:ascii="仿宋_GB2312" w:hAnsi="仿宋_GB2312" w:eastAsia="仿宋_GB2312" w:cs="仿宋_GB2312"/>
          <w:sz w:val="32"/>
          <w:szCs w:val="32"/>
          <w:lang w:val="en-US" w:eastAsia="zh-CN"/>
        </w:rPr>
        <w:t>31.74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%，主要原因：</w:t>
      </w:r>
      <w:r>
        <w:rPr>
          <w:rFonts w:hint="eastAsia" w:ascii="仿宋_GB2312" w:hAnsi="仿宋_GB2312" w:eastAsia="仿宋_GB2312" w:cs="仿宋_GB2312"/>
          <w:kern w:val="0"/>
          <w:sz w:val="32"/>
          <w:szCs w:val="32"/>
          <w:shd w:val="clear" w:color="auto" w:fill="FFFFFF"/>
          <w:lang w:val="en-US" w:eastAsia="zh-CN"/>
        </w:rPr>
        <w:t>一</w:t>
      </w:r>
      <w:r>
        <w:rPr>
          <w:rFonts w:hint="eastAsia" w:ascii="仿宋_GB2312" w:hAnsi="仿宋_GB2312" w:eastAsia="仿宋_GB2312" w:cs="仿宋_GB2312"/>
          <w:kern w:val="0"/>
          <w:sz w:val="32"/>
          <w:szCs w:val="32"/>
          <w:shd w:val="clear" w:color="auto" w:fill="FFFFFF"/>
        </w:rPr>
        <w:t>是教育支出增加；</w:t>
      </w:r>
      <w:r>
        <w:rPr>
          <w:rFonts w:hint="eastAsia" w:ascii="仿宋_GB2312" w:hAnsi="仿宋_GB2312" w:eastAsia="仿宋_GB2312" w:cs="仿宋_GB2312"/>
          <w:kern w:val="0"/>
          <w:sz w:val="32"/>
          <w:szCs w:val="32"/>
          <w:shd w:val="clear" w:color="auto" w:fill="FFFFFF"/>
          <w:lang w:val="en-US" w:eastAsia="zh-CN"/>
        </w:rPr>
        <w:t>二</w:t>
      </w:r>
      <w:r>
        <w:rPr>
          <w:rFonts w:hint="eastAsia" w:ascii="仿宋_GB2312" w:hAnsi="仿宋_GB2312" w:eastAsia="仿宋_GB2312" w:cs="仿宋_GB2312"/>
          <w:kern w:val="0"/>
          <w:sz w:val="32"/>
          <w:szCs w:val="32"/>
          <w:shd w:val="clear" w:color="auto" w:fill="FFFFFF"/>
        </w:rPr>
        <w:t>是卫生健康支出增加</w:t>
      </w:r>
      <w:r>
        <w:rPr>
          <w:rFonts w:hint="eastAsia" w:ascii="仿宋_GB2312" w:hAnsi="仿宋_GB2312" w:eastAsia="仿宋_GB2312" w:cs="仿宋_GB2312"/>
          <w:kern w:val="0"/>
          <w:sz w:val="32"/>
          <w:szCs w:val="32"/>
        </w:rPr>
        <w:t>。</w:t>
      </w:r>
    </w:p>
    <w:p w14:paraId="58AFA952">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财政拨款年初结转结余</w:t>
      </w:r>
      <w:r>
        <w:rPr>
          <w:rFonts w:hint="eastAsia" w:ascii="仿宋_GB2312" w:hAnsi="仿宋_GB2312" w:eastAsia="仿宋_GB2312" w:cs="仿宋_GB2312"/>
          <w:color w:val="FF0000"/>
          <w:sz w:val="32"/>
          <w:szCs w:val="32"/>
          <w:lang w:val="en-US"/>
        </w:rPr>
        <w:t>0.34</w:t>
      </w:r>
      <w:r>
        <w:rPr>
          <w:rFonts w:hint="eastAsia" w:ascii="仿宋_GB2312" w:hAnsi="仿宋_GB2312" w:eastAsia="仿宋_GB2312" w:cs="仿宋_GB2312"/>
          <w:sz w:val="32"/>
          <w:szCs w:val="32"/>
        </w:rPr>
        <w:t>万元，主要是主要是</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初</w:t>
      </w:r>
      <w:r>
        <w:rPr>
          <w:rFonts w:hint="eastAsia" w:ascii="仿宋_GB2312" w:hAnsi="仿宋_GB2312" w:eastAsia="仿宋_GB2312" w:cs="仿宋_GB2312"/>
          <w:sz w:val="32"/>
          <w:szCs w:val="32"/>
          <w:lang w:val="en-US" w:eastAsia="zh-CN"/>
        </w:rPr>
        <w:t>末</w:t>
      </w:r>
      <w:r>
        <w:rPr>
          <w:rFonts w:hint="eastAsia" w:ascii="仿宋_GB2312" w:hAnsi="仿宋_GB2312" w:eastAsia="仿宋_GB2312" w:cs="仿宋_GB2312"/>
          <w:sz w:val="32"/>
          <w:szCs w:val="32"/>
        </w:rPr>
        <w:t>转结余，较202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年度决算数增加</w:t>
      </w:r>
      <w:r>
        <w:rPr>
          <w:rFonts w:hint="eastAsia" w:ascii="仿宋_GB2312" w:hAnsi="仿宋_GB2312" w:eastAsia="仿宋_GB2312" w:cs="仿宋_GB2312"/>
          <w:sz w:val="32"/>
          <w:szCs w:val="32"/>
          <w:lang w:val="en-US" w:eastAsia="zh-CN"/>
        </w:rPr>
        <w:t>31.74</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2024年年末结余减少</w:t>
      </w:r>
      <w:r>
        <w:rPr>
          <w:rFonts w:hint="eastAsia" w:ascii="仿宋_GB2312" w:hAnsi="仿宋_GB2312" w:eastAsia="仿宋_GB2312" w:cs="仿宋_GB2312"/>
          <w:sz w:val="32"/>
          <w:szCs w:val="32"/>
        </w:rPr>
        <w:t>。</w:t>
      </w:r>
    </w:p>
    <w:p w14:paraId="7E7D6C70">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财政拨款年末结转结余</w:t>
      </w:r>
      <w:r>
        <w:rPr>
          <w:rFonts w:hint="eastAsia" w:ascii="仿宋_GB2312" w:hAnsi="仿宋_GB2312" w:eastAsia="仿宋_GB2312" w:cs="仿宋_GB2312"/>
          <w:color w:val="FF0000"/>
          <w:sz w:val="32"/>
          <w:szCs w:val="32"/>
          <w:lang w:val="en-US"/>
        </w:rPr>
        <w:t>0.34</w:t>
      </w:r>
      <w:r>
        <w:rPr>
          <w:rFonts w:hint="eastAsia" w:ascii="仿宋_GB2312" w:hAnsi="仿宋_GB2312" w:eastAsia="仿宋_GB2312" w:cs="仿宋_GB2312"/>
          <w:sz w:val="32"/>
          <w:szCs w:val="32"/>
        </w:rPr>
        <w:t>万元，主要是主要是</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初</w:t>
      </w:r>
      <w:r>
        <w:rPr>
          <w:rFonts w:hint="eastAsia" w:ascii="仿宋_GB2312" w:hAnsi="仿宋_GB2312" w:eastAsia="仿宋_GB2312" w:cs="仿宋_GB2312"/>
          <w:sz w:val="32"/>
          <w:szCs w:val="32"/>
          <w:lang w:val="en-US" w:eastAsia="zh-CN"/>
        </w:rPr>
        <w:t>末</w:t>
      </w:r>
      <w:r>
        <w:rPr>
          <w:rFonts w:hint="eastAsia" w:ascii="仿宋_GB2312" w:hAnsi="仿宋_GB2312" w:eastAsia="仿宋_GB2312" w:cs="仿宋_GB2312"/>
          <w:sz w:val="32"/>
          <w:szCs w:val="32"/>
        </w:rPr>
        <w:t>转结余，较202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年度决算数增加</w:t>
      </w:r>
      <w:r>
        <w:rPr>
          <w:rFonts w:hint="eastAsia" w:ascii="仿宋_GB2312" w:hAnsi="仿宋_GB2312" w:eastAsia="仿宋_GB2312" w:cs="仿宋_GB2312"/>
          <w:sz w:val="32"/>
          <w:szCs w:val="32"/>
          <w:lang w:val="en-US" w:eastAsia="zh-CN"/>
        </w:rPr>
        <w:t>31.74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kern w:val="0"/>
          <w:sz w:val="32"/>
          <w:szCs w:val="32"/>
          <w:shd w:val="clear" w:color="auto" w:fill="FFFFFF"/>
        </w:rPr>
        <w:t>一是202</w:t>
      </w:r>
      <w:r>
        <w:rPr>
          <w:rFonts w:hint="eastAsia" w:ascii="仿宋_GB2312" w:hAnsi="仿宋_GB2312" w:eastAsia="仿宋_GB2312" w:cs="仿宋_GB2312"/>
          <w:kern w:val="0"/>
          <w:sz w:val="32"/>
          <w:szCs w:val="32"/>
          <w:shd w:val="clear" w:color="auto" w:fill="FFFFFF"/>
          <w:lang w:val="en-US" w:eastAsia="zh-CN"/>
        </w:rPr>
        <w:t>3</w:t>
      </w:r>
      <w:r>
        <w:rPr>
          <w:rFonts w:hint="eastAsia" w:ascii="仿宋_GB2312" w:hAnsi="仿宋_GB2312" w:eastAsia="仿宋_GB2312" w:cs="仿宋_GB2312"/>
          <w:kern w:val="0"/>
          <w:sz w:val="32"/>
          <w:szCs w:val="32"/>
          <w:shd w:val="clear" w:color="auto" w:fill="FFFFFF"/>
        </w:rPr>
        <w:t>年初财政拨款结转结余</w:t>
      </w:r>
      <w:r>
        <w:rPr>
          <w:rFonts w:hint="eastAsia" w:ascii="仿宋_GB2312" w:hAnsi="仿宋_GB2312" w:eastAsia="仿宋_GB2312" w:cs="仿宋_GB2312"/>
          <w:kern w:val="0"/>
          <w:sz w:val="32"/>
          <w:szCs w:val="32"/>
        </w:rPr>
        <w:t>。</w:t>
      </w:r>
    </w:p>
    <w:p w14:paraId="1506F8C1">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242F08B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2" w:name="_Toc19665_WPSOffice_Level2"/>
      <w:bookmarkStart w:id="73" w:name="_Toc21737_WPSOffice_Level2"/>
      <w:bookmarkStart w:id="74" w:name="_Toc17398_WPSOffice_Level2"/>
      <w:bookmarkStart w:id="75" w:name="_Toc9989_WPSOffice_Level2"/>
      <w:bookmarkStart w:id="76" w:name="_Toc23005_WPSOffice_Level2"/>
      <w:bookmarkStart w:id="77" w:name="_Toc13694_WPSOffice_Level2"/>
      <w:r>
        <w:rPr>
          <w:rFonts w:hint="eastAsia" w:ascii="楷体" w:hAnsi="楷体" w:eastAsia="楷体" w:cs="楷体"/>
          <w:sz w:val="32"/>
          <w:szCs w:val="32"/>
        </w:rPr>
        <w:t>（一）一般公共预算财政拨款支出决算总体情况</w:t>
      </w:r>
      <w:bookmarkEnd w:id="72"/>
      <w:bookmarkEnd w:id="73"/>
      <w:bookmarkEnd w:id="74"/>
      <w:bookmarkEnd w:id="75"/>
      <w:bookmarkEnd w:id="76"/>
      <w:bookmarkEnd w:id="77"/>
    </w:p>
    <w:p w14:paraId="6299C628">
      <w:pPr>
        <w:keepNext w:val="0"/>
        <w:keepLines w:val="0"/>
        <w:widowControl/>
        <w:suppressLineNumbers w:val="0"/>
        <w:spacing w:before="100" w:beforeAutospacing="1" w:after="100" w:afterAutospacing="1"/>
        <w:ind w:left="0" w:right="0" w:firstLine="640" w:firstLineChars="200"/>
        <w:rPr>
          <w:rFonts w:hint="eastAsia" w:ascii="楷体" w:hAnsi="楷体" w:eastAsia="楷体" w:cs="楷体"/>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657.19</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99.7</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31.74</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w:t>
      </w:r>
      <w:r>
        <w:rPr>
          <w:rFonts w:hint="eastAsia" w:ascii="仿宋_GB2312" w:hAnsi="ˎ̥" w:eastAsia="仿宋_GB2312"/>
          <w:sz w:val="32"/>
          <w:szCs w:val="32"/>
        </w:rPr>
        <w:t>%，主要原因是</w:t>
      </w:r>
      <w:r>
        <w:rPr>
          <w:rFonts w:hint="eastAsia" w:ascii="仿宋" w:hAnsi="仿宋" w:eastAsia="仿宋" w:cs="仿宋"/>
          <w:kern w:val="0"/>
          <w:sz w:val="32"/>
          <w:szCs w:val="32"/>
          <w:shd w:val="clear" w:color="auto" w:fill="FFFFFF"/>
        </w:rPr>
        <w:t>一是一般公共预算财政拨款收入增加；二是教育支出增加；三是卫生健康支出增加</w:t>
      </w:r>
      <w:r>
        <w:rPr>
          <w:rFonts w:hint="eastAsia" w:ascii="仿宋" w:hAnsi="仿宋" w:eastAsia="仿宋" w:cs="仿宋"/>
          <w:kern w:val="0"/>
          <w:sz w:val="32"/>
          <w:szCs w:val="32"/>
          <w:shd w:val="clear" w:color="auto" w:fill="FFFFFF"/>
          <w:lang w:eastAsia="zh-CN"/>
        </w:rPr>
        <w:t>。</w:t>
      </w:r>
      <w:bookmarkStart w:id="78" w:name="_Toc27767_WPSOffice_Level2"/>
      <w:bookmarkStart w:id="79" w:name="_Toc18793_WPSOffice_Level2"/>
      <w:bookmarkStart w:id="80" w:name="_Toc23864_WPSOffice_Level2"/>
      <w:bookmarkStart w:id="81" w:name="_Toc19535_WPSOffice_Level2"/>
      <w:bookmarkStart w:id="82" w:name="_Toc2711_WPSOffice_Level2"/>
      <w:bookmarkStart w:id="83" w:name="_Toc19075_WPSOffice_Level2"/>
      <w:r>
        <w:rPr>
          <w:rFonts w:hint="eastAsia" w:ascii="仿宋" w:hAnsi="仿宋" w:eastAsia="仿宋" w:cs="仿宋"/>
          <w:kern w:val="0"/>
          <w:sz w:val="32"/>
          <w:szCs w:val="32"/>
          <w:shd w:val="clear" w:color="auto" w:fill="FFFFFF"/>
          <w:lang w:val="en-US" w:eastAsia="zh-CN"/>
        </w:rPr>
        <w:t xml:space="preserve">   </w:t>
      </w:r>
      <w:r>
        <w:rPr>
          <w:rFonts w:hint="eastAsia" w:ascii="楷体" w:hAnsi="楷体" w:eastAsia="楷体" w:cs="楷体"/>
          <w:sz w:val="32"/>
          <w:szCs w:val="32"/>
        </w:rPr>
        <w:t>（二）一般公共预算财政拨款支出决算结构情况</w:t>
      </w:r>
      <w:bookmarkEnd w:id="78"/>
      <w:bookmarkEnd w:id="79"/>
      <w:bookmarkEnd w:id="80"/>
      <w:bookmarkEnd w:id="81"/>
      <w:bookmarkEnd w:id="82"/>
      <w:bookmarkEnd w:id="83"/>
    </w:p>
    <w:p w14:paraId="125A1E5F">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657.19</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sz w:val="32"/>
          <w:szCs w:val="32"/>
          <w:lang w:val="en-US" w:eastAsia="zh-CN"/>
        </w:rPr>
        <w:t>517.77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79</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60.72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w:t>
      </w:r>
      <w:r>
        <w:rPr>
          <w:rFonts w:hint="eastAsia" w:ascii="仿宋_GB2312" w:hAnsi="ˎ̥" w:eastAsia="仿宋_GB2312"/>
          <w:sz w:val="32"/>
          <w:szCs w:val="32"/>
        </w:rPr>
        <w:t>%；；</w:t>
      </w:r>
      <w:r>
        <w:rPr>
          <w:rFonts w:hint="eastAsia" w:ascii="仿宋_GB2312" w:hAnsi="ˎ̥" w:eastAsia="仿宋_GB2312" w:cs="仿宋_GB2312"/>
          <w:kern w:val="0"/>
          <w:sz w:val="32"/>
          <w:szCs w:val="32"/>
        </w:rPr>
        <w:t>卫生健康支出</w:t>
      </w:r>
      <w:r>
        <w:rPr>
          <w:rFonts w:hint="eastAsia" w:ascii="仿宋_GB2312" w:hAnsi="ˎ̥" w:eastAsia="仿宋_GB2312"/>
          <w:b/>
          <w:bCs/>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47.36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32.34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w:t>
      </w:r>
      <w:r>
        <w:rPr>
          <w:rFonts w:hint="eastAsia" w:ascii="仿宋_GB2312" w:hAnsi="ˎ̥" w:eastAsia="仿宋_GB2312"/>
          <w:sz w:val="32"/>
          <w:szCs w:val="32"/>
        </w:rPr>
        <w:t>%。</w:t>
      </w:r>
    </w:p>
    <w:p w14:paraId="0A8A830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4" w:name="_Toc21701_WPSOffice_Level2"/>
      <w:bookmarkStart w:id="85" w:name="_Toc22318_WPSOffice_Level2"/>
      <w:bookmarkStart w:id="86" w:name="_Toc25136_WPSOffice_Level2"/>
      <w:bookmarkStart w:id="87" w:name="_Toc9502_WPSOffice_Level2"/>
      <w:bookmarkStart w:id="88" w:name="_Toc29364_WPSOffice_Level2"/>
      <w:bookmarkStart w:id="89" w:name="_Toc15415_WPSOffice_Level2"/>
      <w:r>
        <w:rPr>
          <w:rFonts w:hint="eastAsia" w:ascii="楷体" w:hAnsi="楷体" w:eastAsia="楷体" w:cs="楷体"/>
          <w:sz w:val="32"/>
          <w:szCs w:val="32"/>
        </w:rPr>
        <w:t>（三）一般公共预算财政拨款支出决算具体情况</w:t>
      </w:r>
      <w:bookmarkEnd w:id="84"/>
      <w:bookmarkEnd w:id="85"/>
      <w:bookmarkEnd w:id="86"/>
      <w:bookmarkEnd w:id="87"/>
      <w:bookmarkEnd w:id="88"/>
      <w:bookmarkEnd w:id="89"/>
    </w:p>
    <w:p w14:paraId="77CB2BC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658.59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657.19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99.7</w:t>
      </w:r>
      <w:r>
        <w:rPr>
          <w:rFonts w:hint="eastAsia" w:ascii="仿宋_GB2312" w:hAnsi="ˎ̥" w:eastAsia="仿宋_GB2312"/>
          <w:sz w:val="32"/>
          <w:szCs w:val="32"/>
        </w:rPr>
        <w:t>%。其中：</w:t>
      </w:r>
    </w:p>
    <w:p w14:paraId="23B43028">
      <w:pPr>
        <w:keepNext w:val="0"/>
        <w:keepLines w:val="0"/>
        <w:widowControl/>
        <w:suppressLineNumbers w:val="0"/>
        <w:spacing w:after="100" w:afterAutospacing="1"/>
        <w:ind w:left="0" w:firstLine="640" w:firstLineChars="200"/>
        <w:rPr>
          <w:rFonts w:hint="default" w:ascii="serif" w:hAnsi="serif" w:eastAsia="serif" w:cs="serif"/>
          <w:b/>
          <w:bCs/>
          <w:kern w:val="0"/>
          <w:sz w:val="32"/>
          <w:szCs w:val="32"/>
          <w:shd w:val="clear" w:color="auto" w:fill="FFFFFF"/>
        </w:rPr>
      </w:pPr>
      <w:r>
        <w:rPr>
          <w:rFonts w:hint="default" w:ascii="serif" w:hAnsi="ˎ̥" w:eastAsia="serif" w:cs="serif"/>
          <w:kern w:val="0"/>
          <w:sz w:val="32"/>
          <w:szCs w:val="32"/>
          <w:shd w:val="clear" w:color="auto" w:fill="FFFFFF"/>
        </w:rPr>
        <w:t>1.</w:t>
      </w:r>
      <w:r>
        <w:rPr>
          <w:rFonts w:hint="default" w:ascii="serif" w:hAnsi="serif" w:eastAsia="serif" w:cs="serif"/>
          <w:b/>
          <w:bCs/>
          <w:kern w:val="0"/>
          <w:sz w:val="32"/>
          <w:szCs w:val="32"/>
          <w:shd w:val="clear" w:color="auto" w:fill="FFFFFF"/>
        </w:rPr>
        <w:t>教育支出（类）普通教育（款）学前教育（项）。</w:t>
      </w:r>
    </w:p>
    <w:p w14:paraId="01AA4FAB">
      <w:pPr>
        <w:keepNext w:val="0"/>
        <w:keepLines w:val="0"/>
        <w:widowControl/>
        <w:suppressLineNumbers w:val="0"/>
        <w:spacing w:after="100" w:afterAutospacing="1"/>
        <w:ind w:left="0" w:firstLine="640" w:firstLineChars="200"/>
        <w:rPr>
          <w:rFonts w:hint="default" w:ascii="serif" w:hAnsi="ˎ̥" w:eastAsia="serif" w:cs="serif"/>
          <w:kern w:val="0"/>
          <w:sz w:val="32"/>
          <w:szCs w:val="32"/>
          <w:shd w:val="clear" w:color="auto" w:fill="FFFFFF"/>
        </w:rPr>
      </w:pPr>
      <w:r>
        <w:rPr>
          <w:rFonts w:hint="default" w:ascii="serif" w:hAnsi="serif" w:eastAsia="serif" w:cs="serif"/>
          <w:kern w:val="0"/>
          <w:sz w:val="32"/>
          <w:szCs w:val="32"/>
          <w:shd w:val="clear" w:color="auto" w:fill="FFFFFF"/>
        </w:rPr>
        <w:t>年初预算为</w:t>
      </w:r>
      <w:r>
        <w:rPr>
          <w:rFonts w:hint="eastAsia" w:ascii="serif" w:hAnsi="serif" w:cs="serif"/>
          <w:kern w:val="0"/>
          <w:sz w:val="32"/>
          <w:szCs w:val="32"/>
          <w:shd w:val="clear" w:color="auto" w:fill="FFFFFF"/>
          <w:lang w:val="en-US" w:eastAsia="zh-CN"/>
        </w:rPr>
        <w:t>517.77</w:t>
      </w:r>
      <w:r>
        <w:rPr>
          <w:rFonts w:hint="default" w:ascii="serif" w:hAnsi="serif" w:eastAsia="serif" w:cs="serif"/>
          <w:kern w:val="0"/>
          <w:sz w:val="32"/>
          <w:szCs w:val="32"/>
          <w:shd w:val="clear" w:color="auto" w:fill="FFFFFF"/>
        </w:rPr>
        <w:t>万元，支出决算为</w:t>
      </w:r>
      <w:r>
        <w:rPr>
          <w:rFonts w:hint="eastAsia" w:ascii="serif" w:hAnsi="serif" w:cs="serif"/>
          <w:kern w:val="0"/>
          <w:sz w:val="32"/>
          <w:szCs w:val="32"/>
          <w:shd w:val="clear" w:color="auto" w:fill="FFFFFF"/>
          <w:lang w:val="en-US" w:eastAsia="zh-CN"/>
        </w:rPr>
        <w:t>517.77</w:t>
      </w:r>
      <w:r>
        <w:rPr>
          <w:rFonts w:hint="default" w:ascii="serif" w:hAnsi="serif" w:eastAsia="serif" w:cs="serif"/>
          <w:kern w:val="0"/>
          <w:sz w:val="32"/>
          <w:szCs w:val="32"/>
          <w:shd w:val="clear" w:color="auto" w:fill="FFFFFF"/>
        </w:rPr>
        <w:t>万元，完成年初预算的</w:t>
      </w:r>
      <w:r>
        <w:rPr>
          <w:rFonts w:hint="default" w:ascii="serif" w:hAnsi="ˎ̥" w:eastAsia="serif" w:cs="serif"/>
          <w:kern w:val="0"/>
          <w:sz w:val="32"/>
          <w:szCs w:val="32"/>
          <w:shd w:val="clear" w:color="auto" w:fill="FFFFFF"/>
        </w:rPr>
        <w:t>100%</w:t>
      </w:r>
      <w:r>
        <w:rPr>
          <w:rFonts w:hint="default" w:ascii="serif" w:hAnsi="serif" w:eastAsia="serif" w:cs="serif"/>
          <w:kern w:val="0"/>
          <w:sz w:val="32"/>
          <w:szCs w:val="32"/>
          <w:shd w:val="clear" w:color="auto" w:fill="FFFFFF"/>
        </w:rPr>
        <w:t>。</w:t>
      </w:r>
    </w:p>
    <w:p w14:paraId="28CEEC2A">
      <w:pPr>
        <w:keepNext w:val="0"/>
        <w:keepLines w:val="0"/>
        <w:widowControl/>
        <w:suppressLineNumbers w:val="0"/>
        <w:spacing w:after="100" w:afterAutospacing="1"/>
        <w:ind w:left="0" w:firstLine="640" w:firstLineChars="200"/>
        <w:rPr>
          <w:rFonts w:hint="default" w:ascii="serif" w:hAnsi="ˎ̥" w:eastAsia="serif" w:cs="serif"/>
          <w:b/>
          <w:bCs/>
          <w:kern w:val="0"/>
          <w:sz w:val="32"/>
          <w:szCs w:val="32"/>
          <w:shd w:val="clear" w:color="auto" w:fill="FFFFFF"/>
        </w:rPr>
      </w:pPr>
      <w:r>
        <w:rPr>
          <w:rFonts w:hint="default" w:ascii="serif" w:hAnsi="ˎ̥" w:eastAsia="serif" w:cs="serif"/>
          <w:kern w:val="0"/>
          <w:sz w:val="32"/>
          <w:szCs w:val="32"/>
          <w:shd w:val="clear" w:color="auto" w:fill="FFFFFF"/>
        </w:rPr>
        <w:t>2.</w:t>
      </w:r>
      <w:r>
        <w:rPr>
          <w:rFonts w:hint="default" w:ascii="serif" w:hAnsi="serif" w:eastAsia="serif" w:cs="serif"/>
          <w:b/>
          <w:bCs/>
          <w:kern w:val="0"/>
          <w:sz w:val="32"/>
          <w:szCs w:val="32"/>
          <w:shd w:val="clear" w:color="auto" w:fill="FFFFFF"/>
        </w:rPr>
        <w:t>社会保障和就业支出（类）行政事业单位养老支出（款）机关事业单位基本养老保险缴费支出（项）。</w:t>
      </w:r>
    </w:p>
    <w:p w14:paraId="51F39AAD">
      <w:pPr>
        <w:keepNext w:val="0"/>
        <w:keepLines w:val="0"/>
        <w:widowControl/>
        <w:suppressLineNumbers w:val="0"/>
        <w:spacing w:after="100" w:afterAutospacing="1"/>
        <w:rPr>
          <w:rFonts w:hint="default" w:ascii="serif" w:hAnsi="ˎ̥" w:eastAsia="serif" w:cs="serif"/>
          <w:kern w:val="0"/>
          <w:sz w:val="32"/>
          <w:szCs w:val="32"/>
          <w:shd w:val="clear" w:color="auto" w:fill="FFFFFF"/>
        </w:rPr>
      </w:pPr>
      <w:r>
        <w:rPr>
          <w:rFonts w:hint="default" w:ascii="serif" w:hAnsi="serif" w:eastAsia="serif" w:cs="serif"/>
          <w:kern w:val="0"/>
          <w:sz w:val="32"/>
          <w:szCs w:val="32"/>
          <w:shd w:val="clear" w:color="auto" w:fill="FFFFFF"/>
        </w:rPr>
        <w:t>年初预算为</w:t>
      </w:r>
      <w:r>
        <w:rPr>
          <w:rFonts w:hint="eastAsia" w:ascii="serif" w:hAnsi="serif" w:cs="serif"/>
          <w:kern w:val="0"/>
          <w:sz w:val="32"/>
          <w:szCs w:val="32"/>
          <w:shd w:val="clear" w:color="auto" w:fill="FFFFFF"/>
          <w:lang w:val="en-US" w:eastAsia="zh-CN"/>
        </w:rPr>
        <w:t>60.72</w:t>
      </w:r>
      <w:r>
        <w:rPr>
          <w:rFonts w:hint="default" w:ascii="serif" w:hAnsi="serif" w:eastAsia="serif" w:cs="serif"/>
          <w:kern w:val="0"/>
          <w:sz w:val="32"/>
          <w:szCs w:val="32"/>
          <w:shd w:val="clear" w:color="auto" w:fill="FFFFFF"/>
        </w:rPr>
        <w:t>万元，支出决算为</w:t>
      </w:r>
      <w:r>
        <w:rPr>
          <w:rFonts w:hint="eastAsia" w:ascii="serif" w:hAnsi="serif" w:cs="serif"/>
          <w:kern w:val="0"/>
          <w:sz w:val="32"/>
          <w:szCs w:val="32"/>
          <w:shd w:val="clear" w:color="auto" w:fill="FFFFFF"/>
          <w:lang w:val="en-US" w:eastAsia="zh-CN"/>
        </w:rPr>
        <w:t>60.72</w:t>
      </w:r>
      <w:r>
        <w:rPr>
          <w:rFonts w:hint="default" w:ascii="serif" w:hAnsi="serif" w:eastAsia="serif" w:cs="serif"/>
          <w:kern w:val="0"/>
          <w:sz w:val="32"/>
          <w:szCs w:val="32"/>
          <w:shd w:val="clear" w:color="auto" w:fill="FFFFFF"/>
        </w:rPr>
        <w:t>万元，完成年初预算的</w:t>
      </w:r>
      <w:r>
        <w:rPr>
          <w:rFonts w:hint="default" w:ascii="serif" w:hAnsi="ˎ̥" w:eastAsia="serif" w:cs="serif"/>
          <w:kern w:val="0"/>
          <w:sz w:val="32"/>
          <w:szCs w:val="32"/>
          <w:shd w:val="clear" w:color="auto" w:fill="FFFFFF"/>
        </w:rPr>
        <w:t>100%</w:t>
      </w:r>
      <w:r>
        <w:rPr>
          <w:rFonts w:hint="default" w:ascii="serif" w:hAnsi="serif" w:eastAsia="serif" w:cs="serif"/>
          <w:kern w:val="0"/>
          <w:sz w:val="32"/>
          <w:szCs w:val="32"/>
          <w:shd w:val="clear" w:color="auto" w:fill="FFFFFF"/>
        </w:rPr>
        <w:t>。</w:t>
      </w:r>
    </w:p>
    <w:p w14:paraId="0EA1D03A">
      <w:pPr>
        <w:keepNext w:val="0"/>
        <w:keepLines w:val="0"/>
        <w:widowControl/>
        <w:suppressLineNumbers w:val="0"/>
        <w:spacing w:after="100" w:afterAutospacing="1"/>
        <w:ind w:left="0" w:firstLine="640" w:firstLineChars="200"/>
        <w:rPr>
          <w:rFonts w:hint="default" w:ascii="serif" w:hAnsi="ˎ̥" w:eastAsia="serif" w:cs="serif"/>
          <w:b/>
          <w:bCs/>
          <w:kern w:val="0"/>
          <w:sz w:val="32"/>
          <w:szCs w:val="32"/>
          <w:shd w:val="clear" w:color="auto" w:fill="FFFFFF"/>
        </w:rPr>
      </w:pPr>
      <w:r>
        <w:rPr>
          <w:rFonts w:hint="default" w:ascii="serif" w:hAnsi="ˎ̥" w:eastAsia="serif" w:cs="serif"/>
          <w:kern w:val="0"/>
          <w:sz w:val="32"/>
          <w:szCs w:val="32"/>
          <w:shd w:val="clear" w:color="auto" w:fill="FFFFFF"/>
        </w:rPr>
        <w:t>3.</w:t>
      </w:r>
      <w:r>
        <w:rPr>
          <w:rFonts w:hint="default" w:ascii="serif" w:hAnsi="serif" w:eastAsia="serif" w:cs="serif"/>
          <w:b/>
          <w:bCs/>
          <w:kern w:val="0"/>
          <w:sz w:val="32"/>
          <w:szCs w:val="32"/>
          <w:shd w:val="clear" w:color="auto" w:fill="FFFFFF"/>
        </w:rPr>
        <w:t>卫生健康支出（类）行政事业单位医疗（款）事业单位医疗（项）。</w:t>
      </w:r>
    </w:p>
    <w:p w14:paraId="18AFFBAC">
      <w:pPr>
        <w:keepNext w:val="0"/>
        <w:keepLines w:val="0"/>
        <w:widowControl/>
        <w:suppressLineNumbers w:val="0"/>
        <w:spacing w:after="100" w:afterAutospacing="1"/>
        <w:rPr>
          <w:rFonts w:hint="default" w:ascii="serif" w:hAnsi="ˎ̥" w:eastAsia="serif" w:cs="serif"/>
          <w:kern w:val="0"/>
          <w:sz w:val="32"/>
          <w:szCs w:val="32"/>
          <w:shd w:val="clear" w:color="auto" w:fill="FFFFFF"/>
        </w:rPr>
      </w:pPr>
      <w:r>
        <w:rPr>
          <w:rFonts w:hint="default" w:ascii="serif" w:hAnsi="serif" w:eastAsia="serif" w:cs="serif"/>
          <w:kern w:val="0"/>
          <w:sz w:val="32"/>
          <w:szCs w:val="32"/>
          <w:shd w:val="clear" w:color="auto" w:fill="FFFFFF"/>
        </w:rPr>
        <w:t>年初预算为</w:t>
      </w:r>
      <w:r>
        <w:rPr>
          <w:rFonts w:hint="eastAsia" w:ascii="serif" w:hAnsi="ˎ̥" w:eastAsia="宋体" w:cs="serif"/>
          <w:kern w:val="0"/>
          <w:sz w:val="32"/>
          <w:szCs w:val="32"/>
          <w:shd w:val="clear" w:color="auto" w:fill="FFFFFF"/>
          <w:lang w:val="en-US" w:eastAsia="zh-CN"/>
        </w:rPr>
        <w:t>16.</w:t>
      </w:r>
      <w:r>
        <w:rPr>
          <w:rFonts w:hint="eastAsia" w:ascii="serif" w:hAnsi="ˎ̥" w:cs="serif"/>
          <w:kern w:val="0"/>
          <w:sz w:val="32"/>
          <w:szCs w:val="32"/>
          <w:shd w:val="clear" w:color="auto" w:fill="FFFFFF"/>
          <w:lang w:val="en-US" w:eastAsia="zh-CN"/>
        </w:rPr>
        <w:t>02</w:t>
      </w:r>
      <w:r>
        <w:rPr>
          <w:rFonts w:hint="default" w:ascii="serif" w:hAnsi="serif" w:eastAsia="serif" w:cs="serif"/>
          <w:kern w:val="0"/>
          <w:sz w:val="32"/>
          <w:szCs w:val="32"/>
          <w:shd w:val="clear" w:color="auto" w:fill="FFFFFF"/>
        </w:rPr>
        <w:t>万元，支出决算为</w:t>
      </w:r>
      <w:r>
        <w:rPr>
          <w:rFonts w:hint="eastAsia" w:ascii="serif" w:hAnsi="ˎ̥" w:eastAsia="宋体" w:cs="serif"/>
          <w:kern w:val="0"/>
          <w:sz w:val="32"/>
          <w:szCs w:val="32"/>
          <w:shd w:val="clear" w:color="auto" w:fill="FFFFFF"/>
          <w:lang w:val="en-US" w:eastAsia="zh-CN"/>
        </w:rPr>
        <w:t>16.</w:t>
      </w:r>
      <w:r>
        <w:rPr>
          <w:rFonts w:hint="eastAsia" w:ascii="serif" w:hAnsi="ˎ̥" w:cs="serif"/>
          <w:kern w:val="0"/>
          <w:sz w:val="32"/>
          <w:szCs w:val="32"/>
          <w:shd w:val="clear" w:color="auto" w:fill="FFFFFF"/>
          <w:lang w:val="en-US" w:eastAsia="zh-CN"/>
        </w:rPr>
        <w:t>02</w:t>
      </w:r>
      <w:r>
        <w:rPr>
          <w:rFonts w:hint="default" w:ascii="serif" w:hAnsi="serif" w:eastAsia="serif" w:cs="serif"/>
          <w:kern w:val="0"/>
          <w:sz w:val="32"/>
          <w:szCs w:val="32"/>
          <w:shd w:val="clear" w:color="auto" w:fill="FFFFFF"/>
        </w:rPr>
        <w:t>万元，完成年初预算的</w:t>
      </w:r>
      <w:r>
        <w:rPr>
          <w:rFonts w:hint="default" w:ascii="serif" w:hAnsi="ˎ̥" w:eastAsia="serif" w:cs="serif"/>
          <w:kern w:val="0"/>
          <w:sz w:val="32"/>
          <w:szCs w:val="32"/>
          <w:shd w:val="clear" w:color="auto" w:fill="FFFFFF"/>
        </w:rPr>
        <w:t>100%</w:t>
      </w:r>
      <w:r>
        <w:rPr>
          <w:rFonts w:hint="default" w:ascii="serif" w:hAnsi="serif" w:eastAsia="serif" w:cs="serif"/>
          <w:kern w:val="0"/>
          <w:sz w:val="32"/>
          <w:szCs w:val="32"/>
          <w:shd w:val="clear" w:color="auto" w:fill="FFFFFF"/>
        </w:rPr>
        <w:t>。</w:t>
      </w:r>
    </w:p>
    <w:p w14:paraId="2E8D828F">
      <w:pPr>
        <w:keepNext w:val="0"/>
        <w:keepLines w:val="0"/>
        <w:widowControl/>
        <w:suppressLineNumbers w:val="0"/>
        <w:spacing w:after="100" w:afterAutospacing="1"/>
        <w:ind w:left="0" w:firstLine="640" w:firstLineChars="200"/>
        <w:rPr>
          <w:rFonts w:hint="default" w:ascii="serif" w:hAnsi="ˎ̥" w:eastAsia="serif" w:cs="serif"/>
          <w:b/>
          <w:bCs/>
          <w:kern w:val="0"/>
          <w:sz w:val="32"/>
          <w:szCs w:val="32"/>
          <w:shd w:val="clear" w:color="auto" w:fill="FFFFFF"/>
        </w:rPr>
      </w:pPr>
      <w:r>
        <w:rPr>
          <w:rFonts w:hint="default" w:ascii="serif" w:hAnsi="ˎ̥" w:eastAsia="serif" w:cs="serif"/>
          <w:kern w:val="0"/>
          <w:sz w:val="32"/>
          <w:szCs w:val="32"/>
          <w:shd w:val="clear" w:color="auto" w:fill="FFFFFF"/>
        </w:rPr>
        <w:t>4.</w:t>
      </w:r>
      <w:r>
        <w:rPr>
          <w:rFonts w:hint="default" w:ascii="serif" w:hAnsi="serif" w:eastAsia="serif" w:cs="serif"/>
          <w:b/>
          <w:bCs/>
          <w:kern w:val="0"/>
          <w:sz w:val="32"/>
          <w:szCs w:val="32"/>
          <w:shd w:val="clear" w:color="auto" w:fill="FFFFFF"/>
        </w:rPr>
        <w:t>卫生健康支出（类）行政事业单位医疗（款）公务员医疗补助（项）。</w:t>
      </w:r>
    </w:p>
    <w:p w14:paraId="734449C4">
      <w:pPr>
        <w:keepNext w:val="0"/>
        <w:keepLines w:val="0"/>
        <w:widowControl/>
        <w:suppressLineNumbers w:val="0"/>
        <w:spacing w:after="100" w:afterAutospacing="1"/>
        <w:rPr>
          <w:rFonts w:hint="default" w:ascii="serif" w:hAnsi="ˎ̥" w:eastAsia="serif" w:cs="serif"/>
          <w:kern w:val="0"/>
          <w:sz w:val="32"/>
          <w:szCs w:val="32"/>
          <w:shd w:val="clear" w:color="auto" w:fill="FFFFFF"/>
        </w:rPr>
      </w:pPr>
      <w:r>
        <w:rPr>
          <w:rFonts w:hint="default" w:ascii="serif" w:hAnsi="serif" w:eastAsia="serif" w:cs="serif"/>
          <w:kern w:val="0"/>
          <w:sz w:val="32"/>
          <w:szCs w:val="32"/>
          <w:shd w:val="clear" w:color="auto" w:fill="FFFFFF"/>
        </w:rPr>
        <w:t>年初预算为</w:t>
      </w:r>
      <w:r>
        <w:rPr>
          <w:rFonts w:hint="eastAsia" w:ascii="serif" w:hAnsi="serif" w:cs="serif"/>
          <w:kern w:val="0"/>
          <w:sz w:val="32"/>
          <w:szCs w:val="32"/>
          <w:shd w:val="clear" w:color="auto" w:fill="FFFFFF"/>
          <w:lang w:val="en-US" w:eastAsia="zh-CN"/>
        </w:rPr>
        <w:t>29.82</w:t>
      </w:r>
      <w:r>
        <w:rPr>
          <w:rFonts w:hint="default" w:ascii="serif" w:hAnsi="serif" w:eastAsia="serif" w:cs="serif"/>
          <w:kern w:val="0"/>
          <w:sz w:val="32"/>
          <w:szCs w:val="32"/>
          <w:shd w:val="clear" w:color="auto" w:fill="FFFFFF"/>
        </w:rPr>
        <w:t>万元，支出决算为</w:t>
      </w:r>
      <w:r>
        <w:rPr>
          <w:rFonts w:hint="eastAsia" w:ascii="serif" w:hAnsi="ˎ̥" w:eastAsia="宋体" w:cs="serif"/>
          <w:kern w:val="0"/>
          <w:sz w:val="32"/>
          <w:szCs w:val="32"/>
          <w:shd w:val="clear" w:color="auto" w:fill="FFFFFF"/>
          <w:lang w:val="en-US" w:eastAsia="zh-CN"/>
        </w:rPr>
        <w:t>2</w:t>
      </w:r>
      <w:r>
        <w:rPr>
          <w:rFonts w:hint="eastAsia" w:ascii="serif" w:hAnsi="ˎ̥" w:cs="serif"/>
          <w:kern w:val="0"/>
          <w:sz w:val="32"/>
          <w:szCs w:val="32"/>
          <w:shd w:val="clear" w:color="auto" w:fill="FFFFFF"/>
          <w:lang w:val="en-US" w:eastAsia="zh-CN"/>
        </w:rPr>
        <w:t>9.82</w:t>
      </w:r>
      <w:r>
        <w:rPr>
          <w:rFonts w:hint="default" w:ascii="serif" w:hAnsi="serif" w:eastAsia="serif" w:cs="serif"/>
          <w:kern w:val="0"/>
          <w:sz w:val="32"/>
          <w:szCs w:val="32"/>
          <w:shd w:val="clear" w:color="auto" w:fill="FFFFFF"/>
        </w:rPr>
        <w:t>万元，完成年初预算的</w:t>
      </w:r>
      <w:r>
        <w:rPr>
          <w:rFonts w:hint="default" w:ascii="serif" w:hAnsi="ˎ̥" w:eastAsia="serif" w:cs="serif"/>
          <w:kern w:val="0"/>
          <w:sz w:val="32"/>
          <w:szCs w:val="32"/>
          <w:shd w:val="clear" w:color="auto" w:fill="FFFFFF"/>
        </w:rPr>
        <w:t>100%</w:t>
      </w:r>
      <w:r>
        <w:rPr>
          <w:rFonts w:hint="default" w:ascii="serif" w:hAnsi="serif" w:eastAsia="serif" w:cs="serif"/>
          <w:kern w:val="0"/>
          <w:sz w:val="32"/>
          <w:szCs w:val="32"/>
          <w:shd w:val="clear" w:color="auto" w:fill="FFFFFF"/>
        </w:rPr>
        <w:t>。</w:t>
      </w:r>
    </w:p>
    <w:p w14:paraId="76D96005">
      <w:pPr>
        <w:keepNext w:val="0"/>
        <w:keepLines w:val="0"/>
        <w:widowControl/>
        <w:numPr>
          <w:ilvl w:val="0"/>
          <w:numId w:val="4"/>
        </w:numPr>
        <w:suppressLineNumbers w:val="0"/>
        <w:spacing w:after="100" w:afterAutospacing="1"/>
        <w:ind w:left="0" w:firstLine="640" w:firstLineChars="200"/>
        <w:rPr>
          <w:rFonts w:hint="default" w:ascii="serif" w:hAnsi="serif" w:eastAsia="serif" w:cs="serif"/>
          <w:kern w:val="0"/>
          <w:sz w:val="32"/>
          <w:szCs w:val="32"/>
          <w:shd w:val="clear" w:color="auto" w:fill="FFFFFF"/>
        </w:rPr>
      </w:pPr>
      <w:r>
        <w:rPr>
          <w:rFonts w:hint="default" w:ascii="serif" w:hAnsi="serif" w:eastAsia="serif" w:cs="serif"/>
          <w:b/>
          <w:bCs/>
          <w:kern w:val="0"/>
          <w:sz w:val="32"/>
          <w:szCs w:val="32"/>
          <w:shd w:val="clear" w:color="auto" w:fill="FFFFFF"/>
        </w:rPr>
        <w:t>卫生健康支出（类）行政事业单位医疗（款）其他行政事业单位医疗支出（项）。</w:t>
      </w:r>
    </w:p>
    <w:p w14:paraId="42C38E55">
      <w:pPr>
        <w:keepNext w:val="0"/>
        <w:keepLines w:val="0"/>
        <w:widowControl/>
        <w:numPr>
          <w:ilvl w:val="0"/>
          <w:numId w:val="0"/>
        </w:numPr>
        <w:suppressLineNumbers w:val="0"/>
        <w:spacing w:after="100" w:afterAutospacing="1"/>
        <w:ind w:leftChars="200"/>
        <w:rPr>
          <w:rFonts w:hint="default" w:ascii="serif" w:hAnsi="serif" w:eastAsia="serif" w:cs="serif"/>
          <w:kern w:val="0"/>
          <w:sz w:val="32"/>
          <w:szCs w:val="32"/>
          <w:shd w:val="clear" w:color="auto" w:fill="FFFFFF"/>
        </w:rPr>
      </w:pPr>
      <w:r>
        <w:rPr>
          <w:rFonts w:hint="default" w:ascii="serif" w:hAnsi="serif" w:eastAsia="serif" w:cs="serif"/>
          <w:kern w:val="0"/>
          <w:sz w:val="32"/>
          <w:szCs w:val="32"/>
          <w:shd w:val="clear" w:color="auto" w:fill="FFFFFF"/>
        </w:rPr>
        <w:t>年初预算为</w:t>
      </w:r>
      <w:r>
        <w:rPr>
          <w:rFonts w:hint="eastAsia" w:ascii="仿宋_GB2312" w:hAnsi="ˎ̥" w:eastAsia="仿宋_GB2312" w:cs="仿宋_GB2312"/>
          <w:kern w:val="0"/>
          <w:sz w:val="32"/>
          <w:szCs w:val="32"/>
          <w:lang w:val="en-US" w:eastAsia="zh-CN"/>
        </w:rPr>
        <w:t>1.534</w:t>
      </w:r>
      <w:r>
        <w:rPr>
          <w:rFonts w:hint="default" w:ascii="serif" w:hAnsi="serif" w:eastAsia="serif" w:cs="serif"/>
          <w:kern w:val="0"/>
          <w:sz w:val="32"/>
          <w:szCs w:val="32"/>
          <w:shd w:val="clear" w:color="auto" w:fill="FFFFFF"/>
        </w:rPr>
        <w:t>万元，支出决算为</w:t>
      </w:r>
      <w:r>
        <w:rPr>
          <w:rFonts w:hint="eastAsia" w:ascii="仿宋_GB2312" w:hAnsi="ˎ̥" w:eastAsia="仿宋_GB2312" w:cs="仿宋_GB2312"/>
          <w:kern w:val="0"/>
          <w:sz w:val="32"/>
          <w:szCs w:val="32"/>
          <w:lang w:val="en-US" w:eastAsia="zh-CN"/>
        </w:rPr>
        <w:t>1.53</w:t>
      </w:r>
      <w:r>
        <w:rPr>
          <w:rFonts w:hint="default" w:ascii="serif" w:hAnsi="serif" w:eastAsia="serif" w:cs="serif"/>
          <w:kern w:val="0"/>
          <w:sz w:val="32"/>
          <w:szCs w:val="32"/>
          <w:shd w:val="clear" w:color="auto" w:fill="FFFFFF"/>
        </w:rPr>
        <w:t>万元，完成年初预算的</w:t>
      </w:r>
      <w:r>
        <w:rPr>
          <w:rFonts w:hint="default" w:ascii="serif" w:hAnsi="ˎ̥" w:eastAsia="serif" w:cs="serif"/>
          <w:kern w:val="0"/>
          <w:sz w:val="32"/>
          <w:szCs w:val="32"/>
          <w:shd w:val="clear" w:color="auto" w:fill="FFFFFF"/>
        </w:rPr>
        <w:t>100%</w:t>
      </w:r>
      <w:r>
        <w:rPr>
          <w:rFonts w:hint="default" w:ascii="serif" w:hAnsi="serif" w:eastAsia="serif" w:cs="serif"/>
          <w:kern w:val="0"/>
          <w:sz w:val="32"/>
          <w:szCs w:val="32"/>
          <w:shd w:val="clear" w:color="auto" w:fill="FFFFFF"/>
        </w:rPr>
        <w:t>。</w:t>
      </w:r>
    </w:p>
    <w:p w14:paraId="25682AB3">
      <w:pPr>
        <w:keepNext w:val="0"/>
        <w:keepLines w:val="0"/>
        <w:widowControl/>
        <w:numPr>
          <w:ilvl w:val="0"/>
          <w:numId w:val="0"/>
        </w:numPr>
        <w:suppressLineNumbers w:val="0"/>
        <w:spacing w:after="100" w:afterAutospacing="1"/>
        <w:ind w:leftChars="200"/>
        <w:rPr>
          <w:rFonts w:hint="default" w:ascii="serif" w:hAnsi="ˎ̥" w:eastAsia="serif" w:cs="serif"/>
          <w:b/>
          <w:bCs/>
          <w:kern w:val="0"/>
          <w:sz w:val="32"/>
          <w:szCs w:val="32"/>
          <w:shd w:val="clear" w:color="auto" w:fill="FFFFFF"/>
        </w:rPr>
      </w:pPr>
      <w:r>
        <w:rPr>
          <w:rFonts w:hint="default" w:ascii="serif" w:hAnsi="ˎ̥" w:eastAsia="serif" w:cs="serif"/>
          <w:kern w:val="0"/>
          <w:sz w:val="32"/>
          <w:szCs w:val="32"/>
          <w:shd w:val="clear" w:color="auto" w:fill="FFFFFF"/>
        </w:rPr>
        <w:t>6.</w:t>
      </w:r>
      <w:r>
        <w:rPr>
          <w:rFonts w:hint="default" w:ascii="serif" w:hAnsi="serif" w:eastAsia="serif" w:cs="serif"/>
          <w:b/>
          <w:bCs/>
          <w:kern w:val="0"/>
          <w:sz w:val="32"/>
          <w:szCs w:val="32"/>
          <w:shd w:val="clear" w:color="auto" w:fill="FFFFFF"/>
        </w:rPr>
        <w:t>住房保障支出（类）住房改革支出（款）住房公积金（项）。</w:t>
      </w:r>
    </w:p>
    <w:p w14:paraId="104B77B5">
      <w:pPr>
        <w:keepNext w:val="0"/>
        <w:keepLines w:val="0"/>
        <w:widowControl/>
        <w:suppressLineNumbers w:val="0"/>
        <w:spacing w:after="100" w:afterAutospacing="1"/>
        <w:ind w:left="0" w:firstLine="640" w:firstLineChars="200"/>
        <w:rPr>
          <w:rFonts w:hint="default" w:ascii="serif" w:hAnsi="ˎ̥" w:eastAsia="serif" w:cs="serif"/>
          <w:b/>
          <w:bCs/>
          <w:kern w:val="0"/>
          <w:sz w:val="32"/>
          <w:szCs w:val="32"/>
          <w:shd w:val="clear" w:color="auto" w:fill="FFFFFF"/>
        </w:rPr>
      </w:pPr>
    </w:p>
    <w:p w14:paraId="627E367F">
      <w:pPr>
        <w:keepNext w:val="0"/>
        <w:keepLines w:val="0"/>
        <w:widowControl/>
        <w:suppressLineNumbers w:val="0"/>
        <w:spacing w:after="100" w:afterAutospacing="1"/>
        <w:rPr>
          <w:rFonts w:hint="default" w:ascii="serif" w:hAnsi="ˎ̥" w:eastAsia="serif" w:cs="serif"/>
          <w:kern w:val="0"/>
          <w:sz w:val="32"/>
          <w:szCs w:val="32"/>
          <w:shd w:val="clear" w:color="auto" w:fill="FFFFFF"/>
        </w:rPr>
      </w:pPr>
      <w:r>
        <w:rPr>
          <w:rFonts w:hint="default" w:ascii="serif" w:hAnsi="serif" w:eastAsia="serif" w:cs="serif"/>
          <w:kern w:val="0"/>
          <w:sz w:val="32"/>
          <w:szCs w:val="32"/>
          <w:shd w:val="clear" w:color="auto" w:fill="FFFFFF"/>
        </w:rPr>
        <w:t>年初预算为</w:t>
      </w:r>
      <w:r>
        <w:rPr>
          <w:rFonts w:hint="eastAsia" w:ascii="serif" w:hAnsi="ˎ̥" w:cs="serif"/>
          <w:kern w:val="0"/>
          <w:sz w:val="32"/>
          <w:szCs w:val="32"/>
          <w:shd w:val="clear" w:color="auto" w:fill="FFFFFF"/>
          <w:lang w:val="en-US" w:eastAsia="zh-CN"/>
        </w:rPr>
        <w:t>32.34</w:t>
      </w:r>
      <w:r>
        <w:rPr>
          <w:rFonts w:hint="default" w:ascii="serif" w:hAnsi="serif" w:eastAsia="serif" w:cs="serif"/>
          <w:kern w:val="0"/>
          <w:sz w:val="32"/>
          <w:szCs w:val="32"/>
          <w:shd w:val="clear" w:color="auto" w:fill="FFFFFF"/>
        </w:rPr>
        <w:t>万元，支出决算</w:t>
      </w:r>
      <w:r>
        <w:rPr>
          <w:rFonts w:hint="eastAsia" w:ascii="serif" w:hAnsi="serif" w:cs="serif"/>
          <w:kern w:val="0"/>
          <w:sz w:val="32"/>
          <w:szCs w:val="32"/>
          <w:shd w:val="clear" w:color="auto" w:fill="FFFFFF"/>
          <w:lang w:val="en-US" w:eastAsia="zh-CN"/>
        </w:rPr>
        <w:t>32.34</w:t>
      </w:r>
      <w:r>
        <w:rPr>
          <w:rFonts w:hint="default" w:ascii="serif" w:hAnsi="serif" w:eastAsia="serif" w:cs="serif"/>
          <w:kern w:val="0"/>
          <w:sz w:val="32"/>
          <w:szCs w:val="32"/>
          <w:shd w:val="clear" w:color="auto" w:fill="FFFFFF"/>
        </w:rPr>
        <w:t>万元，完成年初预算的</w:t>
      </w:r>
      <w:r>
        <w:rPr>
          <w:rFonts w:hint="default" w:ascii="serif" w:hAnsi="ˎ̥" w:eastAsia="serif" w:cs="serif"/>
          <w:kern w:val="0"/>
          <w:sz w:val="32"/>
          <w:szCs w:val="32"/>
          <w:shd w:val="clear" w:color="auto" w:fill="FFFFFF"/>
        </w:rPr>
        <w:t>100%</w:t>
      </w:r>
      <w:r>
        <w:rPr>
          <w:rFonts w:hint="default" w:ascii="serif" w:hAnsi="serif" w:eastAsia="serif" w:cs="serif"/>
          <w:kern w:val="0"/>
          <w:sz w:val="32"/>
          <w:szCs w:val="32"/>
          <w:shd w:val="clear" w:color="auto" w:fill="FFFFFF"/>
        </w:rPr>
        <w:t>。</w:t>
      </w:r>
    </w:p>
    <w:p w14:paraId="4A37C76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79E6978D">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eastAsia="zh-CN"/>
        </w:rPr>
        <w:t>461.56</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455.41</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6.15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0DDEB6F7">
      <w:pPr>
        <w:tabs>
          <w:tab w:val="center" w:pos="4473"/>
        </w:tabs>
        <w:spacing w:line="578" w:lineRule="exact"/>
        <w:ind w:firstLine="627" w:firstLineChars="196"/>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354975C5">
      <w:pPr>
        <w:spacing w:line="578"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政府性基金预算财政拨款支出决算总体情况。</w:t>
      </w:r>
    </w:p>
    <w:p w14:paraId="080C0AB1">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sz w:val="32"/>
          <w:szCs w:val="32"/>
        </w:rPr>
      </w:pP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%。与202</w:t>
      </w:r>
      <w:r>
        <w:rPr>
          <w:rFonts w:ascii="仿宋_GB2312" w:hAnsi="ˎ̥" w:eastAsia="仿宋_GB2312"/>
          <w:sz w:val="32"/>
          <w:szCs w:val="32"/>
        </w:rPr>
        <w:t>2</w:t>
      </w:r>
      <w:r>
        <w:rPr>
          <w:rFonts w:hint="eastAsia" w:ascii="仿宋_GB2312" w:hAnsi="ˎ̥" w:eastAsia="仿宋_GB2312"/>
          <w:sz w:val="32"/>
          <w:szCs w:val="32"/>
        </w:rPr>
        <w:t>年度相比，政府性基金预算财政拨款支出增加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s="仿宋_GB2312"/>
          <w:kern w:val="0"/>
          <w:sz w:val="32"/>
          <w:szCs w:val="32"/>
        </w:rPr>
        <w:t>主要原因是</w:t>
      </w:r>
      <w:r>
        <w:rPr>
          <w:rFonts w:hint="eastAsia" w:ascii="仿宋" w:hAnsi="仿宋" w:eastAsia="仿宋" w:cs="仿宋"/>
          <w:kern w:val="0"/>
          <w:sz w:val="32"/>
          <w:szCs w:val="32"/>
          <w:shd w:val="clear" w:color="auto" w:fill="FFFFFF"/>
        </w:rPr>
        <w:t>无政府性基金预算财政拨款支出</w:t>
      </w:r>
      <w:r>
        <w:rPr>
          <w:rFonts w:hint="eastAsia" w:ascii="仿宋" w:hAnsi="仿宋" w:eastAsia="仿宋" w:cs="仿宋"/>
          <w:kern w:val="0"/>
          <w:sz w:val="32"/>
          <w:szCs w:val="32"/>
        </w:rPr>
        <w:t>。</w:t>
      </w:r>
    </w:p>
    <w:p w14:paraId="2B193D11">
      <w:pPr>
        <w:tabs>
          <w:tab w:val="center" w:pos="4473"/>
        </w:tabs>
        <w:spacing w:line="578" w:lineRule="exact"/>
        <w:ind w:firstLine="627" w:firstLineChars="196"/>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052E7D37">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国有资本经营预算财政拨款支出决算总体情况。</w:t>
      </w:r>
    </w:p>
    <w:p w14:paraId="16B5F634">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sz w:val="32"/>
          <w:szCs w:val="32"/>
        </w:rPr>
      </w:pPr>
      <w:r>
        <w:rPr>
          <w:rFonts w:hint="eastAsia"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4</w:t>
      </w:r>
      <w:r>
        <w:rPr>
          <w:rFonts w:hint="eastAsia" w:ascii="仿宋_GB2312" w:hAnsi="ˎ̥" w:eastAsia="仿宋_GB2312" w:cs="仿宋_GB2312"/>
          <w:kern w:val="0"/>
          <w:sz w:val="32"/>
          <w:szCs w:val="32"/>
        </w:rPr>
        <w:t>年度国有资本经营预算财政拨款支出0.00万元，占本年支出合计的0%。与202</w:t>
      </w:r>
      <w:r>
        <w:rPr>
          <w:rFonts w:hint="eastAsia" w:ascii="仿宋_GB2312" w:hAnsi="ˎ̥" w:eastAsia="仿宋_GB2312" w:cs="仿宋_GB2312"/>
          <w:kern w:val="0"/>
          <w:sz w:val="32"/>
          <w:szCs w:val="32"/>
          <w:lang w:val="en-US" w:eastAsia="zh-CN"/>
        </w:rPr>
        <w:t>3</w:t>
      </w:r>
      <w:r>
        <w:rPr>
          <w:rFonts w:hint="eastAsia" w:ascii="仿宋_GB2312" w:hAnsi="ˎ̥" w:eastAsia="仿宋_GB2312" w:cs="仿宋_GB2312"/>
          <w:kern w:val="0"/>
          <w:sz w:val="32"/>
          <w:szCs w:val="32"/>
        </w:rPr>
        <w:t>年度相比，国有资本经营预算财政拨款支出增加0万元，增长0%，主要原因是</w:t>
      </w:r>
      <w:r>
        <w:rPr>
          <w:rFonts w:hint="eastAsia" w:ascii="仿宋" w:hAnsi="仿宋" w:eastAsia="仿宋" w:cs="仿宋"/>
          <w:kern w:val="0"/>
          <w:sz w:val="32"/>
          <w:szCs w:val="32"/>
          <w:shd w:val="clear" w:color="auto" w:fill="FFFFFF"/>
        </w:rPr>
        <w:t>无国有资本经营预算财政拨款支出</w:t>
      </w:r>
      <w:r>
        <w:rPr>
          <w:rFonts w:hint="eastAsia" w:ascii="仿宋" w:hAnsi="仿宋" w:eastAsia="仿宋" w:cs="仿宋"/>
          <w:kern w:val="0"/>
          <w:sz w:val="32"/>
          <w:szCs w:val="32"/>
        </w:rPr>
        <w:t>。</w:t>
      </w:r>
    </w:p>
    <w:p w14:paraId="554B7707">
      <w:pPr>
        <w:spacing w:line="578" w:lineRule="exact"/>
        <w:ind w:firstLine="627" w:firstLineChars="196"/>
        <w:rPr>
          <w:rFonts w:hint="eastAsia" w:ascii="仿宋_GB2312" w:hAnsi="ˎ̥" w:eastAsia="楷体_GB2312"/>
          <w:sz w:val="32"/>
          <w:szCs w:val="32"/>
        </w:rPr>
      </w:pPr>
      <w:bookmarkStart w:id="90" w:name="_Toc17580_WPSOffice_Level1"/>
      <w:bookmarkStart w:id="91" w:name="_Toc8808_WPSOffice_Level1"/>
      <w:bookmarkStart w:id="92" w:name="_Toc15425_WPSOffice_Level1"/>
      <w:bookmarkStart w:id="93" w:name="_Toc8874_WPSOffice_Level1"/>
      <w:bookmarkStart w:id="94" w:name="_Toc4398_WPSOffice_Level1"/>
      <w:bookmarkStart w:id="95" w:name="_Toc11039_WPSOffice_Level1"/>
      <w:r>
        <w:rPr>
          <w:rFonts w:hint="eastAsia" w:ascii="黑体" w:hAnsi="黑体" w:eastAsia="黑体" w:cs="黑体"/>
          <w:bCs/>
          <w:sz w:val="32"/>
          <w:szCs w:val="32"/>
        </w:rPr>
        <w:t>九、财政拨款“三公”经费支出决算情况说明</w:t>
      </w:r>
    </w:p>
    <w:p w14:paraId="178FC362">
      <w:pPr>
        <w:keepNext w:val="0"/>
        <w:keepLines w:val="0"/>
        <w:widowControl/>
        <w:suppressLineNumbers w:val="0"/>
        <w:spacing w:before="100" w:beforeAutospacing="1" w:after="10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（一）财政拨款“三公”经费支出决算总体情况说明。</w:t>
      </w:r>
    </w:p>
    <w:p w14:paraId="54C97E50">
      <w:pPr>
        <w:keepNext w:val="0"/>
        <w:keepLines w:val="0"/>
        <w:widowControl/>
        <w:suppressLineNumbers w:val="0"/>
        <w:spacing w:before="100" w:beforeAutospacing="1" w:after="100" w:afterAutospacing="1"/>
        <w:ind w:left="0" w:right="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 xml:space="preserve">    202</w:t>
      </w:r>
      <w:r>
        <w:rPr>
          <w:rFonts w:hint="eastAsia" w:ascii="仿宋_GB2312" w:hAnsi="ˎ̥" w:eastAsia="仿宋_GB2312" w:cs="仿宋_GB2312"/>
          <w:kern w:val="0"/>
          <w:sz w:val="32"/>
          <w:szCs w:val="32"/>
          <w:lang w:val="en-US" w:eastAsia="zh-CN"/>
        </w:rPr>
        <w:t>3</w:t>
      </w:r>
      <w:r>
        <w:rPr>
          <w:rFonts w:hint="eastAsia" w:ascii="仿宋_GB2312" w:hAnsi="ˎ̥" w:eastAsia="仿宋_GB2312" w:cs="仿宋_GB2312"/>
          <w:kern w:val="0"/>
          <w:sz w:val="32"/>
          <w:szCs w:val="32"/>
        </w:rPr>
        <w:t>年度财政拨款“三公</w:t>
      </w:r>
      <w:r>
        <w:rPr>
          <w:rFonts w:hint="default" w:ascii="ˎ̥" w:hAnsi="ˎ̥" w:eastAsia="ˎ̥" w:cs="ˎ̥"/>
          <w:kern w:val="0"/>
          <w:sz w:val="32"/>
          <w:szCs w:val="32"/>
        </w:rPr>
        <w:t>”</w:t>
      </w:r>
      <w:r>
        <w:rPr>
          <w:rFonts w:hint="eastAsia" w:ascii="仿宋_GB2312" w:hAnsi="ˎ̥" w:eastAsia="仿宋_GB2312" w:cs="仿宋_GB2312"/>
          <w:kern w:val="0"/>
          <w:sz w:val="32"/>
          <w:szCs w:val="32"/>
        </w:rPr>
        <w:t>经费支出预算为</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万元，支出决算为</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万元，完成预算的0%。</w:t>
      </w:r>
    </w:p>
    <w:p w14:paraId="2D4AC49E">
      <w:pPr>
        <w:keepNext w:val="0"/>
        <w:keepLines w:val="0"/>
        <w:widowControl/>
        <w:suppressLineNumbers w:val="0"/>
        <w:spacing w:before="100" w:beforeAutospacing="1" w:after="100" w:afterAutospacing="1"/>
        <w:ind w:left="0" w:right="0"/>
        <w:rPr>
          <w:rFonts w:hint="eastAsia" w:ascii="楷体" w:hAnsi="楷体" w:eastAsia="楷体" w:cs="楷体"/>
          <w:kern w:val="0"/>
          <w:sz w:val="32"/>
          <w:szCs w:val="32"/>
        </w:rPr>
      </w:pPr>
      <w:r>
        <w:rPr>
          <w:rFonts w:hint="eastAsia" w:ascii="楷体" w:hAnsi="楷体" w:eastAsia="楷体" w:cs="楷体"/>
          <w:b/>
          <w:bCs/>
          <w:kern w:val="0"/>
          <w:sz w:val="32"/>
          <w:szCs w:val="32"/>
        </w:rPr>
        <w:t xml:space="preserve">   </w:t>
      </w:r>
      <w:r>
        <w:rPr>
          <w:rFonts w:hint="eastAsia" w:ascii="楷体" w:hAnsi="楷体" w:eastAsia="楷体" w:cs="楷体"/>
          <w:kern w:val="0"/>
          <w:sz w:val="32"/>
          <w:szCs w:val="32"/>
        </w:rPr>
        <w:t xml:space="preserve"> （二）财政拨款“三公”经费支出决算具体情况说明。</w:t>
      </w:r>
    </w:p>
    <w:p w14:paraId="6B255B34">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4</w:t>
      </w:r>
      <w:r>
        <w:rPr>
          <w:rFonts w:hint="eastAsia" w:ascii="仿宋_GB2312" w:hAnsi="ˎ̥" w:eastAsia="仿宋_GB2312" w:cs="仿宋_GB2312"/>
          <w:kern w:val="0"/>
          <w:sz w:val="32"/>
          <w:szCs w:val="32"/>
        </w:rPr>
        <w:t>年度财政拨款“三公</w:t>
      </w:r>
      <w:r>
        <w:rPr>
          <w:rFonts w:hint="default" w:ascii="ˎ̥" w:hAnsi="ˎ̥" w:eastAsia="ˎ̥" w:cs="ˎ̥"/>
          <w:kern w:val="0"/>
          <w:sz w:val="32"/>
          <w:szCs w:val="32"/>
        </w:rPr>
        <w:t>”</w:t>
      </w:r>
      <w:r>
        <w:rPr>
          <w:rFonts w:hint="eastAsia" w:ascii="仿宋_GB2312" w:hAnsi="ˎ̥" w:eastAsia="仿宋_GB2312" w:cs="仿宋_GB2312"/>
          <w:kern w:val="0"/>
          <w:sz w:val="32"/>
          <w:szCs w:val="32"/>
        </w:rPr>
        <w:t>经费支出决算中，因公出国（境）费支出决算</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万元，占0%；公务用车购置及运行维护费支出决算</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万元，占0%；公务接待费支出决算</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万元，占0%。具体情况如下：</w:t>
      </w:r>
    </w:p>
    <w:p w14:paraId="09CCA657">
      <w:pPr>
        <w:keepNext w:val="0"/>
        <w:keepLines w:val="0"/>
        <w:widowControl/>
        <w:suppressLineNumbers w:val="0"/>
        <w:spacing w:before="100" w:beforeAutospacing="1" w:after="100" w:afterAutospacing="1"/>
        <w:ind w:left="0" w:right="0" w:firstLine="643" w:firstLineChars="200"/>
        <w:rPr>
          <w:rFonts w:hint="eastAsia" w:ascii="仿宋_GB2312" w:hAnsi="ˎ̥" w:eastAsia="仿宋_GB2312" w:cs="仿宋_GB2312"/>
          <w:kern w:val="0"/>
          <w:sz w:val="32"/>
          <w:szCs w:val="32"/>
        </w:rPr>
      </w:pPr>
      <w:r>
        <w:rPr>
          <w:rFonts w:hint="eastAsia" w:ascii="仿宋_GB2312" w:hAnsi="ˎ̥" w:eastAsia="仿宋_GB2312" w:cs="仿宋_GB2312"/>
          <w:b/>
          <w:bCs/>
          <w:kern w:val="0"/>
          <w:sz w:val="32"/>
          <w:szCs w:val="32"/>
        </w:rPr>
        <w:t>1.因公出国（境）费</w:t>
      </w:r>
      <w:r>
        <w:rPr>
          <w:rFonts w:hint="eastAsia" w:ascii="仿宋_GB2312" w:hAnsi="ˎ̥" w:eastAsia="仿宋_GB2312" w:cs="仿宋_GB2312"/>
          <w:kern w:val="0"/>
          <w:sz w:val="32"/>
          <w:szCs w:val="32"/>
        </w:rPr>
        <w:t>支出</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万元。全年安排因公出国（境）团组0个，因公出国（境）0人次。0</w:t>
      </w:r>
    </w:p>
    <w:p w14:paraId="039F1662">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因公出国（境）费支出决算比预算数增加（减少）0万元，增长（下降）0%。主要原因是</w:t>
      </w:r>
      <w:r>
        <w:rPr>
          <w:rFonts w:hint="eastAsia" w:ascii="仿宋" w:hAnsi="仿宋" w:eastAsia="仿宋" w:cs="仿宋"/>
          <w:kern w:val="0"/>
          <w:sz w:val="32"/>
          <w:szCs w:val="32"/>
          <w:shd w:val="clear" w:color="auto" w:fill="FFFFFF"/>
        </w:rPr>
        <w:t>无因公出国（境）费支出预算及决算</w:t>
      </w:r>
      <w:r>
        <w:rPr>
          <w:rFonts w:hint="eastAsia" w:ascii="仿宋_GB2312" w:hAnsi="ˎ̥" w:eastAsia="仿宋_GB2312" w:cs="仿宋_GB2312"/>
          <w:kern w:val="0"/>
          <w:sz w:val="32"/>
          <w:szCs w:val="32"/>
        </w:rPr>
        <w:t>。。</w:t>
      </w:r>
    </w:p>
    <w:p w14:paraId="795639EA">
      <w:pPr>
        <w:keepNext w:val="0"/>
        <w:keepLines w:val="0"/>
        <w:widowControl/>
        <w:suppressLineNumbers w:val="0"/>
        <w:spacing w:before="100" w:beforeAutospacing="1" w:after="100" w:afterAutospacing="1"/>
        <w:ind w:left="0" w:right="0"/>
        <w:rPr>
          <w:rFonts w:hint="eastAsia" w:ascii="仿宋_GB2312" w:hAnsi="ˎ̥" w:eastAsia="仿宋_GB2312" w:cs="仿宋_GB2312"/>
          <w:kern w:val="0"/>
          <w:sz w:val="32"/>
          <w:szCs w:val="32"/>
        </w:rPr>
      </w:pPr>
      <w:r>
        <w:rPr>
          <w:rFonts w:hint="eastAsia" w:ascii="仿宋_GB2312" w:hAnsi="ˎ̥" w:eastAsia="仿宋_GB2312" w:cs="仿宋_GB2312"/>
          <w:b/>
          <w:bCs/>
          <w:kern w:val="0"/>
          <w:sz w:val="32"/>
          <w:szCs w:val="32"/>
        </w:rPr>
        <w:t xml:space="preserve">    2.公务用车购置及运行维护费支出</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万元。其中：</w:t>
      </w:r>
    </w:p>
    <w:p w14:paraId="57F92C44">
      <w:pPr>
        <w:keepNext w:val="0"/>
        <w:keepLines w:val="0"/>
        <w:widowControl/>
        <w:suppressLineNumbers w:val="0"/>
        <w:spacing w:before="100" w:beforeAutospacing="1" w:after="100" w:afterAutospacing="1"/>
        <w:ind w:left="0" w:right="0" w:firstLine="643" w:firstLineChars="200"/>
        <w:rPr>
          <w:rFonts w:hint="eastAsia" w:ascii="仿宋_GB2312" w:hAnsi="ˎ̥" w:eastAsia="仿宋_GB2312" w:cs="仿宋_GB2312"/>
          <w:kern w:val="0"/>
          <w:sz w:val="32"/>
          <w:szCs w:val="32"/>
        </w:rPr>
      </w:pPr>
      <w:r>
        <w:rPr>
          <w:rFonts w:hint="eastAsia" w:ascii="仿宋_GB2312" w:hAnsi="ˎ̥" w:eastAsia="仿宋_GB2312" w:cs="仿宋_GB2312"/>
          <w:b/>
          <w:bCs/>
          <w:kern w:val="0"/>
          <w:sz w:val="32"/>
          <w:szCs w:val="32"/>
        </w:rPr>
        <w:t>公务用车购置支出</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万元，全年购置公务用车0辆，，年末公务用车保有量0辆。</w:t>
      </w:r>
    </w:p>
    <w:p w14:paraId="64962E18">
      <w:pPr>
        <w:keepNext w:val="0"/>
        <w:keepLines w:val="0"/>
        <w:widowControl/>
        <w:suppressLineNumbers w:val="0"/>
        <w:spacing w:before="100" w:beforeAutospacing="1" w:after="100" w:afterAutospacing="1"/>
        <w:ind w:left="0" w:right="0" w:firstLine="643" w:firstLineChars="200"/>
        <w:rPr>
          <w:rFonts w:hint="eastAsia" w:ascii="仿宋_GB2312" w:hAnsi="ˎ̥" w:eastAsia="仿宋_GB2312" w:cs="仿宋_GB2312"/>
          <w:kern w:val="0"/>
          <w:sz w:val="32"/>
          <w:szCs w:val="32"/>
        </w:rPr>
      </w:pPr>
      <w:r>
        <w:rPr>
          <w:rFonts w:hint="eastAsia" w:ascii="仿宋_GB2312" w:hAnsi="ˎ̥" w:eastAsia="仿宋_GB2312" w:cs="仿宋_GB2312"/>
          <w:b/>
          <w:bCs/>
          <w:kern w:val="0"/>
          <w:sz w:val="32"/>
          <w:szCs w:val="32"/>
        </w:rPr>
        <w:t>公务用车运行维护费支出</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w:t>
      </w:r>
    </w:p>
    <w:p w14:paraId="3BDEA67D">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公务用车购置及运行费支出决算数比预算数增加（减少）0万元，增长（下降）0%。主要原因是</w:t>
      </w:r>
      <w:r>
        <w:rPr>
          <w:rFonts w:hint="eastAsia" w:ascii="仿宋" w:hAnsi="仿宋" w:eastAsia="仿宋" w:cs="仿宋"/>
          <w:kern w:val="0"/>
          <w:sz w:val="32"/>
          <w:szCs w:val="32"/>
          <w:shd w:val="clear" w:color="auto" w:fill="FFFFFF"/>
        </w:rPr>
        <w:t>无公务用车购置及运行费支出</w:t>
      </w:r>
      <w:r>
        <w:rPr>
          <w:rFonts w:hint="eastAsia" w:ascii="仿宋_GB2312" w:hAnsi="ˎ̥" w:eastAsia="仿宋_GB2312" w:cs="仿宋_GB2312"/>
          <w:kern w:val="0"/>
          <w:sz w:val="32"/>
          <w:szCs w:val="32"/>
        </w:rPr>
        <w:t>。</w:t>
      </w:r>
    </w:p>
    <w:p w14:paraId="7E088699">
      <w:pPr>
        <w:keepNext w:val="0"/>
        <w:keepLines w:val="0"/>
        <w:widowControl/>
        <w:suppressLineNumbers w:val="0"/>
        <w:spacing w:before="100" w:beforeAutospacing="1" w:after="100" w:afterAutospacing="1"/>
        <w:ind w:left="0" w:right="0"/>
        <w:rPr>
          <w:rFonts w:hint="eastAsia" w:ascii="仿宋_GB2312" w:hAnsi="ˎ̥" w:eastAsia="仿宋_GB2312" w:cs="仿宋_GB2312"/>
          <w:kern w:val="0"/>
          <w:sz w:val="32"/>
          <w:szCs w:val="32"/>
        </w:rPr>
      </w:pPr>
      <w:r>
        <w:rPr>
          <w:rFonts w:hint="eastAsia" w:ascii="仿宋_GB2312" w:hAnsi="ˎ̥" w:eastAsia="仿宋_GB2312" w:cs="仿宋_GB2312"/>
          <w:b/>
          <w:bCs/>
          <w:kern w:val="0"/>
          <w:sz w:val="32"/>
          <w:szCs w:val="32"/>
        </w:rPr>
        <w:t xml:space="preserve">    3.公务接待费支出</w:t>
      </w:r>
      <w:r>
        <w:rPr>
          <w:rFonts w:hint="eastAsia" w:ascii="仿宋_GB2312" w:hAnsi="宋体" w:eastAsia="仿宋_GB2312" w:cs="仿宋_GB2312"/>
          <w:kern w:val="0"/>
          <w:sz w:val="32"/>
          <w:szCs w:val="32"/>
        </w:rPr>
        <w:t>0.00</w:t>
      </w:r>
      <w:r>
        <w:rPr>
          <w:rFonts w:hint="eastAsia" w:ascii="仿宋_GB2312" w:hAnsi="ˎ̥" w:eastAsia="仿宋_GB2312" w:cs="仿宋_GB2312"/>
          <w:kern w:val="0"/>
          <w:sz w:val="32"/>
          <w:szCs w:val="32"/>
        </w:rPr>
        <w:t>万元，其中：</w:t>
      </w:r>
    </w:p>
    <w:p w14:paraId="115F1C53">
      <w:pPr>
        <w:keepNext w:val="0"/>
        <w:keepLines w:val="0"/>
        <w:widowControl/>
        <w:suppressLineNumbers w:val="0"/>
        <w:spacing w:before="100" w:beforeAutospacing="1" w:after="100" w:afterAutospacing="1"/>
        <w:ind w:left="0" w:right="0" w:firstLine="643" w:firstLineChars="200"/>
        <w:rPr>
          <w:rFonts w:hint="eastAsia" w:ascii="仿宋_GB2312" w:hAnsi="ˎ̥" w:eastAsia="仿宋_GB2312" w:cs="仿宋_GB2312"/>
          <w:kern w:val="0"/>
          <w:sz w:val="32"/>
          <w:szCs w:val="32"/>
        </w:rPr>
      </w:pPr>
      <w:r>
        <w:rPr>
          <w:rFonts w:hint="eastAsia" w:ascii="仿宋_GB2312" w:hAnsi="ˎ̥" w:eastAsia="仿宋_GB2312" w:cs="仿宋_GB2312"/>
          <w:b/>
          <w:bCs/>
          <w:kern w:val="0"/>
          <w:sz w:val="32"/>
          <w:szCs w:val="32"/>
        </w:rPr>
        <w:t>国内接待费</w:t>
      </w:r>
      <w:r>
        <w:rPr>
          <w:rFonts w:hint="eastAsia" w:ascii="仿宋_GB2312" w:hAnsi="ˎ̥" w:eastAsia="仿宋_GB2312" w:cs="仿宋_GB2312"/>
          <w:kern w:val="0"/>
          <w:sz w:val="32"/>
          <w:szCs w:val="32"/>
        </w:rPr>
        <w:t>支出0万元，国内公务接待0批次，接待0人次。</w:t>
      </w:r>
    </w:p>
    <w:p w14:paraId="597C6BCF">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国（境）外接待费支出0万元，国（境）外公务接待0批次，接待0人次。</w:t>
      </w:r>
    </w:p>
    <w:p w14:paraId="5C5610EE">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公务接待费支出决算数比预算数增加（减少）0万元，增长（下降）0%。主要原因是</w:t>
      </w:r>
      <w:r>
        <w:rPr>
          <w:rFonts w:hint="eastAsia" w:ascii="仿宋" w:hAnsi="仿宋" w:eastAsia="仿宋" w:cs="仿宋"/>
          <w:kern w:val="0"/>
          <w:sz w:val="32"/>
          <w:szCs w:val="32"/>
          <w:shd w:val="clear" w:color="auto" w:fill="FFFFFF"/>
        </w:rPr>
        <w:t>无公务接待费支出预算及决算</w:t>
      </w:r>
      <w:r>
        <w:rPr>
          <w:rFonts w:hint="eastAsia" w:ascii="仿宋_GB2312" w:hAnsi="ˎ̥" w:eastAsia="仿宋_GB2312" w:cs="仿宋_GB2312"/>
          <w:kern w:val="0"/>
          <w:sz w:val="32"/>
          <w:szCs w:val="32"/>
        </w:rPr>
        <w:t>。</w:t>
      </w:r>
    </w:p>
    <w:p w14:paraId="0120309C">
      <w:pPr>
        <w:spacing w:line="578"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1C840750">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17E09D0D">
      <w:pPr>
        <w:spacing w:line="578" w:lineRule="exact"/>
        <w:ind w:firstLine="640" w:firstLineChars="200"/>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w:t>
      </w:r>
      <w:r>
        <w:rPr>
          <w:rFonts w:hint="eastAsia" w:ascii="仿宋_GB2312" w:eastAsia="仿宋_GB2312"/>
          <w:sz w:val="32"/>
          <w:szCs w:val="32"/>
          <w:lang w:eastAsia="zh-CN"/>
        </w:rPr>
        <w:t>单位</w:t>
      </w:r>
      <w:r>
        <w:rPr>
          <w:rFonts w:hint="eastAsia" w:ascii="仿宋_GB2312" w:eastAsia="仿宋_GB2312"/>
          <w:sz w:val="32"/>
          <w:szCs w:val="32"/>
        </w:rPr>
        <w:t>组织对202</w:t>
      </w:r>
      <w:r>
        <w:rPr>
          <w:rFonts w:hint="eastAsia" w:ascii="仿宋_GB2312" w:eastAsia="仿宋_GB2312"/>
          <w:sz w:val="32"/>
          <w:szCs w:val="32"/>
          <w:lang w:val="en-US" w:eastAsia="zh-CN"/>
        </w:rPr>
        <w:t>4</w:t>
      </w:r>
      <w:r>
        <w:rPr>
          <w:rFonts w:hint="eastAsia" w:ascii="仿宋_GB2312" w:eastAsia="仿宋_GB2312"/>
          <w:sz w:val="32"/>
          <w:szCs w:val="32"/>
        </w:rPr>
        <w:t>年度一般公共预算项目支出全面开展绩效自评。</w:t>
      </w:r>
      <w:r>
        <w:rPr>
          <w:rFonts w:hint="eastAsia" w:ascii="仿宋_GB2312" w:eastAsia="仿宋_GB2312"/>
          <w:sz w:val="32"/>
          <w:szCs w:val="32"/>
          <w:lang w:bidi="ar"/>
        </w:rPr>
        <w:t>其中，一级项目</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个，二级项目</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万元，占一般公共预算项目支出总额的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%。组织对202</w:t>
      </w:r>
      <w:r>
        <w:rPr>
          <w:rFonts w:ascii="仿宋_GB2312" w:eastAsia="仿宋_GB2312"/>
          <w:sz w:val="32"/>
          <w:szCs w:val="32"/>
          <w:lang w:bidi="ar"/>
        </w:rPr>
        <w:t>3</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%。组织对202</w:t>
      </w:r>
      <w:r>
        <w:rPr>
          <w:rFonts w:hint="eastAsia" w:ascii="仿宋_GB2312" w:eastAsia="仿宋_GB2312"/>
          <w:sz w:val="32"/>
          <w:szCs w:val="32"/>
          <w:lang w:val="en-US" w:eastAsia="zh-CN" w:bidi="ar"/>
        </w:rPr>
        <w:t>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个国有资本经营预算项目开展绩效自评，共涉及资金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14:paraId="66798B58">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5661D2EC">
      <w:pPr>
        <w:spacing w:line="578" w:lineRule="exact"/>
        <w:ind w:firstLine="640" w:firstLineChars="200"/>
        <w:rPr>
          <w:rFonts w:hint="eastAsia" w:ascii="仿宋_GB2312" w:eastAsia="仿宋_GB2312"/>
          <w:sz w:val="32"/>
          <w:szCs w:val="32"/>
        </w:rPr>
      </w:pPr>
      <w:r>
        <w:rPr>
          <w:rFonts w:hint="eastAsia" w:ascii="仿宋_GB2312" w:eastAsia="仿宋_GB2312"/>
          <w:sz w:val="32"/>
          <w:szCs w:val="32"/>
        </w:rPr>
        <w:t>参照如下格式说明（表述应与决算内容保持一致）：我</w:t>
      </w:r>
      <w:r>
        <w:rPr>
          <w:rFonts w:hint="eastAsia" w:ascii="仿宋_GB2312" w:eastAsia="仿宋_GB2312"/>
          <w:sz w:val="32"/>
          <w:szCs w:val="32"/>
          <w:lang w:eastAsia="zh-CN"/>
        </w:rPr>
        <w:t>单位</w:t>
      </w:r>
      <w:r>
        <w:rPr>
          <w:rFonts w:hint="eastAsia" w:ascii="仿宋_GB2312" w:eastAsia="仿宋_GB2312"/>
          <w:sz w:val="32"/>
          <w:szCs w:val="32"/>
        </w:rPr>
        <w:t>在部门决算中反映</w:t>
      </w:r>
      <w:r>
        <w:rPr>
          <w:rFonts w:hint="eastAsia" w:ascii="仿宋_GB2312" w:eastAsia="仿宋_GB2312"/>
          <w:sz w:val="32"/>
          <w:szCs w:val="32"/>
          <w:lang w:val="en-US" w:eastAsia="zh-CN"/>
        </w:rPr>
        <w:t>0</w:t>
      </w:r>
      <w:r>
        <w:rPr>
          <w:rFonts w:hint="eastAsia" w:ascii="仿宋_GB2312" w:eastAsia="仿宋_GB2312"/>
          <w:sz w:val="32"/>
          <w:szCs w:val="32"/>
        </w:rPr>
        <w:t>个项目绩效自评结果（包括项目绩效自评表和项目绩效自评报告）。</w:t>
      </w:r>
    </w:p>
    <w:p w14:paraId="1041C298">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14:paraId="7C09FFEC">
      <w:pPr>
        <w:spacing w:line="578" w:lineRule="exact"/>
        <w:ind w:firstLine="640" w:firstLineChars="200"/>
        <w:rPr>
          <w:rFonts w:hint="eastAsia" w:ascii="仿宋_GB2312" w:eastAsia="仿宋_GB2312"/>
          <w:sz w:val="32"/>
          <w:szCs w:val="32"/>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14:paraId="6A357756">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4E72792B">
      <w:pPr>
        <w:spacing w:line="578" w:lineRule="exact"/>
        <w:ind w:firstLine="640" w:firstLineChars="200"/>
        <w:rPr>
          <w:rFonts w:hint="eastAsia" w:ascii="仿宋_GB2312" w:eastAsia="仿宋_GB2312"/>
          <w:sz w:val="32"/>
          <w:szCs w:val="32"/>
        </w:rPr>
      </w:pPr>
      <w:r>
        <w:rPr>
          <w:rFonts w:hint="eastAsia" w:ascii="仿宋_GB2312" w:eastAsia="仿宋_GB2312"/>
          <w:sz w:val="32"/>
          <w:szCs w:val="32"/>
          <w:lang w:val="zh-CN"/>
        </w:rPr>
        <w:t>反映财政部门组织开展的预算单位重点项目财政评价情况，如有，可将评价报告附后。</w:t>
      </w:r>
    </w:p>
    <w:p w14:paraId="5C35B088">
      <w:pPr>
        <w:spacing w:line="578"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202BEF92">
      <w:pPr>
        <w:keepNext w:val="0"/>
        <w:keepLines w:val="0"/>
        <w:widowControl/>
        <w:suppressLineNumbers w:val="0"/>
        <w:shd w:val="clear" w:color="auto" w:fill="FFFFFF"/>
        <w:spacing w:before="100" w:beforeAutospacing="1" w:after="100" w:afterAutospacing="1" w:line="578" w:lineRule="exact"/>
        <w:ind w:left="0" w:firstLine="640" w:firstLineChars="200"/>
        <w:rPr>
          <w:rFonts w:hint="eastAsia"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截至202</w:t>
      </w:r>
      <w:r>
        <w:rPr>
          <w:rFonts w:hint="eastAsia" w:ascii="仿宋" w:hAnsi="仿宋" w:eastAsia="仿宋" w:cs="仿宋"/>
          <w:kern w:val="0"/>
          <w:sz w:val="32"/>
          <w:szCs w:val="32"/>
          <w:shd w:val="clear" w:color="auto" w:fill="FFFFFF"/>
          <w:lang w:val="en-US" w:eastAsia="zh-CN"/>
        </w:rPr>
        <w:t>4</w:t>
      </w:r>
      <w:r>
        <w:rPr>
          <w:rFonts w:hint="eastAsia" w:ascii="仿宋" w:hAnsi="仿宋" w:eastAsia="仿宋" w:cs="仿宋"/>
          <w:kern w:val="0"/>
          <w:sz w:val="32"/>
          <w:szCs w:val="32"/>
          <w:shd w:val="clear" w:color="auto" w:fill="FFFFFF"/>
        </w:rPr>
        <w:t>年12月31日，屯昌县枫木镇中心幼儿园占用房屋面积3305平方米，其中：办公用房204平方米，业务用房1870平方米，其他（不含构筑物）1060平方米。</w:t>
      </w:r>
    </w:p>
    <w:p w14:paraId="2F306D20">
      <w:pPr>
        <w:keepNext w:val="0"/>
        <w:keepLines w:val="0"/>
        <w:widowControl/>
        <w:suppressLineNumbers w:val="0"/>
        <w:shd w:val="clear" w:color="auto" w:fill="FFFFFF"/>
        <w:spacing w:before="100" w:beforeAutospacing="1" w:after="100" w:afterAutospacing="1" w:line="578" w:lineRule="exact"/>
        <w:ind w:left="0" w:firstLine="640" w:firstLineChars="200"/>
        <w:rPr>
          <w:rFonts w:hint="eastAsia"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本部门共有车辆0辆，其中：从车辆种类说明：轿车0辆、越野车0辆、小型载客汽车0辆、大中型载客汽车辆、其他车型0辆，0；从车辆使用情况说明：副部（省）级及以上领导用车0辆、主要领导干部用车0辆、机要通信用车0辆、应急保障用车0辆、执法执勤用车0辆、特种专业技术用车0辆、离退休干部用车0辆、其他用车0辆。</w:t>
      </w:r>
    </w:p>
    <w:p w14:paraId="2A6FD2C3">
      <w:pPr>
        <w:keepNext w:val="0"/>
        <w:keepLines w:val="0"/>
        <w:widowControl/>
        <w:suppressLineNumbers w:val="0"/>
        <w:shd w:val="clear" w:color="auto" w:fill="FFFFFF"/>
        <w:spacing w:before="100" w:beforeAutospacing="1" w:after="100" w:afterAutospacing="1" w:line="578" w:lineRule="exact"/>
        <w:ind w:left="0" w:firstLine="640" w:firstLineChars="200"/>
        <w:rPr>
          <w:rFonts w:hint="eastAsia"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单位价值50万元（含）以上通用设备0台（套），单价100万元（含）以上专用设备0台（套）。</w:t>
      </w:r>
    </w:p>
    <w:p w14:paraId="66EDFA59">
      <w:pPr>
        <w:keepNext w:val="0"/>
        <w:keepLines w:val="0"/>
        <w:widowControl/>
        <w:suppressLineNumbers w:val="0"/>
        <w:shd w:val="clear" w:color="auto" w:fill="FFFFFF"/>
        <w:spacing w:before="100" w:beforeAutospacing="1" w:after="100" w:afterAutospacing="1" w:line="578" w:lineRule="exact"/>
        <w:ind w:left="0" w:firstLine="640" w:firstLineChars="200"/>
        <w:rPr>
          <w:rFonts w:hint="eastAsia" w:ascii="黑体" w:hAnsi="ˎ̥" w:eastAsia="黑体"/>
          <w:sz w:val="32"/>
          <w:szCs w:val="32"/>
        </w:rPr>
      </w:pPr>
      <w:r>
        <w:rPr>
          <w:rFonts w:hint="eastAsia" w:ascii="仿宋" w:hAnsi="仿宋" w:eastAsia="仿宋" w:cs="仿宋"/>
          <w:kern w:val="0"/>
          <w:sz w:val="32"/>
          <w:szCs w:val="32"/>
          <w:shd w:val="clear" w:color="auto" w:fill="FFFFFF"/>
        </w:rPr>
        <w:t>年末在建工程0万元。</w:t>
      </w:r>
    </w:p>
    <w:p w14:paraId="0A57C4DB">
      <w:pPr>
        <w:spacing w:line="578" w:lineRule="exact"/>
        <w:jc w:val="center"/>
        <w:rPr>
          <w:rFonts w:hint="eastAsia" w:ascii="黑体" w:hAnsi="ˎ̥" w:eastAsia="黑体"/>
          <w:sz w:val="32"/>
          <w:szCs w:val="32"/>
        </w:rPr>
      </w:pPr>
      <w:r>
        <w:rPr>
          <w:rFonts w:hint="eastAsia" w:ascii="黑体" w:hAnsi="ˎ̥" w:eastAsia="黑体"/>
          <w:sz w:val="32"/>
          <w:szCs w:val="32"/>
        </w:rPr>
        <w:t>第四部分  名词解释</w:t>
      </w:r>
    </w:p>
    <w:p w14:paraId="22586D88">
      <w:pPr>
        <w:spacing w:line="578" w:lineRule="exact"/>
        <w:jc w:val="center"/>
        <w:rPr>
          <w:rFonts w:hint="eastAsia" w:ascii="黑体" w:hAnsi="ˎ̥" w:eastAsia="黑体"/>
          <w:sz w:val="32"/>
          <w:szCs w:val="32"/>
        </w:rPr>
      </w:pPr>
    </w:p>
    <w:p w14:paraId="7F6E838C">
      <w:pPr>
        <w:numPr>
          <w:ilvl w:val="0"/>
          <w:numId w:val="0"/>
        </w:num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4083A70B">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56CD597E">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63099CDD">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5565B400">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6B99F11">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6CE2264A">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08AD554">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0E58B7B0">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23F0FF90">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7511C73C">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3AE7643">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23D3A9B8">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6A8B8C52">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68AE0520">
      <w:pPr>
        <w:spacing w:line="578" w:lineRule="exact"/>
        <w:ind w:firstLine="645"/>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CF7811B">
      <w:pPr>
        <w:spacing w:line="578" w:lineRule="exact"/>
      </w:pPr>
    </w:p>
    <w:bookmarkEnd w:id="90"/>
    <w:bookmarkEnd w:id="91"/>
    <w:bookmarkEnd w:id="92"/>
    <w:bookmarkEnd w:id="93"/>
    <w:bookmarkEnd w:id="94"/>
    <w:bookmarkEnd w:id="95"/>
    <w:p w14:paraId="5C43939F">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CA6A2">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7337EA0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52BEA">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3B681E0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3DE24"/>
    <w:multiLevelType w:val="singleLevel"/>
    <w:tmpl w:val="8ED3DE24"/>
    <w:lvl w:ilvl="0" w:tentative="0">
      <w:start w:val="1"/>
      <w:numFmt w:val="chineseCounting"/>
      <w:suff w:val="nothing"/>
      <w:lvlText w:val="%1、"/>
      <w:lvlJc w:val="left"/>
      <w:rPr>
        <w:rFonts w:hint="eastAsia"/>
      </w:rPr>
    </w:lvl>
  </w:abstractNum>
  <w:abstractNum w:abstractNumId="1">
    <w:nsid w:val="E6BA4686"/>
    <w:multiLevelType w:val="multilevel"/>
    <w:tmpl w:val="E6BA4686"/>
    <w:lvl w:ilvl="0" w:tentative="0">
      <w:start w:val="1"/>
      <w:numFmt w:val="japaneseCounting"/>
      <w:lvlText w:val="%1、"/>
      <w:lvlJc w:val="left"/>
      <w:pPr>
        <w:tabs>
          <w:tab w:val="left" w:pos="0"/>
        </w:tabs>
        <w:ind w:left="1360" w:hanging="720"/>
      </w:pPr>
      <w:rPr>
        <w:rFonts w:hint="default" w:ascii="Times New Roman" w:hAnsi="Times New Roman" w:cs="黑体"/>
      </w:rPr>
    </w:lvl>
    <w:lvl w:ilvl="1" w:tentative="0">
      <w:start w:val="1"/>
      <w:numFmt w:val="lowerLetter"/>
      <w:lvlText w:val="%2)"/>
      <w:lvlJc w:val="left"/>
      <w:pPr>
        <w:tabs>
          <w:tab w:val="left" w:pos="0"/>
        </w:tabs>
        <w:ind w:left="1480" w:hanging="420"/>
      </w:pPr>
      <w:rPr>
        <w:rFonts w:hint="default" w:ascii="Times New Roman" w:hAnsi="Times New Roman" w:cs="Times New Roman"/>
      </w:rPr>
    </w:lvl>
    <w:lvl w:ilvl="2" w:tentative="0">
      <w:start w:val="1"/>
      <w:numFmt w:val="lowerRoman"/>
      <w:lvlText w:val="%3."/>
      <w:lvlJc w:val="right"/>
      <w:pPr>
        <w:tabs>
          <w:tab w:val="left" w:pos="0"/>
        </w:tabs>
        <w:ind w:left="1900" w:hanging="420"/>
      </w:pPr>
      <w:rPr>
        <w:rFonts w:hint="default" w:ascii="Times New Roman" w:hAnsi="Times New Roman" w:cs="Times New Roman"/>
      </w:rPr>
    </w:lvl>
    <w:lvl w:ilvl="3" w:tentative="0">
      <w:start w:val="1"/>
      <w:numFmt w:val="decimal"/>
      <w:lvlText w:val="%4."/>
      <w:lvlJc w:val="left"/>
      <w:pPr>
        <w:tabs>
          <w:tab w:val="left" w:pos="0"/>
        </w:tabs>
        <w:ind w:left="2320" w:hanging="420"/>
      </w:pPr>
      <w:rPr>
        <w:rFonts w:hint="default" w:ascii="Times New Roman" w:hAnsi="Times New Roman" w:cs="Times New Roman"/>
      </w:rPr>
    </w:lvl>
    <w:lvl w:ilvl="4" w:tentative="0">
      <w:start w:val="1"/>
      <w:numFmt w:val="lowerLetter"/>
      <w:lvlText w:val="%5)"/>
      <w:lvlJc w:val="left"/>
      <w:pPr>
        <w:tabs>
          <w:tab w:val="left" w:pos="0"/>
        </w:tabs>
        <w:ind w:left="2740" w:hanging="420"/>
      </w:pPr>
      <w:rPr>
        <w:rFonts w:hint="default" w:ascii="Times New Roman" w:hAnsi="Times New Roman" w:cs="Times New Roman"/>
      </w:rPr>
    </w:lvl>
    <w:lvl w:ilvl="5" w:tentative="0">
      <w:start w:val="1"/>
      <w:numFmt w:val="lowerRoman"/>
      <w:lvlText w:val="%6."/>
      <w:lvlJc w:val="right"/>
      <w:pPr>
        <w:tabs>
          <w:tab w:val="left" w:pos="0"/>
        </w:tabs>
        <w:ind w:left="3160" w:hanging="420"/>
      </w:pPr>
      <w:rPr>
        <w:rFonts w:hint="default" w:ascii="Times New Roman" w:hAnsi="Times New Roman" w:cs="Times New Roman"/>
      </w:rPr>
    </w:lvl>
    <w:lvl w:ilvl="6" w:tentative="0">
      <w:start w:val="1"/>
      <w:numFmt w:val="decimal"/>
      <w:lvlText w:val="%7."/>
      <w:lvlJc w:val="left"/>
      <w:pPr>
        <w:tabs>
          <w:tab w:val="left" w:pos="0"/>
        </w:tabs>
        <w:ind w:left="3580" w:hanging="420"/>
      </w:pPr>
      <w:rPr>
        <w:rFonts w:hint="default" w:ascii="Times New Roman" w:hAnsi="Times New Roman" w:cs="Times New Roman"/>
      </w:rPr>
    </w:lvl>
    <w:lvl w:ilvl="7" w:tentative="0">
      <w:start w:val="1"/>
      <w:numFmt w:val="lowerLetter"/>
      <w:lvlText w:val="%8)"/>
      <w:lvlJc w:val="left"/>
      <w:pPr>
        <w:tabs>
          <w:tab w:val="left" w:pos="0"/>
        </w:tabs>
        <w:ind w:left="4000" w:hanging="420"/>
      </w:pPr>
      <w:rPr>
        <w:rFonts w:hint="default" w:ascii="Times New Roman" w:hAnsi="Times New Roman" w:cs="Times New Roman"/>
      </w:rPr>
    </w:lvl>
    <w:lvl w:ilvl="8" w:tentative="0">
      <w:start w:val="1"/>
      <w:numFmt w:val="lowerRoman"/>
      <w:lvlText w:val="%9."/>
      <w:lvlJc w:val="right"/>
      <w:pPr>
        <w:tabs>
          <w:tab w:val="left" w:pos="0"/>
        </w:tabs>
        <w:ind w:left="4420" w:hanging="420"/>
      </w:pPr>
      <w:rPr>
        <w:rFonts w:hint="default" w:ascii="Times New Roman" w:hAnsi="Times New Roman" w:cs="Times New Roman"/>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abstractNum w:abstractNumId="3">
    <w:nsid w:val="73E19174"/>
    <w:multiLevelType w:val="singleLevel"/>
    <w:tmpl w:val="73E19174"/>
    <w:lvl w:ilvl="0" w:tentative="0">
      <w:start w:val="5"/>
      <w:numFmt w:val="decimal"/>
      <w:lvlText w:val="%1."/>
      <w:lvlJc w:val="left"/>
      <w:pPr>
        <w:tabs>
          <w:tab w:val="left" w:pos="312"/>
        </w:tabs>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52C09B4"/>
    <w:rsid w:val="09201287"/>
    <w:rsid w:val="0FC80124"/>
    <w:rsid w:val="12724B72"/>
    <w:rsid w:val="136F98C7"/>
    <w:rsid w:val="17427E68"/>
    <w:rsid w:val="1755065F"/>
    <w:rsid w:val="1AFC29C9"/>
    <w:rsid w:val="1CA52F2E"/>
    <w:rsid w:val="1E3630B9"/>
    <w:rsid w:val="2255414F"/>
    <w:rsid w:val="24F830F7"/>
    <w:rsid w:val="26AD3F15"/>
    <w:rsid w:val="26EEC2B5"/>
    <w:rsid w:val="29472309"/>
    <w:rsid w:val="2B406E77"/>
    <w:rsid w:val="2C2A0C43"/>
    <w:rsid w:val="2D1E73A5"/>
    <w:rsid w:val="32717154"/>
    <w:rsid w:val="34B63260"/>
    <w:rsid w:val="37FDA7E2"/>
    <w:rsid w:val="3A314D88"/>
    <w:rsid w:val="3A746883"/>
    <w:rsid w:val="3C9704E5"/>
    <w:rsid w:val="3CA15DE9"/>
    <w:rsid w:val="3FE61EE5"/>
    <w:rsid w:val="406508EE"/>
    <w:rsid w:val="408D6263"/>
    <w:rsid w:val="41B40CEE"/>
    <w:rsid w:val="48317291"/>
    <w:rsid w:val="485F7024"/>
    <w:rsid w:val="48E70666"/>
    <w:rsid w:val="4C6877E5"/>
    <w:rsid w:val="4D6A468D"/>
    <w:rsid w:val="4EA86137"/>
    <w:rsid w:val="4F733C1F"/>
    <w:rsid w:val="56256C9C"/>
    <w:rsid w:val="56CA7FD0"/>
    <w:rsid w:val="57FA38D1"/>
    <w:rsid w:val="5A2341B0"/>
    <w:rsid w:val="5AFC08E8"/>
    <w:rsid w:val="5C565C0C"/>
    <w:rsid w:val="5F7D3333"/>
    <w:rsid w:val="61385890"/>
    <w:rsid w:val="687436E1"/>
    <w:rsid w:val="6ADF681E"/>
    <w:rsid w:val="6B76116B"/>
    <w:rsid w:val="6DA45C50"/>
    <w:rsid w:val="6DA87988"/>
    <w:rsid w:val="6DAA3120"/>
    <w:rsid w:val="6E9A7825"/>
    <w:rsid w:val="6F670F9B"/>
    <w:rsid w:val="737450E0"/>
    <w:rsid w:val="74054476"/>
    <w:rsid w:val="742F38C4"/>
    <w:rsid w:val="74780FE3"/>
    <w:rsid w:val="74AB66DC"/>
    <w:rsid w:val="74C4154C"/>
    <w:rsid w:val="75956FFF"/>
    <w:rsid w:val="77AA2D01"/>
    <w:rsid w:val="7949306D"/>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customStyle="1" w:styleId="18">
    <w:name w:val="msolistparagraph"/>
    <w:basedOn w:val="1"/>
    <w:qFormat/>
    <w:uiPriority w:val="0"/>
    <w:pPr>
      <w:keepNext w:val="0"/>
      <w:keepLines w:val="0"/>
      <w:widowControl/>
      <w:suppressLineNumbers w:val="0"/>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5561</Words>
  <Characters>6027</Characters>
  <Lines>67</Lines>
  <Paragraphs>18</Paragraphs>
  <TotalTime>1</TotalTime>
  <ScaleCrop>false</ScaleCrop>
  <LinksUpToDate>false</LinksUpToDate>
  <CharactersWithSpaces>6097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2026-02-03T06:10:34Z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03AE7F14E2DC4BACB053764200FF950D_13</vt:lpwstr>
  </property>
  <property fmtid="{D5CDD505-2E9C-101B-9397-08002B2CF9AE}" pid="4" name="KSOTemplateDocerSaveRecord">
    <vt:lpwstr>eyJoZGlkIjoiZjYzODlhNzJhNTdiNTI2NzA5MDMxZDI3MmRlNjY0YTEiLCJ1c2VySWQiOiI3ODI0MjQwOTcifQ==</vt:lpwstr>
  </property>
</Properties>
</file>