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bookmarkStart w:id="123" w:name="_GoBack"/>
      <w:bookmarkEnd w:id="123"/>
      <w:r>
        <w:rPr>
          <w:rFonts w:hint="eastAsia" w:ascii="方正小标宋_GBK" w:hAnsi="方正小标宋_GBK" w:eastAsia="方正小标宋_GBK" w:cs="方正小标宋_GBK"/>
          <w:b w:val="0"/>
          <w:bCs w:val="0"/>
          <w:color w:val="auto"/>
          <w:sz w:val="44"/>
          <w:szCs w:val="44"/>
        </w:rPr>
        <w:t>屯昌县教育研究培训中心2024年度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val="en-US"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center"/>
        <w:rPr>
          <w:rFonts w:hint="eastAsia" w:ascii="黑体" w:hAnsi="ˎ̥" w:eastAsia="黑体"/>
          <w:color w:val="auto"/>
          <w:sz w:val="32"/>
          <w:szCs w:val="32"/>
        </w:rPr>
      </w:pPr>
      <w:bookmarkStart w:id="2" w:name="_Toc32433_WPSOffice_Level1"/>
      <w:bookmarkStart w:id="3" w:name="_Toc10049_WPSOffice_Level1"/>
      <w:bookmarkStart w:id="4" w:name="_Toc10720_WPSOffice_Level1"/>
      <w:bookmarkStart w:id="5" w:name="_Toc1704_WPSOffice_Level1"/>
      <w:bookmarkStart w:id="6" w:name="_Toc23465_WPSOffice_Level1"/>
      <w:bookmarkStart w:id="7" w:name="_Toc22941_WPSOffice_Level1"/>
      <w:bookmarkStart w:id="8" w:name="_Toc24238_WPSOffice_Level2"/>
      <w:bookmarkStart w:id="9" w:name="_Toc14159_WPSOffice_Level2"/>
      <w:bookmarkStart w:id="10" w:name="_Toc20205_WPSOffice_Level2"/>
      <w:bookmarkStart w:id="11" w:name="_Toc26580_WPSOffice_Level2"/>
      <w:bookmarkStart w:id="12" w:name="_Toc20274_WPSOffice_Level2"/>
      <w:bookmarkStart w:id="13" w:name="_Toc32622_WPSOffice_Level2"/>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单位职责</w:t>
      </w:r>
      <w:bookmarkEnd w:id="9"/>
      <w:bookmarkEnd w:id="10"/>
      <w:bookmarkEnd w:id="11"/>
      <w:bookmarkEnd w:id="12"/>
      <w:bookmarkEnd w:id="13"/>
    </w:p>
    <w:p>
      <w:pPr>
        <w:keepNext w:val="0"/>
        <w:keepLines w:val="0"/>
        <w:widowControl/>
        <w:numPr>
          <w:ilvl w:val="0"/>
          <w:numId w:val="3"/>
        </w:numPr>
        <w:suppressLineNumbers w:val="0"/>
        <w:tabs>
          <w:tab w:val="left" w:pos="0"/>
          <w:tab w:val="clear" w:pos="312"/>
        </w:tabs>
        <w:spacing w:before="0" w:beforeAutospacing="0" w:after="100" w:afterAutospacing="1"/>
        <w:ind w:leftChars="200" w:right="0" w:rightChars="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协助县教育局制定教师培训计划、规划；参与教师培训管理工作，承担有关教师和教育行政管理人员的业务培训。</w:t>
      </w:r>
    </w:p>
    <w:p>
      <w:pPr>
        <w:keepNext w:val="0"/>
        <w:keepLines w:val="0"/>
        <w:widowControl/>
        <w:numPr>
          <w:ilvl w:val="0"/>
          <w:numId w:val="3"/>
        </w:numPr>
        <w:suppressLineNumbers w:val="0"/>
        <w:tabs>
          <w:tab w:val="left" w:pos="0"/>
          <w:tab w:val="clear" w:pos="312"/>
        </w:tabs>
        <w:spacing w:before="0" w:beforeAutospacing="0" w:after="100" w:afterAutospacing="1"/>
        <w:ind w:leftChars="200" w:right="0" w:rightChars="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从事中小学（幼儿园）开展教学研究活动；负责全县教育教学评价指导、研究工作。</w:t>
      </w:r>
    </w:p>
    <w:p>
      <w:pPr>
        <w:keepNext w:val="0"/>
        <w:keepLines w:val="0"/>
        <w:widowControl/>
        <w:numPr>
          <w:ilvl w:val="0"/>
          <w:numId w:val="3"/>
        </w:numPr>
        <w:suppressLineNumbers w:val="0"/>
        <w:tabs>
          <w:tab w:val="left" w:pos="0"/>
          <w:tab w:val="clear" w:pos="312"/>
        </w:tabs>
        <w:spacing w:before="0" w:beforeAutospacing="0" w:after="100" w:afterAutospacing="1"/>
        <w:ind w:leftChars="200" w:right="0" w:rightChars="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制订全县基础教育课程计划及实施指导，提出教材使用建议；负责课程改革试验、推广的义务指导，校本课程开发指导和课程资源的开发利用。</w:t>
      </w:r>
    </w:p>
    <w:p>
      <w:pPr>
        <w:keepNext w:val="0"/>
        <w:keepLines w:val="0"/>
        <w:widowControl/>
        <w:numPr>
          <w:ilvl w:val="0"/>
          <w:numId w:val="3"/>
        </w:numPr>
        <w:suppressLineNumbers w:val="0"/>
        <w:tabs>
          <w:tab w:val="left" w:pos="0"/>
          <w:tab w:val="clear" w:pos="312"/>
        </w:tabs>
        <w:spacing w:before="0" w:beforeAutospacing="0" w:after="100" w:afterAutospacing="1"/>
        <w:ind w:leftChars="200" w:right="0" w:rightChars="0"/>
        <w:jc w:val="left"/>
        <w:rPr>
          <w:rFonts w:hint="eastAsia" w:ascii="黑体" w:hAnsi="宋体" w:eastAsia="黑体" w:cs="黑体"/>
          <w:color w:val="auto"/>
          <w:kern w:val="0"/>
          <w:sz w:val="32"/>
          <w:szCs w:val="32"/>
        </w:rPr>
      </w:pPr>
      <w:r>
        <w:rPr>
          <w:rFonts w:hint="default" w:ascii="仿宋_GB2312" w:hAnsi="ˎ̥" w:eastAsia="仿宋_GB2312" w:cs="仿宋_GB2312"/>
          <w:color w:val="auto"/>
          <w:kern w:val="0"/>
          <w:sz w:val="32"/>
          <w:szCs w:val="32"/>
          <w:shd w:val="clear" w:color="auto" w:fill="FFFFFF"/>
        </w:rPr>
        <w:t>负责全县教育网络的建设、管理和开发利用；从事电化教育、现代教育技术应用等方面的研究，指导，协调中小学电化教育工作，提供现代化教育技术服务。</w:t>
      </w:r>
    </w:p>
    <w:p>
      <w:pPr>
        <w:keepNext w:val="0"/>
        <w:keepLines w:val="0"/>
        <w:widowControl/>
        <w:numPr>
          <w:ilvl w:val="0"/>
          <w:numId w:val="3"/>
        </w:numPr>
        <w:suppressLineNumbers w:val="0"/>
        <w:tabs>
          <w:tab w:val="left" w:pos="0"/>
          <w:tab w:val="clear" w:pos="312"/>
        </w:tabs>
        <w:spacing w:before="0" w:beforeAutospacing="0" w:after="100" w:afterAutospacing="1"/>
        <w:ind w:leftChars="200" w:right="0" w:rightChars="0"/>
        <w:jc w:val="left"/>
        <w:rPr>
          <w:rFonts w:hint="eastAsia" w:ascii="黑体" w:hAnsi="黑体" w:eastAsia="黑体" w:cs="黑体"/>
          <w:color w:val="auto"/>
          <w:sz w:val="32"/>
          <w:szCs w:val="32"/>
        </w:rPr>
      </w:pPr>
      <w:r>
        <w:rPr>
          <w:rFonts w:hint="default" w:ascii="仿宋_GB2312" w:hAnsi="ˎ̥" w:eastAsia="仿宋_GB2312" w:cs="仿宋_GB2312"/>
          <w:color w:val="auto"/>
          <w:kern w:val="0"/>
          <w:sz w:val="32"/>
          <w:szCs w:val="32"/>
          <w:shd w:val="clear" w:color="auto" w:fill="FFFFFF"/>
        </w:rPr>
        <w:t>承办上级主管</w:t>
      </w:r>
      <w:r>
        <w:rPr>
          <w:rFonts w:hint="eastAsia" w:ascii="仿宋_GB2312" w:hAnsi="ˎ̥" w:eastAsia="仿宋_GB2312" w:cs="仿宋_GB2312"/>
          <w:color w:val="auto"/>
          <w:kern w:val="0"/>
          <w:sz w:val="32"/>
          <w:szCs w:val="32"/>
          <w:shd w:val="clear" w:color="auto" w:fill="FFFFFF"/>
          <w:lang w:eastAsia="zh-CN"/>
        </w:rPr>
        <w:t>单位</w:t>
      </w:r>
      <w:r>
        <w:rPr>
          <w:rFonts w:hint="default" w:ascii="仿宋_GB2312" w:hAnsi="ˎ̥" w:eastAsia="仿宋_GB2312" w:cs="仿宋_GB2312"/>
          <w:color w:val="auto"/>
          <w:kern w:val="0"/>
          <w:sz w:val="32"/>
          <w:szCs w:val="32"/>
          <w:shd w:val="clear" w:color="auto" w:fill="FFFFFF"/>
        </w:rPr>
        <w:t>交办的其他工作。</w:t>
      </w:r>
    </w:p>
    <w:p>
      <w:pPr>
        <w:spacing w:line="578" w:lineRule="exact"/>
        <w:ind w:firstLine="640" w:firstLineChars="200"/>
        <w:rPr>
          <w:rFonts w:hint="eastAsia" w:ascii="黑体" w:hAnsi="黑体" w:eastAsia="黑体" w:cs="黑体"/>
          <w:color w:val="auto"/>
          <w:sz w:val="32"/>
          <w:szCs w:val="32"/>
        </w:rPr>
      </w:pPr>
      <w:bookmarkStart w:id="14" w:name="_Toc6572_WPSOffice_Level2"/>
      <w:bookmarkStart w:id="15" w:name="_Toc24474_WPSOffice_Level2"/>
      <w:bookmarkStart w:id="16" w:name="_Toc4833_WPSOffice_Level2"/>
      <w:bookmarkStart w:id="17" w:name="_Toc24059_WPSOffice_Level2"/>
      <w:bookmarkStart w:id="18" w:name="_Toc17796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eastAsia="zh-CN"/>
        </w:rPr>
        <w:t>屯昌县教育研究培训中心</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p>
    <w:p>
      <w:pPr>
        <w:spacing w:line="578" w:lineRule="exact"/>
        <w:ind w:firstLine="640" w:firstLineChars="200"/>
        <w:rPr>
          <w:rFonts w:hint="eastAsia" w:ascii="仿宋_GB2312" w:hAnsi="ˎ̥" w:eastAsia="仿宋_GB2312"/>
          <w:color w:val="auto"/>
          <w:sz w:val="32"/>
          <w:szCs w:val="32"/>
        </w:rPr>
      </w:pPr>
      <w:bookmarkStart w:id="19" w:name="_Toc24421_WPSOffice_Level2"/>
      <w:bookmarkStart w:id="20" w:name="_Toc25738_WPSOffice_Level2"/>
      <w:r>
        <w:rPr>
          <w:rFonts w:hint="eastAsia" w:ascii="方正楷体_GBK" w:hAnsi="方正楷体_GBK" w:eastAsia="方正楷体_GBK" w:cs="方正楷体_GBK"/>
          <w:color w:val="auto"/>
          <w:sz w:val="32"/>
          <w:szCs w:val="32"/>
        </w:rPr>
        <w:t>（一）</w:t>
      </w:r>
      <w:bookmarkEnd w:id="19"/>
      <w:bookmarkEnd w:id="20"/>
      <w:bookmarkStart w:id="21" w:name="_Toc4442_WPSOffice_Level2"/>
      <w:bookmarkStart w:id="22" w:name="_Toc19721_WPSOffice_Level2"/>
      <w:r>
        <w:rPr>
          <w:rFonts w:hint="default" w:ascii="仿宋_GB2312" w:hAnsi="ˎ̥" w:eastAsia="仿宋_GB2312" w:cs="仿宋_GB2312"/>
          <w:color w:val="auto"/>
          <w:kern w:val="0"/>
          <w:sz w:val="32"/>
          <w:szCs w:val="32"/>
        </w:rPr>
        <w:t>屯昌县教育研究培训中心</w:t>
      </w:r>
      <w:bookmarkEnd w:id="21"/>
      <w:bookmarkEnd w:id="22"/>
    </w:p>
    <w:p>
      <w:pPr>
        <w:spacing w:line="578" w:lineRule="exact"/>
        <w:jc w:val="center"/>
        <w:rPr>
          <w:rFonts w:hint="eastAsia" w:ascii="黑体" w:hAnsi="ˎ̥" w:eastAsia="黑体"/>
          <w:color w:val="auto"/>
          <w:sz w:val="32"/>
          <w:szCs w:val="32"/>
        </w:rPr>
      </w:pPr>
      <w:bookmarkStart w:id="23" w:name="_Toc30451_WPSOffice_Level1"/>
      <w:bookmarkStart w:id="24" w:name="_Toc28253_WPSOffice_Level1"/>
      <w:bookmarkStart w:id="25" w:name="_Toc6234_WPSOffice_Level1"/>
      <w:bookmarkStart w:id="26" w:name="_Toc15521_WPSOffice_Level1"/>
      <w:bookmarkStart w:id="27" w:name="_Toc30690_WPSOffice_Level1"/>
      <w:bookmarkStart w:id="28" w:name="_Toc8164_WPSOffice_Level1"/>
      <w:bookmarkStart w:id="29" w:name="_Toc32695_WPSOffice_Level2"/>
      <w:bookmarkStart w:id="30" w:name="_Toc32472_WPSOffice_Level2"/>
      <w:bookmarkStart w:id="31" w:name="_Toc4029_WPSOffice_Level2"/>
      <w:bookmarkStart w:id="32" w:name="_Toc11518_WPSOffice_Level2"/>
      <w:bookmarkStart w:id="33" w:name="_Toc6211_WPSOffice_Level2"/>
      <w:bookmarkStart w:id="34" w:name="_Toc8867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决算公开报表</w:t>
      </w:r>
      <w:bookmarkEnd w:id="23"/>
      <w:bookmarkEnd w:id="24"/>
      <w:bookmarkEnd w:id="25"/>
      <w:bookmarkEnd w:id="26"/>
      <w:bookmarkEnd w:id="27"/>
      <w:bookmarkEnd w:id="28"/>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9"/>
      <w:bookmarkEnd w:id="30"/>
      <w:bookmarkEnd w:id="31"/>
      <w:bookmarkEnd w:id="32"/>
      <w:bookmarkEnd w:id="33"/>
      <w:bookmarkEnd w:id="34"/>
    </w:p>
    <w:p>
      <w:pPr>
        <w:spacing w:line="578" w:lineRule="exact"/>
        <w:ind w:firstLine="645"/>
        <w:rPr>
          <w:rFonts w:hint="eastAsia" w:ascii="黑体" w:hAnsi="黑体" w:eastAsia="黑体" w:cs="黑体"/>
          <w:color w:val="auto"/>
          <w:sz w:val="32"/>
          <w:szCs w:val="32"/>
        </w:rPr>
      </w:pPr>
      <w:bookmarkStart w:id="35" w:name="_Toc25608_WPSOffice_Level2"/>
      <w:bookmarkStart w:id="36" w:name="_Toc23139_WPSOffice_Level2"/>
      <w:bookmarkStart w:id="37" w:name="_Toc28622_WPSOffice_Level2"/>
      <w:bookmarkStart w:id="38" w:name="_Toc14349_WPSOffice_Level2"/>
      <w:bookmarkStart w:id="39" w:name="_Toc26621_WPSOffice_Level2"/>
      <w:bookmarkStart w:id="40" w:name="_Toc30334_WPSOffice_Level2"/>
      <w:r>
        <w:rPr>
          <w:rFonts w:hint="eastAsia" w:ascii="黑体" w:hAnsi="黑体" w:eastAsia="黑体" w:cs="黑体"/>
          <w:color w:val="auto"/>
          <w:sz w:val="32"/>
          <w:szCs w:val="32"/>
        </w:rPr>
        <w:t>二、收入决算公开表</w:t>
      </w:r>
      <w:bookmarkEnd w:id="35"/>
      <w:bookmarkEnd w:id="36"/>
      <w:bookmarkEnd w:id="37"/>
      <w:bookmarkEnd w:id="38"/>
      <w:bookmarkEnd w:id="39"/>
      <w:bookmarkEnd w:id="40"/>
      <w:bookmarkStart w:id="41" w:name="_Toc17858_WPSOffice_Level2"/>
      <w:bookmarkStart w:id="42" w:name="_Toc14658_WPSOffice_Level2"/>
      <w:bookmarkStart w:id="43" w:name="_Toc13854_WPSOffice_Level2"/>
      <w:bookmarkStart w:id="44" w:name="_Toc5489_WPSOffice_Level2"/>
      <w:bookmarkStart w:id="45" w:name="_Toc3262_WPSOffice_Level2"/>
      <w:bookmarkStart w:id="46" w:name="_Toc17626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41"/>
      <w:bookmarkEnd w:id="42"/>
      <w:bookmarkEnd w:id="43"/>
      <w:bookmarkEnd w:id="44"/>
      <w:bookmarkEnd w:id="45"/>
      <w:bookmarkEnd w:id="46"/>
      <w:bookmarkStart w:id="47" w:name="_Toc21415_WPSOffice_Level2"/>
      <w:bookmarkStart w:id="48" w:name="_Toc13701_WPSOffice_Level2"/>
      <w:bookmarkStart w:id="49" w:name="_Toc7988_WPSOffice_Level2"/>
      <w:bookmarkStart w:id="50" w:name="_Toc23493_WPSOffice_Level2"/>
      <w:bookmarkStart w:id="51" w:name="_Toc23591_WPSOffice_Level2"/>
      <w:bookmarkStart w:id="52" w:name="_Toc426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color w:val="auto"/>
          <w:sz w:val="32"/>
          <w:szCs w:val="32"/>
        </w:rPr>
      </w:pPr>
      <w:bookmarkStart w:id="53" w:name="_Toc7879_WPSOffice_Level2"/>
      <w:bookmarkStart w:id="54" w:name="_Toc25166_WPSOffice_Level2"/>
      <w:bookmarkStart w:id="55" w:name="_Toc23829_WPSOffice_Level2"/>
      <w:bookmarkStart w:id="56" w:name="_Toc22783_WPSOffice_Level2"/>
      <w:bookmarkStart w:id="57" w:name="_Toc13516_WPSOffice_Level2"/>
      <w:bookmarkStart w:id="58" w:name="_Toc2158_WPSOffice_Level2"/>
      <w:r>
        <w:rPr>
          <w:rFonts w:hint="eastAsia" w:ascii="黑体" w:hAnsi="黑体" w:eastAsia="黑体" w:cs="黑体"/>
          <w:color w:val="auto"/>
          <w:sz w:val="32"/>
          <w:szCs w:val="32"/>
        </w:rPr>
        <w:t>五、一般公共预算财政拨款收入支出决算</w:t>
      </w:r>
      <w:bookmarkEnd w:id="53"/>
      <w:bookmarkEnd w:id="54"/>
      <w:bookmarkEnd w:id="55"/>
      <w:bookmarkEnd w:id="56"/>
      <w:r>
        <w:rPr>
          <w:rFonts w:hint="eastAsia" w:ascii="黑体" w:hAnsi="黑体" w:eastAsia="黑体" w:cs="黑体"/>
          <w:color w:val="auto"/>
          <w:sz w:val="32"/>
          <w:szCs w:val="32"/>
        </w:rPr>
        <w:t>公开表</w:t>
      </w:r>
      <w:bookmarkEnd w:id="57"/>
      <w:bookmarkEnd w:id="58"/>
      <w:bookmarkStart w:id="59" w:name="_Toc17833_WPSOffice_Level2"/>
      <w:bookmarkStart w:id="60" w:name="_Toc8373_WPSOffice_Level2"/>
      <w:bookmarkStart w:id="61" w:name="_Toc5343_WPSOffice_Level2"/>
      <w:bookmarkStart w:id="62" w:name="_Toc25362_WPSOffice_Level2"/>
      <w:bookmarkStart w:id="63" w:name="_Toc2632_WPSOffice_Level2"/>
      <w:bookmarkStart w:id="64"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5" w:name="_Toc13345_WPSOffice_Level2"/>
      <w:bookmarkStart w:id="66" w:name="_Toc21310_WPSOffice_Level2"/>
      <w:bookmarkStart w:id="67" w:name="_Toc6020_WPSOffice_Level2"/>
      <w:bookmarkStart w:id="68" w:name="_Toc1533_WPSOffice_Level2"/>
      <w:bookmarkStart w:id="69" w:name="_Toc11799_WPSOffice_Level2"/>
      <w:bookmarkStart w:id="70" w:name="_Toc5594_WPSOffice_Level2"/>
      <w:r>
        <w:rPr>
          <w:rFonts w:hint="eastAsia" w:ascii="黑体" w:hAnsi="黑体" w:eastAsia="黑体" w:cs="黑体"/>
          <w:color w:val="auto"/>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71" w:name="_Toc29886_WPSOffice_Level2"/>
      <w:bookmarkStart w:id="72" w:name="_Toc19961_WPSOffice_Level2"/>
      <w:bookmarkStart w:id="73" w:name="_Toc1820_WPSOffice_Level2"/>
      <w:bookmarkStart w:id="74" w:name="_Toc9377_WPSOffice_Level2"/>
      <w:r>
        <w:rPr>
          <w:rFonts w:hint="eastAsia" w:ascii="黑体" w:hAnsi="黑体" w:eastAsia="黑体" w:cs="黑体"/>
          <w:color w:val="auto"/>
          <w:sz w:val="32"/>
          <w:szCs w:val="32"/>
        </w:rPr>
        <w:t>九、财政拨款“三公”经费支出决算</w:t>
      </w:r>
      <w:bookmarkEnd w:id="71"/>
      <w:bookmarkEnd w:id="72"/>
      <w:bookmarkEnd w:id="73"/>
      <w:bookmarkEnd w:id="74"/>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5" w:name="_Toc4402_WPSOffice_Level1"/>
      <w:bookmarkStart w:id="76" w:name="_Toc29683_WPSOffice_Level1"/>
      <w:bookmarkStart w:id="77" w:name="_Toc31264_WPSOffice_Level1"/>
      <w:bookmarkStart w:id="78" w:name="_Toc27590_WPSOffice_Level1"/>
      <w:bookmarkStart w:id="79" w:name="_Toc16686_WPSOffice_Level1"/>
      <w:bookmarkStart w:id="80"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val="en-US" w:eastAsia="zh-CN"/>
        </w:rPr>
        <w:t>单位</w:t>
      </w:r>
      <w:r>
        <w:rPr>
          <w:rFonts w:hint="eastAsia" w:ascii="黑体" w:hAnsi="ˎ̥" w:eastAsia="黑体"/>
          <w:color w:val="auto"/>
          <w:sz w:val="32"/>
          <w:szCs w:val="32"/>
        </w:rPr>
        <w:t>决算情况说明</w:t>
      </w:r>
      <w:bookmarkEnd w:id="75"/>
      <w:bookmarkEnd w:id="76"/>
      <w:bookmarkEnd w:id="77"/>
      <w:bookmarkEnd w:id="78"/>
      <w:bookmarkEnd w:id="79"/>
      <w:bookmarkEnd w:id="80"/>
    </w:p>
    <w:p>
      <w:pPr>
        <w:spacing w:line="578" w:lineRule="exact"/>
        <w:jc w:val="center"/>
        <w:rPr>
          <w:rFonts w:hint="eastAsia" w:ascii="黑体" w:hAnsi="ˎ̥" w:eastAsia="黑体"/>
          <w:color w:val="auto"/>
          <w:sz w:val="32"/>
          <w:szCs w:val="32"/>
        </w:rPr>
      </w:pPr>
    </w:p>
    <w:p>
      <w:pPr>
        <w:spacing w:line="578" w:lineRule="exact"/>
        <w:ind w:firstLine="640" w:firstLineChars="200"/>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729.31</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729.31</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83.75</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10.3</w:t>
      </w:r>
      <w:r>
        <w:rPr>
          <w:rFonts w:hint="eastAsia" w:ascii="仿宋_GB2312" w:hAnsi="ˎ̥" w:eastAsia="仿宋_GB2312"/>
          <w:color w:val="auto"/>
          <w:sz w:val="32"/>
          <w:szCs w:val="32"/>
        </w:rPr>
        <w:t>%。主要原因：一是教育支出</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114.28万元</w:t>
      </w:r>
      <w:r>
        <w:rPr>
          <w:rFonts w:hint="eastAsia" w:ascii="仿宋_GB2312" w:hAnsi="ˎ̥" w:eastAsia="仿宋_GB2312"/>
          <w:color w:val="auto"/>
          <w:sz w:val="32"/>
          <w:szCs w:val="32"/>
        </w:rPr>
        <w:t>；二是社会保障和就业支出</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15.94万元；三是卫生健康支出增加9.82万元；四是住房保障支出4.34万元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3.09</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0.96</w:t>
      </w:r>
      <w:r>
        <w:rPr>
          <w:rFonts w:hint="eastAsia" w:ascii="仿宋_GB2312" w:hAnsi="ˎ̥" w:eastAsia="仿宋_GB2312"/>
          <w:color w:val="auto"/>
          <w:sz w:val="32"/>
          <w:szCs w:val="32"/>
        </w:rPr>
        <w:t>万元，主要原因</w:t>
      </w:r>
      <w:r>
        <w:rPr>
          <w:rFonts w:hint="eastAsia" w:ascii="仿宋_GB2312" w:hAnsi="ˎ̥" w:eastAsia="仿宋_GB2312"/>
          <w:color w:val="auto"/>
          <w:sz w:val="32"/>
          <w:szCs w:val="32"/>
          <w:lang w:eastAsia="zh-CN"/>
        </w:rPr>
        <w:t>是用于支出书报杂志费、办公费、差旅费等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万元，下降%，主要原因是</w:t>
      </w:r>
      <w:r>
        <w:rPr>
          <w:rFonts w:hint="eastAsia" w:ascii="仿宋_GB2312" w:hAnsi="ˎ̥" w:eastAsia="仿宋_GB2312"/>
          <w:color w:val="auto"/>
          <w:sz w:val="32"/>
          <w:szCs w:val="32"/>
          <w:lang w:eastAsia="zh-CN"/>
        </w:rPr>
        <w:t>上年无结余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729.31</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729.31</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705.56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96.74</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23.75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3.26</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84.13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10.38</w:t>
      </w:r>
      <w:r>
        <w:rPr>
          <w:rFonts w:hint="eastAsia" w:ascii="仿宋_GB2312" w:hAnsi="ˎ̥" w:eastAsia="仿宋_GB2312"/>
          <w:color w:val="auto"/>
          <w:sz w:val="32"/>
          <w:szCs w:val="32"/>
        </w:rPr>
        <w:t>%，主要原因一般公共预算财政拨款</w:t>
      </w:r>
      <w:r>
        <w:rPr>
          <w:rFonts w:hint="eastAsia" w:ascii="仿宋_GB2312" w:hAnsi="ˎ̥" w:eastAsia="仿宋_GB2312"/>
          <w:color w:val="auto"/>
          <w:sz w:val="32"/>
          <w:szCs w:val="32"/>
          <w:lang w:eastAsia="zh-CN"/>
        </w:rPr>
        <w:t>收入减少</w:t>
      </w:r>
      <w:r>
        <w:rPr>
          <w:rFonts w:hint="eastAsia" w:ascii="仿宋_GB2312" w:hAnsi="ˎ̥" w:eastAsia="仿宋_GB2312"/>
          <w:color w:val="auto"/>
          <w:sz w:val="32"/>
          <w:szCs w:val="32"/>
          <w:lang w:val="en-US" w:eastAsia="zh-CN"/>
        </w:rPr>
        <w:t>84.13万元</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84.71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10.45</w:t>
      </w:r>
      <w:r>
        <w:rPr>
          <w:rFonts w:hint="eastAsia" w:ascii="仿宋_GB2312" w:hAnsi="ˎ̥" w:eastAsia="仿宋_GB2312"/>
          <w:color w:val="auto"/>
          <w:sz w:val="32"/>
          <w:szCs w:val="32"/>
        </w:rPr>
        <w:t>%，主要原因一是教育支出</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115.24万元</w:t>
      </w:r>
      <w:r>
        <w:rPr>
          <w:rFonts w:hint="eastAsia" w:ascii="仿宋_GB2312" w:hAnsi="ˎ̥" w:eastAsia="仿宋_GB2312"/>
          <w:color w:val="auto"/>
          <w:sz w:val="32"/>
          <w:szCs w:val="32"/>
        </w:rPr>
        <w:t>；二是社会保障和就业支出</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15.97万元；三是住房保障支出增加4.34万元；四是卫生健康支出支出增加9.82万元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上年度无结转结余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1" w:name="_Toc13694_WPSOffice_Level2"/>
      <w:bookmarkStart w:id="82" w:name="_Toc9989_WPSOffice_Level2"/>
      <w:bookmarkStart w:id="83" w:name="_Toc17398_WPSOffice_Level2"/>
      <w:bookmarkStart w:id="84" w:name="_Toc21737_WPSOffice_Level2"/>
      <w:bookmarkStart w:id="85" w:name="_Toc19665_WPSOffice_Level2"/>
      <w:bookmarkStart w:id="86" w:name="_Toc23005_WPSOffice_Level2"/>
      <w:r>
        <w:rPr>
          <w:rFonts w:hint="eastAsia" w:ascii="楷体" w:hAnsi="楷体" w:eastAsia="楷体" w:cs="楷体"/>
          <w:color w:val="auto"/>
          <w:sz w:val="32"/>
          <w:szCs w:val="32"/>
        </w:rPr>
        <w:t>（一）一般公共预算财政拨款支出决算总体情况</w:t>
      </w:r>
      <w:bookmarkEnd w:id="81"/>
      <w:bookmarkEnd w:id="82"/>
      <w:bookmarkEnd w:id="83"/>
      <w:bookmarkEnd w:id="84"/>
      <w:bookmarkEnd w:id="85"/>
      <w:bookmarkEnd w:id="86"/>
    </w:p>
    <w:p>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99.58</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84.71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10.45</w:t>
      </w:r>
      <w:r>
        <w:rPr>
          <w:rFonts w:hint="eastAsia" w:ascii="仿宋_GB2312" w:hAnsi="ˎ̥" w:eastAsia="仿宋_GB2312"/>
          <w:color w:val="auto"/>
          <w:sz w:val="32"/>
          <w:szCs w:val="32"/>
        </w:rPr>
        <w:t>%，主要原因是</w:t>
      </w:r>
      <w:bookmarkStart w:id="87" w:name="_Toc27767_WPSOffice_Level2"/>
      <w:bookmarkStart w:id="88" w:name="_Toc19535_WPSOffice_Level2"/>
      <w:bookmarkStart w:id="89" w:name="_Toc23864_WPSOffice_Level2"/>
      <w:bookmarkStart w:id="90" w:name="_Toc19075_WPSOffice_Level2"/>
      <w:bookmarkStart w:id="91" w:name="_Toc18793_WPSOffice_Level2"/>
      <w:bookmarkStart w:id="92" w:name="_Toc2711_WPSOffice_Level2"/>
      <w:r>
        <w:rPr>
          <w:rFonts w:hint="eastAsia" w:ascii="仿宋_GB2312" w:hAnsi="ˎ̥" w:eastAsia="仿宋_GB2312"/>
          <w:color w:val="auto"/>
          <w:sz w:val="32"/>
          <w:szCs w:val="32"/>
          <w:lang w:eastAsia="zh-CN"/>
        </w:rPr>
        <w:t>基本支出增加</w:t>
      </w:r>
      <w:r>
        <w:rPr>
          <w:rFonts w:hint="eastAsia" w:ascii="仿宋_GB2312" w:hAnsi="ˎ̥" w:eastAsia="仿宋_GB2312"/>
          <w:color w:val="auto"/>
          <w:sz w:val="32"/>
          <w:szCs w:val="32"/>
          <w:lang w:val="en-US" w:eastAsia="zh-CN"/>
        </w:rPr>
        <w:t>61.25万元；项目支出减少145.97万元</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0.50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0.07</w:t>
      </w:r>
      <w:r>
        <w:rPr>
          <w:rFonts w:hint="eastAsia" w:ascii="仿宋_GB2312" w:hAnsi="ˎ̥" w:eastAsia="仿宋_GB2312"/>
          <w:color w:val="auto"/>
          <w:sz w:val="32"/>
          <w:szCs w:val="32"/>
        </w:rPr>
        <w:t>%；</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494.51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68.09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105.11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14.47</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78.98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10.88</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47.11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6.49</w:t>
      </w:r>
      <w:r>
        <w:rPr>
          <w:rFonts w:hint="eastAsia" w:ascii="仿宋_GB2312" w:hAnsi="ˎ̥" w:eastAsia="仿宋_GB2312"/>
          <w:color w:val="auto"/>
          <w:sz w:val="32"/>
          <w:szCs w:val="32"/>
        </w:rPr>
        <w:t>%。</w:t>
      </w:r>
      <w:bookmarkStart w:id="93" w:name="_Toc15415_WPSOffice_Level2"/>
      <w:bookmarkStart w:id="94" w:name="_Toc25136_WPSOffice_Level2"/>
      <w:bookmarkStart w:id="95" w:name="_Toc29364_WPSOffice_Level2"/>
      <w:bookmarkStart w:id="96" w:name="_Toc21701_WPSOffice_Level2"/>
      <w:bookmarkStart w:id="97" w:name="_Toc9502_WPSOffice_Level2"/>
      <w:bookmarkStart w:id="98" w:name="_Toc22318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default" w:ascii="仿宋_GB2312" w:hAnsi="ˎ̥" w:eastAsia="仿宋_GB2312"/>
          <w:color w:val="auto"/>
          <w:sz w:val="32"/>
          <w:szCs w:val="32"/>
          <w:lang w:val="en-US"/>
        </w:rPr>
        <w:t>735.50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726.22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98.74</w:t>
      </w:r>
      <w:r>
        <w:rPr>
          <w:rFonts w:hint="eastAsia" w:ascii="仿宋_GB2312" w:hAnsi="ˎ̥" w:eastAsia="仿宋_GB2312"/>
          <w:color w:val="auto"/>
          <w:sz w:val="32"/>
          <w:szCs w:val="32"/>
        </w:rPr>
        <w:t>%。其中：</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一般公共服务（类）其他共产党事务支出（款）其他共产党事务支出（项）。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0.50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0.50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rPr>
        <w:t>2.</w:t>
      </w:r>
      <w:r>
        <w:rPr>
          <w:rFonts w:hint="default" w:ascii="仿宋_GB2312" w:hAnsi="ˎ̥" w:eastAsia="仿宋_GB2312"/>
          <w:b/>
          <w:bCs/>
          <w:color w:val="auto"/>
          <w:sz w:val="32"/>
          <w:szCs w:val="32"/>
        </w:rPr>
        <w:t>教育支出（类）教育管理事务（款）其他教育管理事务支出（项）</w:t>
      </w:r>
    </w:p>
    <w:p>
      <w:pPr>
        <w:spacing w:line="578" w:lineRule="exact"/>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4.95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大</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增加搬离和拆除教育局办公楼费用。</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3</w:t>
      </w:r>
      <w:r>
        <w:rPr>
          <w:rFonts w:hint="eastAsia" w:ascii="仿宋_GB2312" w:hAnsi="ˎ̥" w:eastAsia="仿宋_GB2312"/>
          <w:b/>
          <w:bCs/>
          <w:color w:val="auto"/>
          <w:sz w:val="32"/>
          <w:szCs w:val="32"/>
        </w:rPr>
        <w:t>.</w:t>
      </w:r>
      <w:r>
        <w:rPr>
          <w:rFonts w:hint="default" w:ascii="仿宋_GB2312" w:hAnsi="ˎ̥" w:eastAsia="仿宋_GB2312"/>
          <w:b/>
          <w:bCs/>
          <w:color w:val="auto"/>
          <w:sz w:val="32"/>
          <w:szCs w:val="32"/>
        </w:rPr>
        <w:t>教育支出（类）普通教育（款）小学教育（项）</w:t>
      </w:r>
    </w:p>
    <w:p>
      <w:pPr>
        <w:spacing w:line="578" w:lineRule="exact"/>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16.25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198.11</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大</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是追加2024年教育发展专项资金（第二批）（英语教育教学实验项目）</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4</w:t>
      </w:r>
      <w:r>
        <w:rPr>
          <w:rFonts w:hint="eastAsia" w:ascii="仿宋_GB2312" w:hAnsi="ˎ̥" w:eastAsia="仿宋_GB2312"/>
          <w:b/>
          <w:bCs/>
          <w:color w:val="auto"/>
          <w:sz w:val="32"/>
          <w:szCs w:val="32"/>
        </w:rPr>
        <w:t>.</w:t>
      </w:r>
      <w:r>
        <w:rPr>
          <w:rFonts w:hint="default" w:ascii="仿宋_GB2312" w:hAnsi="ˎ̥" w:eastAsia="仿宋_GB2312"/>
          <w:b/>
          <w:bCs/>
          <w:color w:val="auto"/>
          <w:sz w:val="32"/>
          <w:szCs w:val="32"/>
        </w:rPr>
        <w:t>教育支出（类）进修及培训（款）其他进修及培训（项）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494.65</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473.31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95.69</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是工资奖金津补贴支出减少</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5</w:t>
      </w:r>
      <w:r>
        <w:rPr>
          <w:rFonts w:hint="eastAsia" w:ascii="仿宋_GB2312" w:hAnsi="ˎ̥" w:eastAsia="仿宋_GB2312"/>
          <w:b/>
          <w:bCs/>
          <w:color w:val="auto"/>
          <w:sz w:val="32"/>
          <w:szCs w:val="32"/>
        </w:rPr>
        <w:t>.</w:t>
      </w:r>
      <w:r>
        <w:rPr>
          <w:rFonts w:hint="default" w:ascii="仿宋_GB2312" w:hAnsi="ˎ̥" w:eastAsia="仿宋_GB2312" w:cs="仿宋_GB2312"/>
          <w:b/>
          <w:color w:val="auto"/>
          <w:kern w:val="0"/>
          <w:sz w:val="32"/>
          <w:szCs w:val="32"/>
        </w:rPr>
        <w:t>社会保障和就业支出（类）行政事业单位养老支出（款）机关事业单位基本养老保险缴费支出（项）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64.92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58.95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90.8</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人员减少，退休</w:t>
      </w:r>
      <w:r>
        <w:rPr>
          <w:rFonts w:hint="eastAsia" w:ascii="仿宋_GB2312" w:hAnsi="ˎ̥" w:eastAsia="仿宋_GB2312"/>
          <w:color w:val="auto"/>
          <w:sz w:val="32"/>
          <w:szCs w:val="32"/>
          <w:lang w:val="en-US" w:eastAsia="zh-CN"/>
        </w:rPr>
        <w:t>1人</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6</w:t>
      </w:r>
      <w:r>
        <w:rPr>
          <w:rFonts w:hint="eastAsia" w:ascii="仿宋_GB2312" w:hAnsi="ˎ̥" w:eastAsia="仿宋_GB2312"/>
          <w:b/>
          <w:bCs/>
          <w:color w:val="auto"/>
          <w:sz w:val="32"/>
          <w:szCs w:val="32"/>
        </w:rPr>
        <w:t>.</w:t>
      </w:r>
      <w:r>
        <w:rPr>
          <w:rFonts w:hint="default" w:ascii="仿宋_GB2312" w:hAnsi="ˎ̥" w:eastAsia="仿宋_GB2312" w:cs="仿宋_GB2312"/>
          <w:b/>
          <w:color w:val="auto"/>
          <w:kern w:val="0"/>
          <w:sz w:val="32"/>
          <w:szCs w:val="32"/>
        </w:rPr>
        <w:t>社会保障和就业支出（类）行政事业单位养老支出（款）机关事业单位职业年金缴费支出（项）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32.46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46.04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141.84</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大</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是追加拨付王雪霜、许生松同志职业年金虚账记实所需资金</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7</w:t>
      </w:r>
      <w:r>
        <w:rPr>
          <w:rFonts w:hint="eastAsia" w:ascii="仿宋_GB2312" w:hAnsi="ˎ̥" w:eastAsia="仿宋_GB2312"/>
          <w:b/>
          <w:bCs/>
          <w:color w:val="auto"/>
          <w:sz w:val="32"/>
          <w:szCs w:val="32"/>
        </w:rPr>
        <w:t>.</w:t>
      </w:r>
      <w:r>
        <w:rPr>
          <w:rFonts w:hint="default" w:ascii="仿宋_GB2312" w:hAnsi="ˎ̥" w:eastAsia="仿宋_GB2312" w:cs="仿宋_GB2312"/>
          <w:b/>
          <w:color w:val="auto"/>
          <w:kern w:val="0"/>
          <w:sz w:val="32"/>
          <w:szCs w:val="32"/>
        </w:rPr>
        <w:t>社会保障和就业支出（类）抚恤（款）其他优抚支出（项）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0.26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0.12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46.15</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是现有遗属抚养人员补贴支出减少</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8</w:t>
      </w:r>
      <w:r>
        <w:rPr>
          <w:rFonts w:hint="eastAsia" w:ascii="仿宋_GB2312" w:hAnsi="ˎ̥" w:eastAsia="仿宋_GB2312"/>
          <w:b/>
          <w:bCs/>
          <w:color w:val="auto"/>
          <w:sz w:val="32"/>
          <w:szCs w:val="32"/>
        </w:rPr>
        <w:t>.</w:t>
      </w:r>
      <w:r>
        <w:rPr>
          <w:rFonts w:hint="default" w:ascii="仿宋_GB2312" w:hAnsi="ˎ̥" w:eastAsia="仿宋_GB2312" w:cs="仿宋_GB2312"/>
          <w:b/>
          <w:color w:val="auto"/>
          <w:kern w:val="0"/>
          <w:sz w:val="32"/>
          <w:szCs w:val="32"/>
        </w:rPr>
        <w:t>卫生健康支出（类）行政事业单位医疗（款）事业单位医疗（项）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30.97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24.99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80.69</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是人员减少，退休</w:t>
      </w:r>
      <w:r>
        <w:rPr>
          <w:rFonts w:hint="eastAsia" w:ascii="仿宋_GB2312" w:hAnsi="ˎ̥" w:eastAsia="仿宋_GB2312"/>
          <w:color w:val="auto"/>
          <w:sz w:val="32"/>
          <w:szCs w:val="32"/>
          <w:lang w:val="en-US" w:eastAsia="zh-CN"/>
        </w:rPr>
        <w:t>1人</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9</w:t>
      </w:r>
      <w:r>
        <w:rPr>
          <w:rFonts w:hint="eastAsia" w:ascii="仿宋_GB2312" w:hAnsi="ˎ̥" w:eastAsia="仿宋_GB2312"/>
          <w:b/>
          <w:bCs/>
          <w:color w:val="auto"/>
          <w:sz w:val="32"/>
          <w:szCs w:val="32"/>
        </w:rPr>
        <w:t>.</w:t>
      </w:r>
      <w:r>
        <w:rPr>
          <w:rFonts w:hint="default" w:ascii="仿宋_GB2312" w:hAnsi="ˎ̥" w:eastAsia="仿宋_GB2312" w:cs="仿宋_GB2312"/>
          <w:b/>
          <w:color w:val="auto"/>
          <w:kern w:val="0"/>
          <w:sz w:val="32"/>
          <w:szCs w:val="32"/>
        </w:rPr>
        <w:t>卫生健康支出（类）行政事业单位医疗（款）公务员医疗补助（项）</w:t>
      </w:r>
    </w:p>
    <w:p>
      <w:pPr>
        <w:spacing w:line="578" w:lineRule="exact"/>
        <w:rPr>
          <w:rFonts w:hint="default" w:ascii="仿宋_GB2312" w:hAnsi="ˎ̥" w:eastAsia="仿宋_GB2312"/>
          <w:color w:val="auto"/>
          <w:sz w:val="32"/>
          <w:szCs w:val="32"/>
          <w:lang w:val="en-US"/>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56.82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52.30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91.57</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是人员减少，</w:t>
      </w:r>
      <w:r>
        <w:rPr>
          <w:rFonts w:hint="eastAsia" w:ascii="仿宋_GB2312" w:hAnsi="ˎ̥" w:eastAsia="仿宋_GB2312"/>
          <w:color w:val="auto"/>
          <w:sz w:val="32"/>
          <w:szCs w:val="32"/>
          <w:lang w:val="en-US" w:eastAsia="zh-CN"/>
        </w:rPr>
        <w:t>1人退休。</w:t>
      </w:r>
    </w:p>
    <w:p>
      <w:pPr>
        <w:spacing w:line="578" w:lineRule="exact"/>
        <w:ind w:firstLine="643" w:firstLineChars="200"/>
        <w:rPr>
          <w:rFonts w:hint="eastAsia" w:ascii="仿宋_GB2312" w:hAnsi="ˎ̥" w:eastAsia="仿宋_GB2312"/>
          <w:b/>
          <w:bCs/>
          <w:color w:val="auto"/>
          <w:sz w:val="32"/>
          <w:szCs w:val="32"/>
        </w:rPr>
      </w:pPr>
      <w:r>
        <w:rPr>
          <w:rFonts w:hint="eastAsia" w:ascii="仿宋_GB2312" w:hAnsi="ˎ̥" w:eastAsia="仿宋_GB2312"/>
          <w:b/>
          <w:bCs/>
          <w:color w:val="auto"/>
          <w:sz w:val="32"/>
          <w:szCs w:val="32"/>
          <w:lang w:val="en-US" w:eastAsia="zh-CN"/>
        </w:rPr>
        <w:t>10</w:t>
      </w:r>
      <w:r>
        <w:rPr>
          <w:rFonts w:hint="eastAsia" w:ascii="仿宋_GB2312" w:hAnsi="ˎ̥" w:eastAsia="仿宋_GB2312"/>
          <w:b/>
          <w:bCs/>
          <w:color w:val="auto"/>
          <w:sz w:val="32"/>
          <w:szCs w:val="32"/>
        </w:rPr>
        <w:t>.</w:t>
      </w:r>
      <w:r>
        <w:rPr>
          <w:rFonts w:hint="default" w:ascii="仿宋_GB2312" w:hAnsi="ˎ̥" w:eastAsia="仿宋_GB2312" w:cs="仿宋_GB2312"/>
          <w:b/>
          <w:color w:val="auto"/>
          <w:kern w:val="0"/>
          <w:sz w:val="32"/>
          <w:szCs w:val="32"/>
        </w:rPr>
        <w:t>卫生健康支出（类）行政事业单位医疗（款）其他行政事业单位医疗支出（项）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default" w:ascii="仿宋_GB2312" w:hAnsi="ˎ̥" w:eastAsia="仿宋_GB2312"/>
          <w:color w:val="auto"/>
          <w:sz w:val="32"/>
          <w:szCs w:val="32"/>
          <w:lang w:val="en-US"/>
        </w:rPr>
        <w:t>1.85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1.69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91.35</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是体检人员医疗费支出减少</w:t>
      </w:r>
      <w:r>
        <w:rPr>
          <w:rFonts w:hint="eastAsia" w:ascii="仿宋_GB2312" w:hAnsi="ˎ̥" w:eastAsia="仿宋_GB2312"/>
          <w:color w:val="auto"/>
          <w:sz w:val="32"/>
          <w:szCs w:val="32"/>
        </w:rPr>
        <w:t>。</w:t>
      </w:r>
    </w:p>
    <w:p>
      <w:pPr>
        <w:spacing w:line="578" w:lineRule="exact"/>
        <w:ind w:firstLine="643" w:firstLineChars="200"/>
        <w:rPr>
          <w:rFonts w:hint="eastAsia" w:ascii="仿宋_GB2312" w:hAnsi="ˎ̥" w:eastAsia="仿宋_GB2312"/>
          <w:b/>
          <w:bCs/>
          <w:color w:val="auto"/>
          <w:sz w:val="32"/>
          <w:szCs w:val="32"/>
          <w:lang w:val="en-US" w:eastAsia="zh-CN"/>
        </w:rPr>
      </w:pPr>
      <w:r>
        <w:rPr>
          <w:rFonts w:hint="eastAsia" w:ascii="仿宋_GB2312" w:hAnsi="ˎ̥" w:eastAsia="仿宋_GB2312"/>
          <w:b/>
          <w:bCs/>
          <w:color w:val="auto"/>
          <w:sz w:val="32"/>
          <w:szCs w:val="32"/>
          <w:lang w:val="en-US" w:eastAsia="zh-CN"/>
        </w:rPr>
        <w:t>11.</w:t>
      </w:r>
      <w:r>
        <w:rPr>
          <w:rFonts w:hint="default" w:ascii="仿宋_GB2312" w:hAnsi="ˎ̥" w:eastAsia="仿宋_GB2312"/>
          <w:b/>
          <w:bCs/>
          <w:color w:val="auto"/>
          <w:sz w:val="32"/>
          <w:szCs w:val="32"/>
          <w:lang w:val="en-US" w:eastAsia="zh-CN"/>
        </w:rPr>
        <w:t>住房保障支出（类）住房改革支出（款）住房公积金（项）</w:t>
      </w:r>
    </w:p>
    <w:p>
      <w:pPr>
        <w:spacing w:line="578" w:lineRule="exact"/>
        <w:ind w:firstLine="640" w:firstLineChars="200"/>
        <w:rPr>
          <w:rFonts w:hint="default" w:ascii="仿宋_GB2312" w:hAnsi="ˎ̥" w:eastAsia="仿宋_GB2312"/>
          <w:b w:val="0"/>
          <w:bCs w:val="0"/>
          <w:color w:val="auto"/>
          <w:sz w:val="32"/>
          <w:szCs w:val="32"/>
          <w:lang w:val="en-US"/>
        </w:rPr>
      </w:pPr>
      <w:r>
        <w:rPr>
          <w:rFonts w:hint="eastAsia" w:ascii="仿宋_GB2312" w:hAnsi="ˎ̥" w:eastAsia="仿宋_GB2312"/>
          <w:b w:val="0"/>
          <w:bCs w:val="0"/>
          <w:color w:val="auto"/>
          <w:sz w:val="32"/>
          <w:szCs w:val="32"/>
          <w:lang w:val="en-US" w:eastAsia="zh-CN"/>
        </w:rPr>
        <w:t>年初预算为</w:t>
      </w:r>
      <w:r>
        <w:rPr>
          <w:rFonts w:hint="default" w:ascii="仿宋_GB2312" w:hAnsi="ˎ̥" w:eastAsia="仿宋_GB2312"/>
          <w:b w:val="0"/>
          <w:bCs w:val="0"/>
          <w:color w:val="auto"/>
          <w:sz w:val="32"/>
          <w:szCs w:val="32"/>
          <w:lang w:val="en-US" w:eastAsia="zh-CN"/>
        </w:rPr>
        <w:t>53.07</w:t>
      </w:r>
      <w:r>
        <w:rPr>
          <w:rFonts w:hint="eastAsia" w:ascii="仿宋_GB2312" w:hAnsi="ˎ̥" w:eastAsia="仿宋_GB2312"/>
          <w:b w:val="0"/>
          <w:bCs w:val="0"/>
          <w:color w:val="auto"/>
          <w:sz w:val="32"/>
          <w:szCs w:val="32"/>
          <w:lang w:val="en-US" w:eastAsia="zh-CN"/>
        </w:rPr>
        <w:t>万元，支出决算为47.11万元，完成年初预算的88.77%。决算数小于预算数的主要原因是人员减少，退休1人。</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702.47</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661.90</w:t>
      </w:r>
      <w:r>
        <w:rPr>
          <w:rFonts w:hint="eastAsia" w:ascii="仿宋_GB2312" w:hAnsi="ˎ̥" w:eastAsia="仿宋_GB2312"/>
          <w:color w:val="auto"/>
          <w:sz w:val="32"/>
          <w:szCs w:val="32"/>
        </w:rPr>
        <w:t>万元，主要包括：工资福利支出中的基本工资、津贴补贴、绩效工资、机关事业单位基本养老保险缴费、职业年金缴费、职工基本医疗保险缴费、公务员医疗补助缴费、其他社会保障缴费、住房公积金、医疗费、其他工资福利支出。公用经费</w:t>
      </w:r>
      <w:r>
        <w:rPr>
          <w:rFonts w:ascii="仿宋_GB2312" w:hAnsi="ˎ̥" w:eastAsia="仿宋_GB2312"/>
          <w:color w:val="auto"/>
          <w:sz w:val="32"/>
          <w:szCs w:val="32"/>
          <w:lang w:val="en-US"/>
        </w:rPr>
        <w:t>40.57</w:t>
      </w:r>
      <w:r>
        <w:rPr>
          <w:rFonts w:hint="eastAsia" w:ascii="仿宋_GB2312" w:hAnsi="ˎ̥" w:eastAsia="仿宋_GB2312"/>
          <w:color w:val="auto"/>
          <w:sz w:val="32"/>
          <w:szCs w:val="32"/>
        </w:rPr>
        <w:t>万元，主要包括：商品和服务支出中的办公费、印刷费、手续费、水费、电费、邮电费、物业管理费、差旅费、维修（护）费、租赁费、会议费、培训费、专用材料费、工会经费、公务用车运行维护费、其他交通费用、其他商品和服务支出；资本性支出中的专用设备购置。</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1.72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1.64</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95.35</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0.05</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3.14</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1.64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1.64</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1.64</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eastAsia="zh-CN"/>
        </w:rPr>
        <w:t>年审费、保险费、维修保养费、燃油费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比预算数减少</w:t>
      </w:r>
      <w:r>
        <w:rPr>
          <w:rFonts w:hint="eastAsia" w:ascii="仿宋_GB2312" w:hAnsi="ˎ̥" w:eastAsia="仿宋_GB2312"/>
          <w:color w:val="auto"/>
          <w:sz w:val="32"/>
          <w:szCs w:val="32"/>
          <w:lang w:val="en-US" w:eastAsia="zh-CN"/>
        </w:rPr>
        <w:t>0.36</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完成预算的82</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0.05</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3.14</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维修保养费增加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共涉及资金735.5万元，占一般公共预算项目支出总额的100%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个国有资本经营预算项目开展绩效自评，共涉及资金</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0.00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无</w:t>
      </w:r>
      <w:r>
        <w:rPr>
          <w:rFonts w:hint="eastAsia" w:ascii="楷体" w:hAnsi="楷体" w:eastAsia="楷体" w:cs="楷体"/>
          <w:bCs/>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9" w:name="_Toc23598_WPSOffice_Level2"/>
      <w:bookmarkStart w:id="100" w:name="_Toc32639_WPSOffice_Level2"/>
      <w:bookmarkStart w:id="101" w:name="_Toc18325_WPSOffice_Level2"/>
      <w:bookmarkStart w:id="102" w:name="_Toc5978_WPSOffice_Level2"/>
      <w:bookmarkStart w:id="103" w:name="_Toc15262_WPSOffice_Level2"/>
      <w:bookmarkStart w:id="104" w:name="_Toc15565_WPSOffice_Level2"/>
      <w:r>
        <w:rPr>
          <w:rFonts w:hint="eastAsia" w:ascii="楷体" w:hAnsi="楷体" w:eastAsia="楷体" w:cs="楷体"/>
          <w:bCs/>
          <w:color w:val="auto"/>
          <w:sz w:val="32"/>
          <w:szCs w:val="32"/>
        </w:rPr>
        <w:t>（一）机关运行经费支出情况</w:t>
      </w:r>
      <w:bookmarkEnd w:id="99"/>
      <w:bookmarkEnd w:id="100"/>
      <w:bookmarkEnd w:id="101"/>
      <w:bookmarkEnd w:id="102"/>
      <w:bookmarkEnd w:id="103"/>
      <w:bookmarkEnd w:id="104"/>
    </w:p>
    <w:p>
      <w:pPr>
        <w:spacing w:line="578" w:lineRule="exact"/>
        <w:ind w:firstLine="640" w:firstLineChars="200"/>
        <w:rPr>
          <w:rFonts w:hint="eastAsia" w:ascii="仿宋_GB2312" w:hAnsi="ˎ̥" w:eastAsia="仿宋_GB2312"/>
          <w:color w:val="auto"/>
          <w:sz w:val="32"/>
          <w:szCs w:val="32"/>
        </w:rPr>
      </w:pPr>
      <w:bookmarkStart w:id="105" w:name="_Toc32689_WPSOffice_Level2"/>
      <w:bookmarkStart w:id="106" w:name="_Toc30383_WPSOffice_Level2"/>
      <w:bookmarkStart w:id="107" w:name="_Toc3131_WPSOffice_Level2"/>
      <w:bookmarkStart w:id="108" w:name="_Toc23966_WPSOffice_Level2"/>
      <w:bookmarkStart w:id="109" w:name="_Toc13084_WPSOffice_Level2"/>
      <w:bookmarkStart w:id="110" w:name="_Toc25333_WPSOffice_Level2"/>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屯昌县教育研究培训中心</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事业单位</w:t>
      </w:r>
      <w:r>
        <w:rPr>
          <w:rFonts w:hint="eastAsia" w:ascii="仿宋_GB2312" w:hAnsi="ˎ̥" w:eastAsia="仿宋_GB2312"/>
          <w:color w:val="auto"/>
          <w:sz w:val="32"/>
          <w:szCs w:val="32"/>
          <w:lang w:eastAsia="zh-CN"/>
        </w:rPr>
        <w:t>无</w:t>
      </w:r>
      <w:r>
        <w:rPr>
          <w:rFonts w:hint="eastAsia" w:ascii="仿宋_GB2312" w:hAnsi="ˎ̥" w:eastAsia="仿宋_GB2312"/>
          <w:color w:val="auto"/>
          <w:sz w:val="32"/>
          <w:szCs w:val="32"/>
        </w:rPr>
        <w:t>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（二）政府采购支出情况</w:t>
      </w:r>
      <w:bookmarkEnd w:id="105"/>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屯昌县教育研究培训中心</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11" w:name="_Toc6016_WPSOffice_Level2"/>
      <w:bookmarkStart w:id="112" w:name="_Toc527_WPSOffice_Level2"/>
      <w:bookmarkStart w:id="113" w:name="_Toc15129_WPSOffice_Level2"/>
      <w:bookmarkStart w:id="114" w:name="_Toc10902_WPSOffice_Level2"/>
      <w:bookmarkStart w:id="115" w:name="_Toc19989_WPSOffice_Level2"/>
      <w:bookmarkStart w:id="116" w:name="_Toc29584_WPSOffice_Level2"/>
      <w:r>
        <w:rPr>
          <w:rFonts w:hint="eastAsia" w:ascii="楷体" w:hAnsi="楷体" w:eastAsia="楷体" w:cs="楷体"/>
          <w:bCs/>
          <w:color w:val="auto"/>
          <w:sz w:val="32"/>
          <w:szCs w:val="32"/>
        </w:rPr>
        <w:t>（三）国有资产占用情况</w:t>
      </w:r>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eastAsia="zh-CN"/>
        </w:rPr>
        <w:t>机动家用车</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7" w:name="_Toc4398_WPSOffice_Level1"/>
      <w:bookmarkStart w:id="118" w:name="_Toc15425_WPSOffice_Level1"/>
      <w:bookmarkStart w:id="119" w:name="_Toc17580_WPSOffice_Level1"/>
      <w:bookmarkStart w:id="120" w:name="_Toc8808_WPSOffice_Level1"/>
      <w:bookmarkStart w:id="121" w:name="_Toc8874_WPSOffice_Level1"/>
      <w:bookmarkStart w:id="122" w:name="_Toc11039_WPSOffice_Level1"/>
      <w:r>
        <w:rPr>
          <w:rFonts w:hint="eastAsia" w:ascii="黑体" w:hAnsi="ˎ̥" w:eastAsia="黑体"/>
          <w:color w:val="auto"/>
          <w:sz w:val="32"/>
          <w:szCs w:val="32"/>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368E772"/>
    <w:multiLevelType w:val="singleLevel"/>
    <w:tmpl w:val="B368E772"/>
    <w:lvl w:ilvl="0" w:tentative="0">
      <w:start w:val="1"/>
      <w:numFmt w:val="decimal"/>
      <w:lvlText w:val="%1."/>
      <w:lvlJc w:val="left"/>
      <w:pPr>
        <w:tabs>
          <w:tab w:val="left" w:pos="312"/>
        </w:tabs>
      </w:pPr>
    </w:lvl>
  </w:abstractNum>
  <w:abstractNum w:abstractNumId="2">
    <w:nsid w:val="4BA165F5"/>
    <w:multiLevelType w:val="singleLevel"/>
    <w:tmpl w:val="4BA165F5"/>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D9A3E96"/>
    <w:rsid w:val="0FC80124"/>
    <w:rsid w:val="136F98C7"/>
    <w:rsid w:val="13CA4C6E"/>
    <w:rsid w:val="17427E68"/>
    <w:rsid w:val="1755065F"/>
    <w:rsid w:val="1AFC29C9"/>
    <w:rsid w:val="1CA52F2E"/>
    <w:rsid w:val="1E3630B9"/>
    <w:rsid w:val="26EEC2B5"/>
    <w:rsid w:val="29472309"/>
    <w:rsid w:val="2B406E77"/>
    <w:rsid w:val="2C2A0C43"/>
    <w:rsid w:val="2C994035"/>
    <w:rsid w:val="2D1E73A5"/>
    <w:rsid w:val="32717154"/>
    <w:rsid w:val="34B63260"/>
    <w:rsid w:val="35F1361A"/>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AFC39F7"/>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4</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2025-10-27T09:42:39Z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