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_GBK" w:hAnsi="方正小标宋_GBK" w:eastAsia="方正小标宋_GBK" w:cs="方正小标宋_GBK"/>
          <w:b w:val="0"/>
          <w:bCs w:val="0"/>
          <w:sz w:val="44"/>
          <w:szCs w:val="44"/>
        </w:rPr>
      </w:pPr>
      <w:r>
        <w:rPr>
          <w:rFonts w:hint="eastAsia" w:ascii="方正小标宋_GBK" w:hAnsi="方正小标宋_GBK" w:eastAsia="方正小标宋_GBK" w:cs="方正小标宋_GBK"/>
          <w:b w:val="0"/>
          <w:bCs w:val="0"/>
          <w:sz w:val="44"/>
          <w:szCs w:val="44"/>
        </w:rPr>
        <w:t>屯昌县幼儿园2024年度</w:t>
      </w:r>
      <w:r>
        <w:rPr>
          <w:rFonts w:hint="eastAsia" w:ascii="方正小标宋_GBK" w:hAnsi="方正小标宋_GBK" w:eastAsia="方正小标宋_GBK" w:cs="方正小标宋_GBK"/>
          <w:b w:val="0"/>
          <w:bCs w:val="0"/>
          <w:sz w:val="44"/>
          <w:szCs w:val="44"/>
          <w:lang w:eastAsia="zh-CN"/>
        </w:rPr>
        <w:t>单位</w:t>
      </w:r>
      <w:r>
        <w:rPr>
          <w:rFonts w:hint="eastAsia" w:ascii="方正小标宋_GBK" w:hAnsi="方正小标宋_GBK" w:eastAsia="方正小标宋_GBK" w:cs="方正小标宋_GBK"/>
          <w:b w:val="0"/>
          <w:bCs w:val="0"/>
          <w:sz w:val="44"/>
          <w:szCs w:val="44"/>
        </w:rPr>
        <w:t>决算公开报告</w:t>
      </w:r>
    </w:p>
    <w:p>
      <w:pPr>
        <w:spacing w:line="578" w:lineRule="exact"/>
        <w:jc w:val="center"/>
        <w:rPr>
          <w:rFonts w:hint="eastAsia" w:ascii="黑体" w:hAnsi="ˎ̥" w:eastAsia="黑体"/>
          <w:b/>
          <w:sz w:val="32"/>
          <w:szCs w:val="32"/>
        </w:rPr>
      </w:pPr>
    </w:p>
    <w:p>
      <w:pPr>
        <w:spacing w:line="578" w:lineRule="exact"/>
        <w:jc w:val="center"/>
        <w:rPr>
          <w:rFonts w:hint="eastAsia" w:ascii="黑体" w:hAnsi="黑体" w:eastAsia="黑体" w:cs="黑体"/>
          <w:sz w:val="44"/>
          <w:szCs w:val="44"/>
        </w:rPr>
      </w:pPr>
      <w:bookmarkStart w:id="0" w:name="_Toc11440_WPSOffice_Type2"/>
      <w:r>
        <w:rPr>
          <w:rFonts w:hint="eastAsia" w:ascii="黑体" w:hAnsi="黑体" w:eastAsia="黑体" w:cs="黑体"/>
          <w:sz w:val="44"/>
          <w:szCs w:val="44"/>
        </w:rPr>
        <w:t>目  录</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_Toc1704_WPSOffice_Level1 </w:instrText>
      </w:r>
      <w:r>
        <w:rPr>
          <w:sz w:val="32"/>
          <w:szCs w:val="32"/>
        </w:rPr>
        <w:fldChar w:fldCharType="separate"/>
      </w:r>
      <w:r>
        <w:rPr>
          <w:rFonts w:hint="eastAsia" w:ascii="黑体" w:hAnsi="ˎ̥" w:eastAsia="黑体"/>
          <w:sz w:val="32"/>
          <w:szCs w:val="32"/>
        </w:rPr>
        <w:t>第一部分 基本情况</w:t>
      </w:r>
      <w:r>
        <w:rPr>
          <w:sz w:val="32"/>
          <w:szCs w:val="32"/>
        </w:rPr>
        <w:tab/>
      </w:r>
      <w:r>
        <w:rPr>
          <w:sz w:val="32"/>
          <w:szCs w:val="32"/>
        </w:rPr>
        <w:fldChar w:fldCharType="end"/>
      </w:r>
      <w:r>
        <w:rPr>
          <w:rFonts w:hint="eastAsia"/>
          <w:sz w:val="32"/>
          <w:szCs w:val="32"/>
        </w:rPr>
        <w:t>2</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_Toc20274_WPSOffice_Level2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一、</w:t>
      </w:r>
      <w:bookmarkStart w:id="107" w:name="_GoBack"/>
      <w:bookmarkEnd w:id="107"/>
      <w:r>
        <w:rPr>
          <w:rFonts w:hint="eastAsia" w:ascii="仿宋" w:hAnsi="仿宋" w:eastAsia="仿宋" w:cs="仿宋"/>
          <w:sz w:val="32"/>
          <w:szCs w:val="32"/>
          <w:lang w:eastAsia="zh-CN"/>
        </w:rPr>
        <w:t>单位</w:t>
      </w:r>
      <w:r>
        <w:rPr>
          <w:rFonts w:hint="eastAsia" w:ascii="仿宋" w:hAnsi="仿宋" w:eastAsia="仿宋" w:cs="仿宋"/>
          <w:sz w:val="32"/>
          <w:szCs w:val="32"/>
        </w:rPr>
        <w:t>职责</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_Toc4833_WPSOffice_Level2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二、机构设置</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_Toc28253_WPSOffice_Level1 </w:instrText>
      </w:r>
      <w:r>
        <w:rPr>
          <w:sz w:val="32"/>
          <w:szCs w:val="32"/>
        </w:rPr>
        <w:fldChar w:fldCharType="separate"/>
      </w: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w:t>
      </w:r>
      <w:r>
        <w:rPr>
          <w:rFonts w:hint="eastAsia" w:ascii="黑体" w:hAnsi="ˎ̥" w:eastAsia="黑体"/>
          <w:sz w:val="32"/>
          <w:szCs w:val="32"/>
          <w:lang w:eastAsia="zh-CN"/>
        </w:rPr>
        <w:t>单位</w:t>
      </w:r>
      <w:r>
        <w:rPr>
          <w:rFonts w:hint="eastAsia" w:ascii="黑体" w:hAnsi="ˎ̥" w:eastAsia="黑体"/>
          <w:sz w:val="32"/>
          <w:szCs w:val="32"/>
        </w:rPr>
        <w:t>决算公开表</w:t>
      </w:r>
      <w:r>
        <w:rPr>
          <w:sz w:val="32"/>
          <w:szCs w:val="32"/>
        </w:rPr>
        <w:tab/>
      </w:r>
      <w:r>
        <w:rPr>
          <w:sz w:val="32"/>
          <w:szCs w:val="32"/>
        </w:rPr>
        <w:fldChar w:fldCharType="end"/>
      </w:r>
      <w:r>
        <w:rPr>
          <w:rFonts w:hint="eastAsia"/>
          <w:sz w:val="32"/>
          <w:szCs w:val="32"/>
        </w:rPr>
        <w:t>2</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_Toc27590_WPSOffice_Level1 </w:instrText>
      </w:r>
      <w:r>
        <w:rPr>
          <w:sz w:val="32"/>
          <w:szCs w:val="32"/>
        </w:rPr>
        <w:fldChar w:fldCharType="separate"/>
      </w:r>
      <w:r>
        <w:rPr>
          <w:rFonts w:hint="eastAsia" w:ascii="黑体" w:hAnsi="黑体" w:eastAsia="黑体" w:cs="黑体"/>
          <w:sz w:val="32"/>
          <w:szCs w:val="32"/>
        </w:rPr>
        <w:t>第三部分</w:t>
      </w:r>
      <w:r>
        <w:rPr>
          <w:rFonts w:hint="eastAsia"/>
          <w:sz w:val="32"/>
          <w:szCs w:val="32"/>
        </w:rPr>
        <w:t xml:space="preserve">  </w:t>
      </w:r>
      <w:r>
        <w:rPr>
          <w:rFonts w:hint="default" w:ascii="黑体" w:hAnsi="ˎ̥" w:eastAsia="黑体"/>
          <w:sz w:val="32"/>
          <w:szCs w:val="32"/>
          <w:lang w:val="en-US"/>
        </w:rPr>
        <w:t>2024</w:t>
      </w:r>
      <w:r>
        <w:rPr>
          <w:rFonts w:hint="eastAsia" w:ascii="黑体" w:hAnsi="ˎ̥" w:eastAsia="黑体"/>
          <w:sz w:val="32"/>
          <w:szCs w:val="32"/>
        </w:rPr>
        <w:t>年度</w:t>
      </w:r>
      <w:r>
        <w:rPr>
          <w:rFonts w:hint="eastAsia" w:ascii="黑体" w:hAnsi="ˎ̥" w:eastAsia="黑体"/>
          <w:sz w:val="32"/>
          <w:szCs w:val="32"/>
          <w:lang w:eastAsia="zh-CN"/>
        </w:rPr>
        <w:t>单位</w:t>
      </w:r>
      <w:r>
        <w:rPr>
          <w:rFonts w:hint="eastAsia" w:ascii="黑体" w:hAnsi="ˎ̥" w:eastAsia="黑体"/>
          <w:sz w:val="32"/>
          <w:szCs w:val="32"/>
        </w:rPr>
        <w:t>决算情况说明</w:t>
      </w:r>
      <w:r>
        <w:rPr>
          <w:sz w:val="32"/>
          <w:szCs w:val="32"/>
        </w:rPr>
        <w:tab/>
      </w:r>
      <w:r>
        <w:rPr>
          <w:sz w:val="32"/>
          <w:szCs w:val="32"/>
        </w:rPr>
        <w:fldChar w:fldCharType="end"/>
      </w:r>
      <w:r>
        <w:rPr>
          <w:rFonts w:hint="eastAsia"/>
          <w:sz w:val="32"/>
          <w:szCs w:val="32"/>
        </w:rPr>
        <w:t>3</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_Toc21737_WPSOffice_Level2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一、收入支出总体情况说明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3</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二、收入决算情况说明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三、支出决算情况说明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四、财政拨款收入支出决算</w:t>
      </w:r>
      <w:r>
        <w:rPr>
          <w:rFonts w:hint="eastAsia" w:ascii="仿宋" w:hAnsi="仿宋" w:eastAsia="仿宋" w:cs="仿宋"/>
          <w:bCs/>
          <w:sz w:val="32"/>
          <w:szCs w:val="32"/>
          <w:lang w:val="en-US" w:eastAsia="zh-CN"/>
        </w:rPr>
        <w:t>总体</w:t>
      </w:r>
      <w:r>
        <w:rPr>
          <w:rFonts w:hint="eastAsia" w:ascii="仿宋" w:hAnsi="仿宋" w:eastAsia="仿宋" w:cs="仿宋"/>
          <w:bCs/>
          <w:sz w:val="32"/>
          <w:szCs w:val="32"/>
        </w:rPr>
        <w:t>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五、一般公共预算财政拨款支出决算情况说明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5</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六、一般公共预算财政拨款基本支出决算情况说明</w:t>
      </w:r>
      <w:r>
        <w:rPr>
          <w:rFonts w:hint="eastAsia" w:ascii="仿宋" w:hAnsi="仿宋" w:eastAsia="仿宋" w:cs="仿宋"/>
          <w:sz w:val="32"/>
          <w:szCs w:val="32"/>
        </w:rPr>
        <w:fldChar w:fldCharType="end"/>
      </w:r>
      <w:r>
        <w:rPr>
          <w:rFonts w:hint="eastAsia" w:ascii="仿宋" w:hAnsi="仿宋" w:eastAsia="仿宋" w:cs="仿宋"/>
          <w:sz w:val="32"/>
          <w:szCs w:val="32"/>
        </w:rPr>
        <w:tab/>
      </w:r>
      <w:r>
        <w:rPr>
          <w:rFonts w:hint="eastAsia" w:ascii="仿宋" w:hAnsi="仿宋" w:eastAsia="仿宋" w:cs="仿宋"/>
          <w:sz w:val="32"/>
          <w:szCs w:val="32"/>
        </w:rPr>
        <w:t>6</w:t>
      </w:r>
    </w:p>
    <w:p>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政府性基金预算财政拨款支出决算情况说明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7</w:t>
      </w:r>
    </w:p>
    <w:p>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国有资本经营预算财政拨款支出决算情况说明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8</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九、财政拨款“三公”经费支出决算情况说明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9</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十、预算绩效情况说明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11</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十一、其他重要事项情况说明</w:t>
      </w:r>
      <w:r>
        <w:rPr>
          <w:rFonts w:hint="eastAsia" w:ascii="仿宋" w:hAnsi="仿宋" w:eastAsia="仿宋" w:cs="仿宋"/>
          <w:sz w:val="32"/>
          <w:szCs w:val="32"/>
        </w:rPr>
        <w:tab/>
      </w:r>
      <w:r>
        <w:rPr>
          <w:rFonts w:hint="eastAsia" w:ascii="仿宋" w:hAnsi="仿宋" w:eastAsia="仿宋" w:cs="仿宋"/>
          <w:sz w:val="32"/>
          <w:szCs w:val="32"/>
        </w:rPr>
        <w:t>13</w:t>
      </w:r>
    </w:p>
    <w:p>
      <w:pPr>
        <w:pStyle w:val="15"/>
        <w:tabs>
          <w:tab w:val="right" w:leader="dot" w:pos="8306"/>
        </w:tabs>
        <w:spacing w:line="578" w:lineRule="exact"/>
        <w:rPr>
          <w:rFonts w:hint="eastAsia" w:ascii="黑体" w:hAnsi="ˎ̥"/>
          <w:b/>
          <w:sz w:val="32"/>
          <w:szCs w:val="32"/>
        </w:rPr>
      </w:pPr>
      <w:r>
        <w:rPr>
          <w:sz w:val="32"/>
          <w:szCs w:val="32"/>
        </w:rPr>
        <w:fldChar w:fldCharType="begin"/>
      </w:r>
      <w:r>
        <w:rPr>
          <w:sz w:val="32"/>
          <w:szCs w:val="32"/>
        </w:rPr>
        <w:instrText xml:space="preserve"> HYPERLINK \l _Toc15425_WPSOffice_Level1 </w:instrText>
      </w:r>
      <w:r>
        <w:rPr>
          <w:sz w:val="32"/>
          <w:szCs w:val="32"/>
        </w:rPr>
        <w:fldChar w:fldCharType="separate"/>
      </w:r>
      <w:r>
        <w:rPr>
          <w:rFonts w:hint="eastAsia" w:ascii="黑体" w:hAnsi="ˎ̥" w:eastAsia="黑体"/>
          <w:sz w:val="32"/>
          <w:szCs w:val="32"/>
        </w:rPr>
        <w:t>第四部分  名词解释</w:t>
      </w:r>
      <w:r>
        <w:rPr>
          <w:sz w:val="32"/>
          <w:szCs w:val="32"/>
        </w:rPr>
        <w:tab/>
      </w:r>
      <w:bookmarkStart w:id="1" w:name="_Toc15425_WPSOffice_Level1Page"/>
      <w:r>
        <w:rPr>
          <w:sz w:val="32"/>
          <w:szCs w:val="32"/>
        </w:rPr>
        <w:t>1</w:t>
      </w:r>
      <w:bookmarkEnd w:id="1"/>
      <w:r>
        <w:rPr>
          <w:sz w:val="32"/>
          <w:szCs w:val="32"/>
        </w:rPr>
        <w:fldChar w:fldCharType="end"/>
      </w:r>
      <w:bookmarkEnd w:id="0"/>
      <w:r>
        <w:rPr>
          <w:rFonts w:hint="eastAsia"/>
          <w:sz w:val="32"/>
          <w:szCs w:val="32"/>
        </w:rPr>
        <w:t>5</w:t>
      </w:r>
    </w:p>
    <w:p>
      <w:pPr>
        <w:spacing w:line="578" w:lineRule="exact"/>
        <w:jc w:val="both"/>
        <w:rPr>
          <w:rFonts w:hint="eastAsia" w:ascii="黑体" w:hAnsi="ˎ̥" w:eastAsia="黑体"/>
          <w:sz w:val="32"/>
          <w:szCs w:val="32"/>
        </w:rPr>
      </w:pPr>
      <w:bookmarkStart w:id="2" w:name="_Toc10720_WPSOffice_Level1"/>
      <w:bookmarkStart w:id="3" w:name="_Toc23465_WPSOffice_Level1"/>
      <w:bookmarkStart w:id="4" w:name="_Toc1704_WPSOffice_Level1"/>
      <w:bookmarkStart w:id="5" w:name="_Toc32433_WPSOffice_Level1"/>
      <w:bookmarkStart w:id="6" w:name="_Toc22941_WPSOffice_Level1"/>
      <w:bookmarkStart w:id="7" w:name="_Toc10049_WPSOffice_Level1"/>
      <w:bookmarkStart w:id="8" w:name="_Toc24238_WPSOffice_Level2"/>
      <w:bookmarkStart w:id="9" w:name="_Toc14159_WPSOffice_Level2"/>
      <w:bookmarkStart w:id="10" w:name="_Toc32622_WPSOffice_Level2"/>
      <w:bookmarkStart w:id="11" w:name="_Toc26580_WPSOffice_Level2"/>
      <w:bookmarkStart w:id="12" w:name="_Toc20274_WPSOffice_Level2"/>
      <w:bookmarkStart w:id="13" w:name="_Toc20205_WPSOffice_Level2"/>
    </w:p>
    <w:p>
      <w:pPr>
        <w:spacing w:line="578" w:lineRule="exact"/>
        <w:jc w:val="center"/>
        <w:rPr>
          <w:rFonts w:hint="eastAsia" w:ascii="黑体" w:hAnsi="ˎ̥" w:eastAsia="黑体"/>
          <w:sz w:val="32"/>
          <w:szCs w:val="32"/>
        </w:rPr>
      </w:pPr>
    </w:p>
    <w:p>
      <w:pPr>
        <w:spacing w:line="578" w:lineRule="exact"/>
        <w:jc w:val="center"/>
        <w:rPr>
          <w:rFonts w:hint="eastAsia" w:ascii="黑体" w:hAnsi="ˎ̥" w:eastAsia="黑体"/>
          <w:sz w:val="32"/>
          <w:szCs w:val="32"/>
        </w:rPr>
      </w:pPr>
      <w:r>
        <w:rPr>
          <w:rFonts w:hint="eastAsia" w:ascii="黑体" w:hAnsi="ˎ̥" w:eastAsia="黑体"/>
          <w:sz w:val="32"/>
          <w:szCs w:val="32"/>
        </w:rPr>
        <w:t xml:space="preserve">第一部分  </w:t>
      </w:r>
      <w:bookmarkEnd w:id="2"/>
      <w:bookmarkEnd w:id="3"/>
      <w:bookmarkEnd w:id="4"/>
      <w:bookmarkEnd w:id="5"/>
      <w:bookmarkEnd w:id="6"/>
      <w:bookmarkEnd w:id="7"/>
      <w:r>
        <w:rPr>
          <w:rFonts w:hint="eastAsia" w:ascii="黑体" w:hAnsi="ˎ̥" w:eastAsia="黑体"/>
          <w:sz w:val="32"/>
          <w:szCs w:val="32"/>
        </w:rPr>
        <w:t>基本情况</w:t>
      </w:r>
    </w:p>
    <w:p>
      <w:pPr>
        <w:spacing w:line="578" w:lineRule="exact"/>
        <w:ind w:firstLine="640" w:firstLineChars="200"/>
        <w:rPr>
          <w:rFonts w:hint="eastAsia" w:ascii="楷体" w:hAnsi="楷体" w:eastAsia="楷体" w:cs="楷体"/>
          <w:sz w:val="32"/>
          <w:szCs w:val="32"/>
        </w:rPr>
      </w:pPr>
    </w:p>
    <w:bookmarkEnd w:id="8"/>
    <w:p>
      <w:pPr>
        <w:numPr>
          <w:ilvl w:val="0"/>
          <w:numId w:val="2"/>
        </w:numPr>
        <w:spacing w:line="578"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单位职责</w:t>
      </w:r>
      <w:bookmarkEnd w:id="9"/>
      <w:bookmarkEnd w:id="10"/>
      <w:bookmarkEnd w:id="11"/>
      <w:bookmarkEnd w:id="12"/>
      <w:bookmarkEnd w:id="13"/>
    </w:p>
    <w:p>
      <w:pPr>
        <w:pStyle w:val="16"/>
        <w:keepNext w:val="0"/>
        <w:keepLines w:val="0"/>
        <w:pageBreakBefore w:val="0"/>
        <w:widowControl/>
        <w:tabs>
          <w:tab w:val="right" w:leader="dot" w:pos="8306"/>
        </w:tabs>
        <w:kinsoku/>
        <w:wordWrap/>
        <w:overflowPunct/>
        <w:topLinePunct w:val="0"/>
        <w:autoSpaceDE/>
        <w:autoSpaceDN/>
        <w:bidi w:val="0"/>
        <w:adjustRightInd/>
        <w:snapToGrid/>
        <w:spacing w:line="578" w:lineRule="exact"/>
        <w:ind w:left="0" w:leftChars="0" w:right="0" w:rightChars="0" w:firstLine="640" w:firstLineChars="200"/>
        <w:jc w:val="left"/>
        <w:textAlignment w:val="auto"/>
        <w:outlineLvl w:val="9"/>
        <w:rPr>
          <w:rFonts w:hint="default" w:ascii="仿宋_GB2312" w:hAnsi="ˎ̥" w:eastAsia="仿宋_GB2312" w:cs="仿宋_GB2312"/>
          <w:color w:val="auto"/>
          <w:kern w:val="0"/>
          <w:sz w:val="32"/>
          <w:szCs w:val="32"/>
          <w:lang w:val="en-US" w:eastAsia="zh-CN" w:bidi="ar-SA"/>
        </w:rPr>
      </w:pPr>
      <w:r>
        <w:rPr>
          <w:rFonts w:hint="eastAsia" w:ascii="仿宋_GB2312" w:hAnsi="ˎ̥" w:eastAsia="仿宋_GB2312" w:cs="仿宋_GB2312"/>
          <w:color w:val="auto"/>
          <w:kern w:val="0"/>
          <w:sz w:val="32"/>
          <w:szCs w:val="32"/>
          <w:lang w:val="en-US" w:eastAsia="zh-CN" w:bidi="ar-SA"/>
        </w:rPr>
        <w:t>（</w:t>
      </w:r>
      <w:r>
        <w:rPr>
          <w:rFonts w:hint="default" w:ascii="仿宋_GB2312" w:hAnsi="ˎ̥" w:eastAsia="仿宋_GB2312" w:cs="仿宋_GB2312"/>
          <w:color w:val="auto"/>
          <w:kern w:val="0"/>
          <w:sz w:val="32"/>
          <w:szCs w:val="32"/>
          <w:lang w:val="en-US" w:eastAsia="zh-CN" w:bidi="ar-SA"/>
        </w:rPr>
        <w:t>一）基本职能</w:t>
      </w:r>
    </w:p>
    <w:p>
      <w:pPr>
        <w:pStyle w:val="16"/>
        <w:keepNext w:val="0"/>
        <w:keepLines w:val="0"/>
        <w:pageBreakBefore w:val="0"/>
        <w:widowControl/>
        <w:tabs>
          <w:tab w:val="right" w:leader="dot" w:pos="8306"/>
        </w:tabs>
        <w:kinsoku/>
        <w:wordWrap/>
        <w:overflowPunct/>
        <w:topLinePunct w:val="0"/>
        <w:autoSpaceDE/>
        <w:autoSpaceDN/>
        <w:bidi w:val="0"/>
        <w:adjustRightInd/>
        <w:snapToGrid/>
        <w:spacing w:line="578" w:lineRule="exact"/>
        <w:ind w:left="0" w:leftChars="0" w:right="0" w:rightChars="0" w:firstLine="640" w:firstLineChars="200"/>
        <w:jc w:val="left"/>
        <w:textAlignment w:val="auto"/>
        <w:outlineLvl w:val="9"/>
        <w:rPr>
          <w:rFonts w:hint="default" w:ascii="仿宋_GB2312" w:hAnsi="ˎ̥" w:eastAsia="仿宋_GB2312" w:cs="仿宋_GB2312"/>
          <w:color w:val="auto"/>
          <w:kern w:val="0"/>
          <w:sz w:val="32"/>
          <w:szCs w:val="32"/>
          <w:lang w:val="en-US" w:eastAsia="zh-CN" w:bidi="ar-SA"/>
        </w:rPr>
      </w:pPr>
      <w:r>
        <w:rPr>
          <w:rFonts w:hint="default" w:ascii="仿宋_GB2312" w:hAnsi="ˎ̥" w:eastAsia="仿宋_GB2312" w:cs="仿宋_GB2312"/>
          <w:color w:val="auto"/>
          <w:kern w:val="0"/>
          <w:sz w:val="32"/>
          <w:szCs w:val="32"/>
          <w:lang w:val="en-US" w:eastAsia="zh-CN" w:bidi="ar-SA"/>
        </w:rPr>
        <w:t xml:space="preserve"> 1、认真贯彻执行党和国家的有关法律法规、方针、政策，坚持民主管理，依法办园，执行上级主管</w:t>
      </w:r>
      <w:r>
        <w:rPr>
          <w:rFonts w:hint="eastAsia" w:ascii="仿宋_GB2312" w:hAnsi="ˎ̥" w:eastAsia="仿宋_GB2312" w:cs="仿宋_GB2312"/>
          <w:color w:val="auto"/>
          <w:kern w:val="0"/>
          <w:sz w:val="32"/>
          <w:szCs w:val="32"/>
          <w:lang w:val="en-US" w:eastAsia="zh-CN" w:bidi="ar-SA"/>
        </w:rPr>
        <w:t>单位</w:t>
      </w:r>
      <w:r>
        <w:rPr>
          <w:rFonts w:hint="default" w:ascii="仿宋_GB2312" w:hAnsi="ˎ̥" w:eastAsia="仿宋_GB2312" w:cs="仿宋_GB2312"/>
          <w:color w:val="auto"/>
          <w:kern w:val="0"/>
          <w:sz w:val="32"/>
          <w:szCs w:val="32"/>
          <w:lang w:val="en-US" w:eastAsia="zh-CN" w:bidi="ar-SA"/>
        </w:rPr>
        <w:t>的指示和决定。</w:t>
      </w:r>
    </w:p>
    <w:p>
      <w:pPr>
        <w:pStyle w:val="16"/>
        <w:keepNext w:val="0"/>
        <w:keepLines w:val="0"/>
        <w:pageBreakBefore w:val="0"/>
        <w:widowControl/>
        <w:tabs>
          <w:tab w:val="right" w:leader="dot" w:pos="8306"/>
        </w:tabs>
        <w:kinsoku/>
        <w:wordWrap/>
        <w:overflowPunct/>
        <w:topLinePunct w:val="0"/>
        <w:autoSpaceDE/>
        <w:autoSpaceDN/>
        <w:bidi w:val="0"/>
        <w:adjustRightInd/>
        <w:snapToGrid/>
        <w:spacing w:line="578" w:lineRule="exact"/>
        <w:ind w:left="0" w:leftChars="0" w:right="0" w:rightChars="0" w:firstLine="640" w:firstLineChars="200"/>
        <w:jc w:val="left"/>
        <w:textAlignment w:val="auto"/>
        <w:outlineLvl w:val="9"/>
        <w:rPr>
          <w:rFonts w:hint="default" w:ascii="仿宋_GB2312" w:hAnsi="ˎ̥" w:eastAsia="仿宋_GB2312" w:cs="仿宋_GB2312"/>
          <w:color w:val="auto"/>
          <w:kern w:val="0"/>
          <w:sz w:val="32"/>
          <w:szCs w:val="32"/>
          <w:lang w:val="en-US" w:eastAsia="zh-CN" w:bidi="ar-SA"/>
        </w:rPr>
      </w:pPr>
      <w:r>
        <w:rPr>
          <w:rFonts w:hint="default" w:ascii="仿宋_GB2312" w:hAnsi="ˎ̥" w:eastAsia="仿宋_GB2312" w:cs="仿宋_GB2312"/>
          <w:color w:val="auto"/>
          <w:kern w:val="0"/>
          <w:sz w:val="32"/>
          <w:szCs w:val="32"/>
          <w:lang w:val="en-US" w:eastAsia="zh-CN" w:bidi="ar-SA"/>
        </w:rPr>
        <w:t>2、实行保育和教育相结合的原则，对幼儿实施体、智、德、美诸方面全面发展的教育，促进其身心和谐发展。为家长解除后顾之忧，热忱为家长服务。</w:t>
      </w:r>
    </w:p>
    <w:p>
      <w:pPr>
        <w:pStyle w:val="16"/>
        <w:keepNext w:val="0"/>
        <w:keepLines w:val="0"/>
        <w:pageBreakBefore w:val="0"/>
        <w:widowControl/>
        <w:tabs>
          <w:tab w:val="right" w:leader="dot" w:pos="8306"/>
        </w:tabs>
        <w:kinsoku/>
        <w:wordWrap/>
        <w:overflowPunct/>
        <w:topLinePunct w:val="0"/>
        <w:autoSpaceDE/>
        <w:autoSpaceDN/>
        <w:bidi w:val="0"/>
        <w:adjustRightInd/>
        <w:snapToGrid/>
        <w:spacing w:line="578" w:lineRule="exact"/>
        <w:ind w:left="0" w:leftChars="0" w:right="0" w:rightChars="0" w:firstLine="640" w:firstLineChars="200"/>
        <w:jc w:val="left"/>
        <w:textAlignment w:val="auto"/>
        <w:outlineLvl w:val="9"/>
        <w:rPr>
          <w:rFonts w:hint="default" w:ascii="仿宋_GB2312" w:hAnsi="ˎ̥" w:eastAsia="仿宋_GB2312" w:cs="仿宋_GB2312"/>
          <w:color w:val="auto"/>
          <w:kern w:val="0"/>
          <w:sz w:val="32"/>
          <w:szCs w:val="32"/>
          <w:lang w:val="en-US" w:eastAsia="zh-CN" w:bidi="ar-SA"/>
        </w:rPr>
      </w:pPr>
      <w:r>
        <w:rPr>
          <w:rFonts w:hint="default" w:ascii="仿宋_GB2312" w:hAnsi="ˎ̥" w:eastAsia="仿宋_GB2312" w:cs="仿宋_GB2312"/>
          <w:color w:val="auto"/>
          <w:kern w:val="0"/>
          <w:sz w:val="32"/>
          <w:szCs w:val="32"/>
          <w:lang w:val="en-US" w:eastAsia="zh-CN" w:bidi="ar-SA"/>
        </w:rPr>
        <w:t>3、尊重儿童的人格尊严和基本权利，尊重儿童身心发展的特点和规律，为儿童提供健康、丰富的生活和活动环境。合理组织幼儿一日生活活动和其它活动，促进幼儿体智德美等和谐发展，全面实施素质教育。</w:t>
      </w:r>
    </w:p>
    <w:p>
      <w:pPr>
        <w:pStyle w:val="16"/>
        <w:keepNext w:val="0"/>
        <w:keepLines w:val="0"/>
        <w:pageBreakBefore w:val="0"/>
        <w:widowControl/>
        <w:tabs>
          <w:tab w:val="right" w:leader="dot" w:pos="8306"/>
        </w:tabs>
        <w:kinsoku/>
        <w:wordWrap/>
        <w:overflowPunct/>
        <w:topLinePunct w:val="0"/>
        <w:autoSpaceDE/>
        <w:autoSpaceDN/>
        <w:bidi w:val="0"/>
        <w:adjustRightInd/>
        <w:snapToGrid/>
        <w:spacing w:line="578" w:lineRule="exact"/>
        <w:ind w:left="0" w:leftChars="0" w:right="0" w:rightChars="0" w:firstLine="640" w:firstLineChars="200"/>
        <w:jc w:val="left"/>
        <w:textAlignment w:val="auto"/>
        <w:outlineLvl w:val="9"/>
        <w:rPr>
          <w:rFonts w:hint="default" w:ascii="仿宋_GB2312" w:hAnsi="ˎ̥" w:eastAsia="仿宋_GB2312" w:cs="仿宋_GB2312"/>
          <w:color w:val="auto"/>
          <w:kern w:val="0"/>
          <w:sz w:val="32"/>
          <w:szCs w:val="32"/>
          <w:lang w:val="en-US" w:eastAsia="zh-CN" w:bidi="ar-SA"/>
        </w:rPr>
      </w:pPr>
      <w:r>
        <w:rPr>
          <w:rFonts w:hint="default" w:ascii="仿宋_GB2312" w:hAnsi="ˎ̥" w:eastAsia="仿宋_GB2312" w:cs="仿宋_GB2312"/>
          <w:color w:val="auto"/>
          <w:kern w:val="0"/>
          <w:sz w:val="32"/>
          <w:szCs w:val="32"/>
          <w:lang w:val="en-US" w:eastAsia="zh-CN" w:bidi="ar-SA"/>
        </w:rPr>
        <w:t>4、严格执行幼儿园安全、卫生保健制度，保证幼儿身心健康和生命安全。</w:t>
      </w:r>
    </w:p>
    <w:p>
      <w:pPr>
        <w:pStyle w:val="16"/>
        <w:keepNext w:val="0"/>
        <w:keepLines w:val="0"/>
        <w:pageBreakBefore w:val="0"/>
        <w:widowControl/>
        <w:tabs>
          <w:tab w:val="right" w:leader="dot" w:pos="8306"/>
        </w:tabs>
        <w:kinsoku/>
        <w:wordWrap/>
        <w:overflowPunct/>
        <w:topLinePunct w:val="0"/>
        <w:autoSpaceDE/>
        <w:autoSpaceDN/>
        <w:bidi w:val="0"/>
        <w:adjustRightInd/>
        <w:snapToGrid/>
        <w:spacing w:line="578" w:lineRule="exact"/>
        <w:ind w:left="0" w:leftChars="0" w:right="0" w:rightChars="0" w:firstLine="640" w:firstLineChars="200"/>
        <w:jc w:val="left"/>
        <w:textAlignment w:val="auto"/>
        <w:outlineLvl w:val="9"/>
        <w:rPr>
          <w:rFonts w:hint="default" w:ascii="仿宋_GB2312" w:hAnsi="ˎ̥" w:eastAsia="仿宋_GB2312" w:cs="仿宋_GB2312"/>
          <w:color w:val="auto"/>
          <w:kern w:val="0"/>
          <w:sz w:val="32"/>
          <w:szCs w:val="32"/>
          <w:lang w:val="en-US" w:eastAsia="zh-CN" w:bidi="ar-SA"/>
        </w:rPr>
      </w:pPr>
      <w:r>
        <w:rPr>
          <w:rFonts w:hint="default" w:ascii="仿宋_GB2312" w:hAnsi="ˎ̥" w:eastAsia="仿宋_GB2312" w:cs="仿宋_GB2312"/>
          <w:color w:val="auto"/>
          <w:kern w:val="0"/>
          <w:sz w:val="32"/>
          <w:szCs w:val="32"/>
          <w:lang w:val="en-US" w:eastAsia="zh-CN" w:bidi="ar-SA"/>
        </w:rPr>
        <w:t>5、充分利用幼儿和社区的资源优势，面向家长开展多种形式的早期教育宣传、指导等服务，促进家庭教育质量的不断提高。</w:t>
      </w:r>
    </w:p>
    <w:p>
      <w:pPr>
        <w:pStyle w:val="16"/>
        <w:keepNext w:val="0"/>
        <w:keepLines w:val="0"/>
        <w:pageBreakBefore w:val="0"/>
        <w:widowControl/>
        <w:tabs>
          <w:tab w:val="right" w:leader="dot" w:pos="8306"/>
        </w:tabs>
        <w:kinsoku/>
        <w:wordWrap/>
        <w:overflowPunct/>
        <w:topLinePunct w:val="0"/>
        <w:autoSpaceDE/>
        <w:autoSpaceDN/>
        <w:bidi w:val="0"/>
        <w:adjustRightInd/>
        <w:snapToGrid/>
        <w:spacing w:line="578" w:lineRule="exact"/>
        <w:ind w:left="0" w:leftChars="0" w:right="0" w:rightChars="0" w:firstLine="640" w:firstLineChars="200"/>
        <w:jc w:val="left"/>
        <w:textAlignment w:val="auto"/>
        <w:outlineLvl w:val="9"/>
        <w:rPr>
          <w:rFonts w:hint="default" w:ascii="仿宋_GB2312" w:hAnsi="ˎ̥" w:eastAsia="仿宋_GB2312" w:cs="仿宋_GB2312"/>
          <w:color w:val="auto"/>
          <w:kern w:val="0"/>
          <w:sz w:val="32"/>
          <w:szCs w:val="32"/>
          <w:lang w:val="en-US" w:eastAsia="zh-CN" w:bidi="ar-SA"/>
        </w:rPr>
      </w:pPr>
      <w:r>
        <w:rPr>
          <w:rFonts w:hint="default" w:ascii="仿宋_GB2312" w:hAnsi="ˎ̥" w:eastAsia="仿宋_GB2312" w:cs="仿宋_GB2312"/>
          <w:color w:val="auto"/>
          <w:kern w:val="0"/>
          <w:sz w:val="32"/>
          <w:szCs w:val="32"/>
          <w:lang w:val="en-US" w:eastAsia="zh-CN" w:bidi="ar-SA"/>
        </w:rPr>
        <w:t>6、贯彻幼儿教育法规、传播科学教育理念、开展教育科学研究、培训师资，发挥县示范性幼儿园的示范、辐射作用。</w:t>
      </w:r>
    </w:p>
    <w:p>
      <w:pPr>
        <w:pStyle w:val="16"/>
        <w:keepNext w:val="0"/>
        <w:keepLines w:val="0"/>
        <w:pageBreakBefore w:val="0"/>
        <w:widowControl/>
        <w:tabs>
          <w:tab w:val="right" w:leader="dot" w:pos="8306"/>
        </w:tabs>
        <w:kinsoku/>
        <w:wordWrap/>
        <w:overflowPunct/>
        <w:topLinePunct w:val="0"/>
        <w:autoSpaceDE/>
        <w:autoSpaceDN/>
        <w:bidi w:val="0"/>
        <w:adjustRightInd/>
        <w:snapToGrid/>
        <w:spacing w:line="578" w:lineRule="exact"/>
        <w:ind w:right="0" w:rightChars="0"/>
        <w:jc w:val="left"/>
        <w:textAlignment w:val="auto"/>
        <w:outlineLvl w:val="9"/>
        <w:rPr>
          <w:rFonts w:hint="default" w:ascii="仿宋_GB2312" w:hAnsi="ˎ̥" w:eastAsia="仿宋_GB2312" w:cs="仿宋_GB2312"/>
          <w:color w:val="auto"/>
          <w:kern w:val="0"/>
          <w:sz w:val="32"/>
          <w:szCs w:val="32"/>
          <w:lang w:val="en-US" w:eastAsia="zh-CN" w:bidi="ar-SA"/>
        </w:rPr>
      </w:pPr>
      <w:r>
        <w:rPr>
          <w:rFonts w:hint="default" w:ascii="仿宋_GB2312" w:hAnsi="ˎ̥" w:eastAsia="仿宋_GB2312" w:cs="仿宋_GB2312"/>
          <w:color w:val="auto"/>
          <w:kern w:val="0"/>
          <w:sz w:val="32"/>
          <w:szCs w:val="32"/>
          <w:lang w:val="en-US" w:eastAsia="zh-CN" w:bidi="ar-SA"/>
        </w:rPr>
        <w:t>（二）内设机构</w:t>
      </w:r>
    </w:p>
    <w:p>
      <w:pPr>
        <w:pStyle w:val="16"/>
        <w:keepNext w:val="0"/>
        <w:keepLines w:val="0"/>
        <w:pageBreakBefore w:val="0"/>
        <w:widowControl/>
        <w:tabs>
          <w:tab w:val="right" w:leader="dot" w:pos="8306"/>
        </w:tabs>
        <w:kinsoku/>
        <w:wordWrap/>
        <w:overflowPunct/>
        <w:topLinePunct w:val="0"/>
        <w:autoSpaceDE/>
        <w:autoSpaceDN/>
        <w:bidi w:val="0"/>
        <w:adjustRightInd/>
        <w:snapToGrid/>
        <w:spacing w:line="578" w:lineRule="exact"/>
        <w:ind w:left="0" w:leftChars="0" w:right="0" w:rightChars="0" w:firstLine="640" w:firstLineChars="200"/>
        <w:jc w:val="left"/>
        <w:textAlignment w:val="auto"/>
        <w:outlineLvl w:val="9"/>
        <w:rPr>
          <w:rFonts w:hint="eastAsia"/>
        </w:rPr>
      </w:pPr>
      <w:r>
        <w:rPr>
          <w:rFonts w:hint="default" w:ascii="仿宋_GB2312" w:hAnsi="ˎ̥" w:eastAsia="仿宋_GB2312" w:cs="仿宋_GB2312"/>
          <w:color w:val="auto"/>
          <w:kern w:val="0"/>
          <w:sz w:val="32"/>
          <w:szCs w:val="32"/>
          <w:lang w:val="en-US" w:eastAsia="zh-CN" w:bidi="ar-SA"/>
        </w:rPr>
        <w:t xml:space="preserve">屯昌县幼儿园，教职工共有 </w:t>
      </w:r>
      <w:r>
        <w:rPr>
          <w:rFonts w:hint="eastAsia" w:ascii="仿宋_GB2312" w:hAnsi="ˎ̥" w:eastAsia="仿宋_GB2312" w:cs="仿宋_GB2312"/>
          <w:color w:val="auto"/>
          <w:kern w:val="0"/>
          <w:sz w:val="32"/>
          <w:szCs w:val="32"/>
          <w:lang w:val="en-US" w:eastAsia="zh-CN" w:bidi="ar-SA"/>
        </w:rPr>
        <w:t>66</w:t>
      </w:r>
      <w:r>
        <w:rPr>
          <w:rFonts w:hint="default" w:ascii="仿宋_GB2312" w:hAnsi="ˎ̥" w:eastAsia="仿宋_GB2312" w:cs="仿宋_GB2312"/>
          <w:color w:val="auto"/>
          <w:kern w:val="0"/>
          <w:sz w:val="32"/>
          <w:szCs w:val="32"/>
          <w:lang w:val="en-US" w:eastAsia="zh-CN" w:bidi="ar-SA"/>
        </w:rPr>
        <w:t>人，事业编制人员</w:t>
      </w:r>
      <w:r>
        <w:rPr>
          <w:rFonts w:hint="eastAsia" w:ascii="仿宋_GB2312" w:hAnsi="ˎ̥" w:eastAsia="仿宋_GB2312" w:cs="仿宋_GB2312"/>
          <w:color w:val="auto"/>
          <w:kern w:val="0"/>
          <w:sz w:val="32"/>
          <w:szCs w:val="32"/>
          <w:lang w:val="en-US" w:eastAsia="zh-CN" w:bidi="ar-SA"/>
        </w:rPr>
        <w:t>38</w:t>
      </w:r>
      <w:r>
        <w:rPr>
          <w:rFonts w:hint="default" w:ascii="仿宋_GB2312" w:hAnsi="ˎ̥" w:eastAsia="仿宋_GB2312" w:cs="仿宋_GB2312"/>
          <w:color w:val="auto"/>
          <w:kern w:val="0"/>
          <w:sz w:val="32"/>
          <w:szCs w:val="32"/>
          <w:lang w:val="en-US" w:eastAsia="zh-CN" w:bidi="ar-SA"/>
        </w:rPr>
        <w:t>人，编外人员</w:t>
      </w:r>
      <w:r>
        <w:rPr>
          <w:rFonts w:hint="eastAsia" w:ascii="仿宋_GB2312" w:hAnsi="ˎ̥" w:eastAsia="仿宋_GB2312" w:cs="仿宋_GB2312"/>
          <w:color w:val="auto"/>
          <w:kern w:val="0"/>
          <w:sz w:val="32"/>
          <w:szCs w:val="32"/>
          <w:lang w:val="en-US" w:eastAsia="zh-CN" w:bidi="ar-SA"/>
        </w:rPr>
        <w:t>28</w:t>
      </w:r>
      <w:r>
        <w:rPr>
          <w:rFonts w:hint="default" w:ascii="仿宋_GB2312" w:hAnsi="ˎ̥" w:eastAsia="仿宋_GB2312" w:cs="仿宋_GB2312"/>
          <w:color w:val="auto"/>
          <w:kern w:val="0"/>
          <w:sz w:val="32"/>
          <w:szCs w:val="32"/>
          <w:lang w:val="en-US" w:eastAsia="zh-CN" w:bidi="ar-SA"/>
        </w:rPr>
        <w:t>人。其中3名园长，一正二副，采购员1人，报账员1人，专职教师人员3</w:t>
      </w:r>
      <w:r>
        <w:rPr>
          <w:rFonts w:hint="eastAsia" w:ascii="仿宋_GB2312" w:hAnsi="ˎ̥" w:eastAsia="仿宋_GB2312" w:cs="仿宋_GB2312"/>
          <w:color w:val="auto"/>
          <w:kern w:val="0"/>
          <w:sz w:val="32"/>
          <w:szCs w:val="32"/>
          <w:lang w:val="en-US" w:eastAsia="zh-CN" w:bidi="ar-SA"/>
        </w:rPr>
        <w:t>2</w:t>
      </w:r>
      <w:r>
        <w:rPr>
          <w:rFonts w:hint="default" w:ascii="仿宋_GB2312" w:hAnsi="ˎ̥" w:eastAsia="仿宋_GB2312" w:cs="仿宋_GB2312"/>
          <w:color w:val="auto"/>
          <w:kern w:val="0"/>
          <w:sz w:val="32"/>
          <w:szCs w:val="32"/>
          <w:lang w:val="en-US" w:eastAsia="zh-CN" w:bidi="ar-SA"/>
        </w:rPr>
        <w:t>人，保育员1</w:t>
      </w:r>
      <w:r>
        <w:rPr>
          <w:rFonts w:hint="eastAsia" w:ascii="仿宋_GB2312" w:hAnsi="ˎ̥" w:eastAsia="仿宋_GB2312" w:cs="仿宋_GB2312"/>
          <w:color w:val="auto"/>
          <w:kern w:val="0"/>
          <w:sz w:val="32"/>
          <w:szCs w:val="32"/>
          <w:lang w:val="en-US" w:eastAsia="zh-CN" w:bidi="ar-SA"/>
        </w:rPr>
        <w:t>5</w:t>
      </w:r>
      <w:r>
        <w:rPr>
          <w:rFonts w:hint="default" w:ascii="仿宋_GB2312" w:hAnsi="ˎ̥" w:eastAsia="仿宋_GB2312" w:cs="仿宋_GB2312"/>
          <w:color w:val="auto"/>
          <w:kern w:val="0"/>
          <w:sz w:val="32"/>
          <w:szCs w:val="32"/>
          <w:lang w:val="en-US" w:eastAsia="zh-CN" w:bidi="ar-SA"/>
        </w:rPr>
        <w:t>人，卫生保健医生1名，工勤人员13人。内设行政组织机构、食品安全组织机构、保健组、保教组、总务组、党支部、工会、教代会。</w:t>
      </w:r>
    </w:p>
    <w:p>
      <w:pPr>
        <w:numPr>
          <w:ilvl w:val="0"/>
          <w:numId w:val="0"/>
        </w:numPr>
        <w:spacing w:line="578" w:lineRule="exact"/>
        <w:rPr>
          <w:rFonts w:hint="eastAsia" w:ascii="黑体" w:hAnsi="黑体" w:eastAsia="黑体" w:cs="黑体"/>
          <w:sz w:val="32"/>
          <w:szCs w:val="32"/>
        </w:rPr>
      </w:pPr>
    </w:p>
    <w:p>
      <w:pPr>
        <w:spacing w:line="578" w:lineRule="exact"/>
        <w:ind w:firstLine="640" w:firstLineChars="200"/>
        <w:rPr>
          <w:rFonts w:hint="eastAsia" w:ascii="黑体" w:hAnsi="黑体" w:eastAsia="黑体" w:cs="黑体"/>
          <w:sz w:val="32"/>
          <w:szCs w:val="32"/>
        </w:rPr>
      </w:pPr>
      <w:bookmarkStart w:id="14" w:name="_Toc17796_WPSOffice_Level2"/>
      <w:bookmarkStart w:id="15" w:name="_Toc24474_WPSOffice_Level2"/>
      <w:bookmarkStart w:id="16" w:name="_Toc4833_WPSOffice_Level2"/>
      <w:bookmarkStart w:id="17" w:name="_Toc6572_WPSOffice_Level2"/>
      <w:bookmarkStart w:id="18" w:name="_Toc24059_WPSOffice_Level2"/>
      <w:r>
        <w:rPr>
          <w:rFonts w:hint="eastAsia" w:ascii="黑体" w:hAnsi="黑体" w:eastAsia="黑体" w:cs="黑体"/>
          <w:sz w:val="32"/>
          <w:szCs w:val="32"/>
        </w:rPr>
        <w:t>二、机构设置</w:t>
      </w:r>
      <w:bookmarkEnd w:id="14"/>
      <w:bookmarkEnd w:id="15"/>
      <w:bookmarkEnd w:id="16"/>
      <w:bookmarkEnd w:id="17"/>
      <w:bookmarkEnd w:id="18"/>
    </w:p>
    <w:p>
      <w:pPr>
        <w:keepNext w:val="0"/>
        <w:keepLines w:val="0"/>
        <w:widowControl/>
        <w:suppressLineNumbers w:val="0"/>
        <w:spacing w:before="100" w:beforeAutospacing="1" w:after="100" w:afterAutospacing="1"/>
        <w:ind w:left="0" w:right="0" w:firstLine="640" w:firstLineChars="200"/>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纳入屯昌县202</w:t>
      </w:r>
      <w:r>
        <w:rPr>
          <w:rFonts w:hint="eastAsia" w:ascii="仿宋_GB2312" w:hAnsi="ˎ̥" w:eastAsia="仿宋_GB2312" w:cs="仿宋_GB2312"/>
          <w:kern w:val="0"/>
          <w:sz w:val="32"/>
          <w:szCs w:val="32"/>
          <w:lang w:val="en-US" w:eastAsia="zh-CN"/>
        </w:rPr>
        <w:t>3</w:t>
      </w:r>
      <w:r>
        <w:rPr>
          <w:rFonts w:hint="default" w:ascii="仿宋_GB2312" w:hAnsi="ˎ̥" w:eastAsia="仿宋_GB2312" w:cs="仿宋_GB2312"/>
          <w:kern w:val="0"/>
          <w:sz w:val="32"/>
          <w:szCs w:val="32"/>
        </w:rPr>
        <w:t>年度</w:t>
      </w:r>
      <w:r>
        <w:rPr>
          <w:rFonts w:hint="eastAsia" w:ascii="仿宋_GB2312" w:hAnsi="ˎ̥" w:eastAsia="仿宋_GB2312" w:cs="仿宋_GB2312"/>
          <w:kern w:val="0"/>
          <w:sz w:val="32"/>
          <w:szCs w:val="32"/>
          <w:lang w:eastAsia="zh-CN"/>
        </w:rPr>
        <w:t>单位</w:t>
      </w:r>
      <w:r>
        <w:rPr>
          <w:rFonts w:hint="default" w:ascii="仿宋_GB2312" w:hAnsi="ˎ̥" w:eastAsia="仿宋_GB2312" w:cs="仿宋_GB2312"/>
          <w:kern w:val="0"/>
          <w:sz w:val="32"/>
          <w:szCs w:val="32"/>
        </w:rPr>
        <w:t>决算编制范围的二级预算单位包括：</w:t>
      </w:r>
    </w:p>
    <w:p>
      <w:pPr>
        <w:keepNext w:val="0"/>
        <w:keepLines w:val="0"/>
        <w:widowControl/>
        <w:suppressLineNumbers w:val="0"/>
        <w:spacing w:before="0" w:beforeAutospacing="0" w:after="100" w:afterAutospacing="1"/>
        <w:ind w:left="0" w:right="0" w:firstLine="640" w:firstLineChars="200"/>
        <w:jc w:val="left"/>
        <w:rPr>
          <w:rFonts w:hint="eastAsia" w:ascii="楷体" w:hAnsi="楷体" w:eastAsia="楷体" w:cs="楷体"/>
          <w:kern w:val="0"/>
          <w:sz w:val="32"/>
          <w:szCs w:val="32"/>
          <w:shd w:val="clear" w:color="auto" w:fill="FFFFFF"/>
        </w:rPr>
      </w:pPr>
      <w:r>
        <w:rPr>
          <w:rFonts w:hint="eastAsia" w:ascii="楷体" w:hAnsi="楷体" w:eastAsia="楷体" w:cs="楷体"/>
          <w:kern w:val="0"/>
          <w:sz w:val="32"/>
          <w:szCs w:val="32"/>
          <w:shd w:val="clear" w:color="auto" w:fill="FFFFFF"/>
        </w:rPr>
        <w:t>（一）屯昌县幼儿园</w:t>
      </w:r>
      <w:r>
        <w:rPr>
          <w:rFonts w:hint="eastAsia" w:ascii="楷体" w:hAnsi="楷体" w:eastAsia="楷体" w:cs="楷体"/>
          <w:kern w:val="0"/>
          <w:sz w:val="32"/>
          <w:szCs w:val="32"/>
          <w:shd w:val="clear" w:color="auto" w:fill="FFFFFF"/>
          <w:lang w:eastAsia="zh-CN"/>
        </w:rPr>
        <w:t>单位</w:t>
      </w:r>
      <w:r>
        <w:rPr>
          <w:rFonts w:hint="eastAsia" w:ascii="楷体" w:hAnsi="楷体" w:eastAsia="楷体" w:cs="楷体"/>
          <w:kern w:val="0"/>
          <w:sz w:val="32"/>
          <w:szCs w:val="32"/>
          <w:shd w:val="clear" w:color="auto" w:fill="FFFFFF"/>
        </w:rPr>
        <w:t>本级</w:t>
      </w:r>
    </w:p>
    <w:p>
      <w:pPr>
        <w:spacing w:line="578" w:lineRule="exact"/>
        <w:jc w:val="center"/>
        <w:rPr>
          <w:rFonts w:hint="eastAsia" w:ascii="黑体" w:hAnsi="ˎ̥" w:eastAsia="黑体"/>
          <w:sz w:val="32"/>
          <w:szCs w:val="32"/>
        </w:rPr>
      </w:pPr>
      <w:bookmarkStart w:id="19" w:name="_Toc28253_WPSOffice_Level1"/>
      <w:bookmarkStart w:id="20" w:name="_Toc30451_WPSOffice_Level1"/>
      <w:bookmarkStart w:id="21" w:name="_Toc30690_WPSOffice_Level1"/>
      <w:bookmarkStart w:id="22" w:name="_Toc8164_WPSOffice_Level1"/>
      <w:bookmarkStart w:id="23" w:name="_Toc15521_WPSOffice_Level1"/>
      <w:bookmarkStart w:id="24" w:name="_Toc6234_WPSOffice_Level1"/>
      <w:bookmarkStart w:id="25" w:name="_Toc32472_WPSOffice_Level2"/>
      <w:bookmarkStart w:id="26" w:name="_Toc6211_WPSOffice_Level2"/>
      <w:bookmarkStart w:id="27" w:name="_Toc32695_WPSOffice_Level2"/>
      <w:bookmarkStart w:id="28" w:name="_Toc4029_WPSOffice_Level2"/>
      <w:bookmarkStart w:id="29" w:name="_Toc11518_WPSOffice_Level2"/>
      <w:bookmarkStart w:id="30" w:name="_Toc8867_WPSOffice_Level2"/>
    </w:p>
    <w:p>
      <w:pPr>
        <w:spacing w:line="578" w:lineRule="exact"/>
        <w:jc w:val="center"/>
        <w:rPr>
          <w:rFonts w:hint="eastAsia" w:ascii="黑体" w:hAnsi="ˎ̥" w:eastAsia="黑体"/>
          <w:sz w:val="32"/>
          <w:szCs w:val="32"/>
        </w:rPr>
      </w:pPr>
    </w:p>
    <w:p>
      <w:pPr>
        <w:spacing w:line="578" w:lineRule="exact"/>
        <w:jc w:val="center"/>
        <w:rPr>
          <w:rFonts w:hint="eastAsia" w:ascii="黑体" w:hAnsi="ˎ̥" w:eastAsia="黑体"/>
          <w:sz w:val="32"/>
          <w:szCs w:val="32"/>
        </w:rPr>
      </w:pPr>
    </w:p>
    <w:p>
      <w:pPr>
        <w:spacing w:line="578" w:lineRule="exact"/>
        <w:jc w:val="center"/>
        <w:rPr>
          <w:rFonts w:hint="eastAsia" w:ascii="黑体" w:hAnsi="ˎ̥" w:eastAsia="黑体"/>
          <w:sz w:val="32"/>
          <w:szCs w:val="32"/>
        </w:rPr>
      </w:pPr>
    </w:p>
    <w:p>
      <w:pPr>
        <w:spacing w:line="578" w:lineRule="exact"/>
        <w:jc w:val="center"/>
        <w:rPr>
          <w:rFonts w:hint="eastAsia" w:ascii="黑体" w:hAnsi="ˎ̥" w:eastAsia="黑体"/>
          <w:sz w:val="32"/>
          <w:szCs w:val="32"/>
        </w:rPr>
      </w:pPr>
    </w:p>
    <w:p>
      <w:pPr>
        <w:spacing w:line="578" w:lineRule="exact"/>
        <w:jc w:val="center"/>
        <w:rPr>
          <w:rFonts w:hint="eastAsia" w:ascii="黑体" w:hAnsi="ˎ̥" w:eastAsia="黑体"/>
          <w:sz w:val="32"/>
          <w:szCs w:val="32"/>
        </w:rPr>
      </w:pPr>
    </w:p>
    <w:p>
      <w:pPr>
        <w:spacing w:line="578" w:lineRule="exact"/>
        <w:jc w:val="center"/>
        <w:rPr>
          <w:rFonts w:hint="eastAsia" w:ascii="黑体" w:hAnsi="ˎ̥" w:eastAsia="黑体"/>
          <w:sz w:val="32"/>
          <w:szCs w:val="32"/>
        </w:rPr>
      </w:pPr>
    </w:p>
    <w:p>
      <w:pPr>
        <w:spacing w:line="578" w:lineRule="exact"/>
        <w:jc w:val="center"/>
        <w:rPr>
          <w:rFonts w:hint="eastAsia" w:ascii="黑体" w:hAnsi="ˎ̥" w:eastAsia="黑体"/>
          <w:sz w:val="32"/>
          <w:szCs w:val="32"/>
        </w:rPr>
      </w:pPr>
    </w:p>
    <w:p>
      <w:pPr>
        <w:spacing w:line="578" w:lineRule="exact"/>
        <w:jc w:val="center"/>
        <w:rPr>
          <w:rFonts w:hint="eastAsia" w:ascii="黑体" w:hAnsi="ˎ̥" w:eastAsia="黑体"/>
          <w:sz w:val="32"/>
          <w:szCs w:val="32"/>
        </w:rPr>
      </w:pPr>
    </w:p>
    <w:p>
      <w:pPr>
        <w:spacing w:line="578" w:lineRule="exact"/>
        <w:jc w:val="center"/>
        <w:rPr>
          <w:rFonts w:hint="eastAsia" w:ascii="黑体" w:hAnsi="ˎ̥" w:eastAsia="黑体"/>
          <w:sz w:val="32"/>
          <w:szCs w:val="32"/>
        </w:rPr>
      </w:pPr>
    </w:p>
    <w:p>
      <w:pPr>
        <w:spacing w:line="578" w:lineRule="exact"/>
        <w:jc w:val="center"/>
        <w:rPr>
          <w:rFonts w:hint="eastAsia" w:ascii="黑体" w:hAnsi="ˎ̥" w:eastAsia="黑体"/>
          <w:sz w:val="32"/>
          <w:szCs w:val="32"/>
        </w:rPr>
      </w:pPr>
    </w:p>
    <w:p>
      <w:pPr>
        <w:spacing w:line="578" w:lineRule="exact"/>
        <w:jc w:val="center"/>
        <w:rPr>
          <w:rFonts w:hint="eastAsia" w:ascii="黑体" w:hAnsi="ˎ̥" w:eastAsia="黑体"/>
          <w:sz w:val="32"/>
          <w:szCs w:val="32"/>
        </w:rPr>
      </w:pPr>
    </w:p>
    <w:p>
      <w:pPr>
        <w:spacing w:line="578" w:lineRule="exact"/>
        <w:jc w:val="center"/>
        <w:rPr>
          <w:rFonts w:hint="eastAsia" w:ascii="黑体" w:hAnsi="ˎ̥" w:eastAsia="黑体"/>
          <w:sz w:val="32"/>
          <w:szCs w:val="32"/>
        </w:rPr>
      </w:pP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w:t>
      </w:r>
      <w:r>
        <w:rPr>
          <w:rFonts w:hint="eastAsia" w:ascii="黑体" w:hAnsi="ˎ̥" w:eastAsia="黑体"/>
          <w:sz w:val="32"/>
          <w:szCs w:val="32"/>
          <w:lang w:eastAsia="zh-CN"/>
        </w:rPr>
        <w:t>单位</w:t>
      </w:r>
      <w:r>
        <w:rPr>
          <w:rFonts w:hint="eastAsia" w:ascii="黑体" w:hAnsi="ˎ̥" w:eastAsia="黑体"/>
          <w:sz w:val="32"/>
          <w:szCs w:val="32"/>
        </w:rPr>
        <w:t>决算公开报表</w:t>
      </w:r>
      <w:bookmarkEnd w:id="19"/>
      <w:bookmarkEnd w:id="20"/>
      <w:bookmarkEnd w:id="21"/>
      <w:bookmarkEnd w:id="22"/>
      <w:bookmarkEnd w:id="23"/>
      <w:bookmarkEnd w:id="24"/>
    </w:p>
    <w:p>
      <w:pPr>
        <w:spacing w:line="578" w:lineRule="exact"/>
        <w:ind w:firstLine="645"/>
        <w:rPr>
          <w:rFonts w:hint="eastAsia" w:ascii="黑体" w:hAnsi="黑体" w:eastAsia="黑体" w:cs="黑体"/>
          <w:sz w:val="32"/>
          <w:szCs w:val="32"/>
        </w:rPr>
      </w:pPr>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一、收入支出决算公开表</w:t>
      </w:r>
      <w:bookmarkEnd w:id="25"/>
      <w:bookmarkEnd w:id="26"/>
      <w:bookmarkEnd w:id="27"/>
      <w:bookmarkEnd w:id="28"/>
      <w:bookmarkEnd w:id="29"/>
      <w:bookmarkEnd w:id="30"/>
    </w:p>
    <w:p>
      <w:pPr>
        <w:spacing w:line="578" w:lineRule="exact"/>
        <w:ind w:firstLine="645"/>
        <w:rPr>
          <w:rFonts w:hint="eastAsia" w:ascii="黑体" w:hAnsi="黑体" w:eastAsia="黑体" w:cs="黑体"/>
          <w:sz w:val="32"/>
          <w:szCs w:val="32"/>
        </w:rPr>
      </w:pPr>
      <w:bookmarkStart w:id="31" w:name="_Toc30334_WPSOffice_Level2"/>
      <w:bookmarkStart w:id="32" w:name="_Toc28622_WPSOffice_Level2"/>
      <w:bookmarkStart w:id="33" w:name="_Toc23139_WPSOffice_Level2"/>
      <w:bookmarkStart w:id="34" w:name="_Toc14349_WPSOffice_Level2"/>
      <w:bookmarkStart w:id="35" w:name="_Toc26621_WPSOffice_Level2"/>
      <w:bookmarkStart w:id="36" w:name="_Toc25608_WPSOffice_Level2"/>
      <w:r>
        <w:rPr>
          <w:rFonts w:hint="eastAsia" w:ascii="黑体" w:hAnsi="黑体" w:eastAsia="黑体" w:cs="黑体"/>
          <w:sz w:val="32"/>
          <w:szCs w:val="32"/>
        </w:rPr>
        <w:t>二、收入决算公开表</w:t>
      </w:r>
      <w:bookmarkEnd w:id="31"/>
      <w:bookmarkEnd w:id="32"/>
      <w:bookmarkEnd w:id="33"/>
      <w:bookmarkEnd w:id="34"/>
      <w:bookmarkEnd w:id="35"/>
      <w:bookmarkEnd w:id="36"/>
      <w:bookmarkStart w:id="37" w:name="_Toc5489_WPSOffice_Level2"/>
      <w:bookmarkStart w:id="38" w:name="_Toc14658_WPSOffice_Level2"/>
      <w:bookmarkStart w:id="39" w:name="_Toc17858_WPSOffice_Level2"/>
      <w:bookmarkStart w:id="40" w:name="_Toc17626_WPSOffice_Level2"/>
      <w:bookmarkStart w:id="41" w:name="_Toc3262_WPSOffice_Level2"/>
      <w:bookmarkStart w:id="42" w:name="_Toc13854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三、支出决算公开表</w:t>
      </w:r>
      <w:bookmarkEnd w:id="37"/>
      <w:bookmarkEnd w:id="38"/>
      <w:bookmarkEnd w:id="39"/>
      <w:bookmarkEnd w:id="40"/>
      <w:bookmarkEnd w:id="41"/>
      <w:bookmarkEnd w:id="42"/>
      <w:bookmarkStart w:id="43" w:name="_Toc4265_WPSOffice_Level2"/>
      <w:bookmarkStart w:id="44" w:name="_Toc23591_WPSOffice_Level2"/>
      <w:bookmarkStart w:id="45" w:name="_Toc23493_WPSOffice_Level2"/>
      <w:bookmarkStart w:id="46" w:name="_Toc21415_WPSOffice_Level2"/>
      <w:bookmarkStart w:id="47" w:name="_Toc13701_WPSOffice_Level2"/>
      <w:bookmarkStart w:id="48" w:name="_Toc7988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四、财政拨款收入支出决算公开表</w:t>
      </w:r>
      <w:bookmarkEnd w:id="43"/>
      <w:bookmarkEnd w:id="44"/>
      <w:bookmarkEnd w:id="45"/>
      <w:bookmarkEnd w:id="46"/>
      <w:bookmarkEnd w:id="47"/>
      <w:bookmarkEnd w:id="48"/>
    </w:p>
    <w:p>
      <w:pPr>
        <w:spacing w:line="578" w:lineRule="exact"/>
        <w:ind w:firstLine="645"/>
        <w:rPr>
          <w:rFonts w:hint="eastAsia" w:ascii="黑体" w:hAnsi="黑体" w:eastAsia="黑体" w:cs="黑体"/>
          <w:sz w:val="32"/>
          <w:szCs w:val="32"/>
        </w:rPr>
      </w:pPr>
      <w:bookmarkStart w:id="49" w:name="_Toc22783_WPSOffice_Level2"/>
      <w:bookmarkStart w:id="50" w:name="_Toc7879_WPSOffice_Level2"/>
      <w:bookmarkStart w:id="51" w:name="_Toc25166_WPSOffice_Level2"/>
      <w:bookmarkStart w:id="52" w:name="_Toc23829_WPSOffice_Level2"/>
      <w:bookmarkStart w:id="53" w:name="_Toc2158_WPSOffice_Level2"/>
      <w:bookmarkStart w:id="54" w:name="_Toc13516_WPSOffice_Level2"/>
      <w:r>
        <w:rPr>
          <w:rFonts w:hint="eastAsia" w:ascii="黑体" w:hAnsi="黑体" w:eastAsia="黑体" w:cs="黑体"/>
          <w:sz w:val="32"/>
          <w:szCs w:val="32"/>
        </w:rPr>
        <w:t>五、一般公共预算财政拨款收入支出决算</w:t>
      </w:r>
      <w:bookmarkEnd w:id="49"/>
      <w:bookmarkEnd w:id="50"/>
      <w:bookmarkEnd w:id="51"/>
      <w:bookmarkEnd w:id="52"/>
      <w:r>
        <w:rPr>
          <w:rFonts w:hint="eastAsia" w:ascii="黑体" w:hAnsi="黑体" w:eastAsia="黑体" w:cs="黑体"/>
          <w:sz w:val="32"/>
          <w:szCs w:val="32"/>
        </w:rPr>
        <w:t>公开表</w:t>
      </w:r>
      <w:bookmarkEnd w:id="53"/>
      <w:bookmarkEnd w:id="54"/>
      <w:bookmarkStart w:id="55" w:name="_Toc25362_WPSOffice_Level2"/>
      <w:bookmarkStart w:id="56" w:name="_Toc17283_WPSOffice_Level2"/>
      <w:bookmarkStart w:id="57" w:name="_Toc5343_WPSOffice_Level2"/>
      <w:bookmarkStart w:id="58" w:name="_Toc8373_WPSOffice_Level2"/>
      <w:bookmarkStart w:id="59" w:name="_Toc2632_WPSOffice_Level2"/>
      <w:bookmarkStart w:id="60" w:name="_Toc17833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六、一般公共预算财政拨款基本支出决算</w:t>
      </w:r>
      <w:bookmarkEnd w:id="55"/>
      <w:bookmarkEnd w:id="56"/>
      <w:bookmarkEnd w:id="57"/>
      <w:bookmarkEnd w:id="58"/>
      <w:bookmarkEnd w:id="59"/>
      <w:bookmarkEnd w:id="60"/>
      <w:r>
        <w:rPr>
          <w:rFonts w:hint="eastAsia" w:ascii="黑体" w:hAnsi="黑体" w:eastAsia="黑体" w:cs="黑体"/>
          <w:sz w:val="32"/>
          <w:szCs w:val="32"/>
        </w:rPr>
        <w:t>公开表</w:t>
      </w:r>
    </w:p>
    <w:p>
      <w:pPr>
        <w:spacing w:line="578" w:lineRule="exact"/>
        <w:ind w:left="1118" w:leftChars="304" w:hanging="480" w:hangingChars="150"/>
        <w:rPr>
          <w:rFonts w:hint="eastAsia" w:ascii="黑体" w:hAnsi="黑体" w:eastAsia="黑体" w:cs="黑体"/>
          <w:sz w:val="32"/>
          <w:szCs w:val="32"/>
        </w:rPr>
      </w:pPr>
      <w:bookmarkStart w:id="61" w:name="_Toc11799_WPSOffice_Level2"/>
      <w:bookmarkStart w:id="62" w:name="_Toc13345_WPSOffice_Level2"/>
      <w:bookmarkStart w:id="63" w:name="_Toc5594_WPSOffice_Level2"/>
      <w:bookmarkStart w:id="64" w:name="_Toc21310_WPSOffice_Level2"/>
      <w:bookmarkStart w:id="65" w:name="_Toc6020_WPSOffice_Level2"/>
      <w:bookmarkStart w:id="66" w:name="_Toc1533_WPSOffice_Level2"/>
      <w:r>
        <w:rPr>
          <w:rFonts w:hint="eastAsia" w:ascii="黑体" w:hAnsi="黑体" w:eastAsia="黑体" w:cs="黑体"/>
          <w:sz w:val="32"/>
          <w:szCs w:val="32"/>
        </w:rPr>
        <w:t>七、政府性基金预算财政拨款收入支出决算</w:t>
      </w:r>
      <w:bookmarkEnd w:id="61"/>
      <w:bookmarkEnd w:id="62"/>
      <w:bookmarkEnd w:id="63"/>
      <w:bookmarkEnd w:id="64"/>
      <w:bookmarkEnd w:id="65"/>
      <w:bookmarkEnd w:id="66"/>
      <w:r>
        <w:rPr>
          <w:rFonts w:hint="eastAsia" w:ascii="黑体" w:hAnsi="黑体" w:eastAsia="黑体" w:cs="黑体"/>
          <w:sz w:val="32"/>
          <w:szCs w:val="32"/>
        </w:rPr>
        <w:t>公开表</w:t>
      </w:r>
    </w:p>
    <w:p>
      <w:pPr>
        <w:spacing w:line="578" w:lineRule="exact"/>
        <w:ind w:left="1118" w:leftChars="304" w:hanging="480" w:hangingChars="150"/>
        <w:rPr>
          <w:rFonts w:hint="eastAsia" w:ascii="黑体" w:hAnsi="黑体" w:eastAsia="黑体" w:cs="黑体"/>
          <w:sz w:val="32"/>
          <w:szCs w:val="32"/>
        </w:rPr>
      </w:pPr>
      <w:r>
        <w:rPr>
          <w:rFonts w:hint="eastAsia" w:ascii="黑体" w:hAnsi="黑体" w:eastAsia="黑体" w:cs="黑体"/>
          <w:sz w:val="32"/>
          <w:szCs w:val="32"/>
        </w:rPr>
        <w:t>八、国有资本经营预算财政拨款收入支出决算公开表</w:t>
      </w:r>
    </w:p>
    <w:p>
      <w:pPr>
        <w:spacing w:line="578" w:lineRule="exact"/>
        <w:ind w:firstLine="640"/>
        <w:rPr>
          <w:rFonts w:hint="eastAsia" w:ascii="黑体" w:hAnsi="黑体" w:eastAsia="黑体" w:cs="黑体"/>
          <w:sz w:val="32"/>
          <w:szCs w:val="32"/>
        </w:rPr>
      </w:pPr>
      <w:bookmarkStart w:id="67" w:name="_Toc29886_WPSOffice_Level2"/>
      <w:bookmarkStart w:id="68" w:name="_Toc9377_WPSOffice_Level2"/>
      <w:bookmarkStart w:id="69" w:name="_Toc19961_WPSOffice_Level2"/>
      <w:bookmarkStart w:id="70" w:name="_Toc1820_WPSOffice_Level2"/>
      <w:r>
        <w:rPr>
          <w:rFonts w:hint="eastAsia" w:ascii="黑体" w:hAnsi="黑体" w:eastAsia="黑体" w:cs="黑体"/>
          <w:sz w:val="32"/>
          <w:szCs w:val="32"/>
        </w:rPr>
        <w:t>九、财政拨款“三公”经费支出决算</w:t>
      </w:r>
      <w:bookmarkEnd w:id="67"/>
      <w:bookmarkEnd w:id="68"/>
      <w:bookmarkEnd w:id="69"/>
      <w:bookmarkEnd w:id="70"/>
      <w:r>
        <w:rPr>
          <w:rFonts w:hint="eastAsia" w:ascii="黑体" w:hAnsi="黑体" w:eastAsia="黑体" w:cs="黑体"/>
          <w:sz w:val="32"/>
          <w:szCs w:val="32"/>
        </w:rPr>
        <w:t>公开表</w:t>
      </w:r>
    </w:p>
    <w:p>
      <w:pPr>
        <w:spacing w:line="578" w:lineRule="exact"/>
        <w:ind w:firstLine="640"/>
        <w:rPr>
          <w:rFonts w:hint="eastAsia" w:ascii="仿宋" w:hAnsi="仿宋" w:eastAsia="仿宋" w:cs="仿宋"/>
          <w:w w:val="100"/>
          <w:sz w:val="32"/>
          <w:szCs w:val="32"/>
        </w:rPr>
      </w:pPr>
      <w:r>
        <w:rPr>
          <w:rFonts w:hint="eastAsia" w:ascii="仿宋" w:hAnsi="仿宋" w:eastAsia="仿宋" w:cs="仿宋"/>
          <w:w w:val="100"/>
          <w:sz w:val="32"/>
          <w:szCs w:val="32"/>
        </w:rPr>
        <w:t xml:space="preserve">以上报表见附件1。   </w:t>
      </w:r>
    </w:p>
    <w:p>
      <w:pPr>
        <w:spacing w:line="578" w:lineRule="exact"/>
        <w:rPr>
          <w:rFonts w:hint="eastAsia" w:ascii="黑体" w:hAnsi="黑体" w:eastAsia="黑体" w:cs="黑体"/>
          <w:sz w:val="32"/>
          <w:szCs w:val="32"/>
        </w:rPr>
      </w:pPr>
    </w:p>
    <w:p>
      <w:pPr>
        <w:spacing w:line="578" w:lineRule="exact"/>
        <w:jc w:val="center"/>
        <w:rPr>
          <w:rFonts w:hint="eastAsia" w:ascii="黑体" w:hAnsi="ˎ̥" w:eastAsia="黑体"/>
          <w:sz w:val="32"/>
          <w:szCs w:val="32"/>
        </w:rPr>
      </w:pPr>
      <w:bookmarkStart w:id="71" w:name="_Toc4402_WPSOffice_Level1"/>
      <w:bookmarkStart w:id="72" w:name="_Toc29683_WPSOffice_Level1"/>
      <w:bookmarkStart w:id="73" w:name="_Toc16686_WPSOffice_Level1"/>
      <w:bookmarkStart w:id="74" w:name="_Toc31264_WPSOffice_Level1"/>
      <w:bookmarkStart w:id="75" w:name="_Toc27590_WPSOffice_Level1"/>
      <w:bookmarkStart w:id="76" w:name="_Toc28629_WPSOffice_Level1"/>
    </w:p>
    <w:p>
      <w:pPr>
        <w:spacing w:line="578" w:lineRule="exact"/>
        <w:jc w:val="center"/>
        <w:rPr>
          <w:rFonts w:hint="eastAsia" w:ascii="黑体" w:hAnsi="ˎ̥" w:eastAsia="黑体"/>
          <w:sz w:val="32"/>
          <w:szCs w:val="32"/>
        </w:rPr>
      </w:pPr>
    </w:p>
    <w:p>
      <w:pPr>
        <w:spacing w:line="578" w:lineRule="exact"/>
        <w:jc w:val="center"/>
        <w:rPr>
          <w:rFonts w:hint="eastAsia" w:ascii="黑体" w:hAnsi="ˎ̥" w:eastAsia="黑体"/>
          <w:sz w:val="32"/>
          <w:szCs w:val="32"/>
        </w:rPr>
      </w:pPr>
    </w:p>
    <w:p>
      <w:pPr>
        <w:spacing w:line="578" w:lineRule="exact"/>
        <w:jc w:val="center"/>
        <w:rPr>
          <w:rFonts w:hint="eastAsia" w:ascii="黑体" w:hAnsi="ˎ̥" w:eastAsia="黑体"/>
          <w:sz w:val="32"/>
          <w:szCs w:val="32"/>
        </w:rPr>
      </w:pPr>
    </w:p>
    <w:p>
      <w:pPr>
        <w:spacing w:line="578" w:lineRule="exact"/>
        <w:jc w:val="center"/>
        <w:rPr>
          <w:rFonts w:hint="eastAsia" w:ascii="黑体" w:hAnsi="ˎ̥" w:eastAsia="黑体"/>
          <w:sz w:val="32"/>
          <w:szCs w:val="32"/>
        </w:rPr>
      </w:pPr>
    </w:p>
    <w:p>
      <w:pPr>
        <w:spacing w:line="578" w:lineRule="exact"/>
        <w:jc w:val="center"/>
        <w:rPr>
          <w:rFonts w:hint="eastAsia" w:ascii="黑体" w:hAnsi="ˎ̥" w:eastAsia="黑体"/>
          <w:sz w:val="32"/>
          <w:szCs w:val="32"/>
        </w:rPr>
      </w:pPr>
    </w:p>
    <w:p>
      <w:pPr>
        <w:spacing w:line="578" w:lineRule="exact"/>
        <w:jc w:val="center"/>
        <w:rPr>
          <w:rFonts w:hint="eastAsia" w:ascii="黑体" w:hAnsi="ˎ̥" w:eastAsia="黑体"/>
          <w:sz w:val="32"/>
          <w:szCs w:val="32"/>
        </w:rPr>
      </w:pPr>
    </w:p>
    <w:p>
      <w:pPr>
        <w:spacing w:line="578" w:lineRule="exact"/>
        <w:jc w:val="center"/>
        <w:rPr>
          <w:rFonts w:hint="eastAsia" w:ascii="黑体" w:hAnsi="ˎ̥" w:eastAsia="黑体"/>
          <w:sz w:val="32"/>
          <w:szCs w:val="32"/>
        </w:rPr>
      </w:pPr>
    </w:p>
    <w:p>
      <w:pPr>
        <w:spacing w:line="578" w:lineRule="exact"/>
        <w:jc w:val="center"/>
        <w:rPr>
          <w:rFonts w:hint="eastAsia" w:ascii="黑体" w:hAnsi="ˎ̥" w:eastAsia="黑体"/>
          <w:sz w:val="32"/>
          <w:szCs w:val="32"/>
        </w:rPr>
      </w:pPr>
    </w:p>
    <w:p>
      <w:pPr>
        <w:spacing w:line="578" w:lineRule="exact"/>
        <w:jc w:val="center"/>
        <w:rPr>
          <w:rFonts w:hint="eastAsia" w:ascii="黑体" w:hAnsi="ˎ̥" w:eastAsia="黑体"/>
          <w:sz w:val="32"/>
          <w:szCs w:val="32"/>
        </w:rPr>
      </w:pPr>
      <w:r>
        <w:rPr>
          <w:rFonts w:hint="eastAsia" w:ascii="黑体" w:hAnsi="ˎ̥" w:eastAsia="黑体"/>
          <w:sz w:val="32"/>
          <w:szCs w:val="32"/>
        </w:rPr>
        <w:t xml:space="preserve">第三部分  </w:t>
      </w:r>
      <w:r>
        <w:rPr>
          <w:rFonts w:hint="default" w:ascii="黑体" w:hAnsi="ˎ̥" w:eastAsia="黑体"/>
          <w:sz w:val="32"/>
          <w:szCs w:val="32"/>
          <w:lang w:val="en-US"/>
        </w:rPr>
        <w:t>2024</w:t>
      </w:r>
      <w:r>
        <w:rPr>
          <w:rFonts w:hint="eastAsia" w:ascii="黑体" w:hAnsi="ˎ̥" w:eastAsia="黑体"/>
          <w:sz w:val="32"/>
          <w:szCs w:val="32"/>
        </w:rPr>
        <w:t>年度</w:t>
      </w:r>
      <w:r>
        <w:rPr>
          <w:rFonts w:hint="eastAsia" w:ascii="黑体" w:hAnsi="ˎ̥" w:eastAsia="黑体"/>
          <w:sz w:val="32"/>
          <w:szCs w:val="32"/>
          <w:lang w:eastAsia="zh-CN"/>
        </w:rPr>
        <w:t>单位</w:t>
      </w:r>
      <w:r>
        <w:rPr>
          <w:rFonts w:hint="eastAsia" w:ascii="黑体" w:hAnsi="ˎ̥" w:eastAsia="黑体"/>
          <w:sz w:val="32"/>
          <w:szCs w:val="32"/>
        </w:rPr>
        <w:t>决算情况说明</w:t>
      </w:r>
      <w:bookmarkEnd w:id="71"/>
      <w:bookmarkEnd w:id="72"/>
      <w:bookmarkEnd w:id="73"/>
      <w:bookmarkEnd w:id="74"/>
      <w:bookmarkEnd w:id="75"/>
      <w:bookmarkEnd w:id="76"/>
    </w:p>
    <w:p>
      <w:pPr>
        <w:spacing w:line="578" w:lineRule="exact"/>
        <w:jc w:val="center"/>
        <w:rPr>
          <w:rFonts w:hint="eastAsia" w:ascii="黑体" w:hAnsi="ˎ̥" w:eastAsia="黑体"/>
          <w:sz w:val="32"/>
          <w:szCs w:val="32"/>
        </w:rPr>
      </w:pPr>
    </w:p>
    <w:p>
      <w:pPr>
        <w:keepNext w:val="0"/>
        <w:keepLines w:val="0"/>
        <w:pageBreakBefore w:val="0"/>
        <w:widowControl w:val="0"/>
        <w:numPr>
          <w:ilvl w:val="0"/>
          <w:numId w:val="3"/>
        </w:numPr>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cs="仿宋_GB2312"/>
          <w:color w:val="auto"/>
          <w:kern w:val="0"/>
          <w:sz w:val="32"/>
          <w:szCs w:val="32"/>
        </w:rPr>
      </w:pPr>
      <w:r>
        <w:rPr>
          <w:rFonts w:hint="eastAsia" w:ascii="黑体" w:hAnsi="黑体" w:eastAsia="黑体" w:cs="黑体"/>
          <w:bCs/>
          <w:sz w:val="32"/>
          <w:szCs w:val="32"/>
        </w:rPr>
        <w:t>收入支出总体情况说明</w:t>
      </w:r>
      <w:r>
        <w:rPr>
          <w:rFonts w:hint="eastAsia" w:ascii="黑体" w:hAnsi="黑体" w:eastAsia="黑体" w:cs="黑体"/>
          <w:bCs/>
          <w:sz w:val="32"/>
          <w:szCs w:val="32"/>
        </w:rPr>
        <w:br w:type="textWrapping"/>
      </w:r>
      <w:r>
        <w:rPr>
          <w:rFonts w:hint="eastAsia" w:ascii="楷体_GB2312" w:hAnsi="ˎ̥" w:eastAsia="楷体_GB2312"/>
          <w:sz w:val="32"/>
          <w:szCs w:val="32"/>
        </w:rPr>
        <w:t xml:space="preserve">  </w:t>
      </w:r>
      <w:r>
        <w:rPr>
          <w:rFonts w:hint="eastAsia" w:ascii="楷体_GB2312" w:hAnsi="ˎ̥" w:eastAsia="楷体_GB2312"/>
          <w:color w:val="auto"/>
          <w:sz w:val="32"/>
          <w:szCs w:val="32"/>
        </w:rPr>
        <w:t xml:space="preserve">  </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年度收入总计</w:t>
      </w:r>
      <w:r>
        <w:rPr>
          <w:rFonts w:hint="default" w:ascii="仿宋_GB2312" w:hAnsi="ˎ̥" w:eastAsia="仿宋_GB2312"/>
          <w:color w:val="auto"/>
          <w:sz w:val="32"/>
          <w:szCs w:val="32"/>
          <w:lang w:val="en-US"/>
        </w:rPr>
        <w:t>952.70</w:t>
      </w:r>
      <w:r>
        <w:rPr>
          <w:rFonts w:hint="eastAsia" w:ascii="仿宋_GB2312" w:hAnsi="ˎ̥" w:eastAsia="仿宋_GB2312"/>
          <w:color w:val="auto"/>
          <w:sz w:val="32"/>
          <w:szCs w:val="32"/>
        </w:rPr>
        <w:t>万元，支出总计</w:t>
      </w:r>
      <w:r>
        <w:rPr>
          <w:rFonts w:hint="default" w:ascii="仿宋_GB2312" w:hAnsi="ˎ̥" w:eastAsia="仿宋_GB2312"/>
          <w:color w:val="auto"/>
          <w:sz w:val="32"/>
          <w:szCs w:val="32"/>
          <w:lang w:val="en-US"/>
        </w:rPr>
        <w:t>952.70</w:t>
      </w:r>
      <w:r>
        <w:rPr>
          <w:rFonts w:hint="eastAsia" w:ascii="仿宋_GB2312" w:hAnsi="ˎ̥" w:eastAsia="仿宋_GB2312"/>
          <w:color w:val="auto"/>
          <w:sz w:val="32"/>
          <w:szCs w:val="32"/>
        </w:rPr>
        <w:t>万元，与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年度相比，收入、支出总计各减少</w:t>
      </w:r>
      <w:r>
        <w:rPr>
          <w:rFonts w:hint="eastAsia" w:ascii="仿宋_GB2312" w:hAnsi="ˎ̥" w:eastAsia="仿宋_GB2312"/>
          <w:color w:val="auto"/>
          <w:sz w:val="32"/>
          <w:szCs w:val="32"/>
          <w:lang w:val="en-US" w:eastAsia="zh-CN"/>
        </w:rPr>
        <w:t>24.22</w:t>
      </w:r>
      <w:r>
        <w:rPr>
          <w:rFonts w:hint="eastAsia" w:ascii="仿宋_GB2312" w:hAnsi="ˎ̥" w:eastAsia="仿宋_GB2312"/>
          <w:color w:val="auto"/>
          <w:sz w:val="32"/>
          <w:szCs w:val="32"/>
        </w:rPr>
        <w:t>万元，下降</w:t>
      </w:r>
      <w:r>
        <w:rPr>
          <w:rFonts w:hint="eastAsia" w:ascii="仿宋_GB2312" w:hAnsi="ˎ̥" w:eastAsia="仿宋_GB2312"/>
          <w:color w:val="auto"/>
          <w:sz w:val="32"/>
          <w:szCs w:val="32"/>
          <w:lang w:val="en-US" w:eastAsia="zh-CN"/>
        </w:rPr>
        <w:t>2.48</w:t>
      </w:r>
      <w:r>
        <w:rPr>
          <w:rFonts w:hint="eastAsia" w:ascii="仿宋_GB2312" w:hAnsi="ˎ̥" w:eastAsia="仿宋_GB2312"/>
          <w:color w:val="auto"/>
          <w:sz w:val="32"/>
          <w:szCs w:val="32"/>
        </w:rPr>
        <w:t>%。</w:t>
      </w:r>
      <w:r>
        <w:rPr>
          <w:rFonts w:hint="default" w:ascii="仿宋_GB2312" w:hAnsi="ˎ̥" w:eastAsia="仿宋_GB2312" w:cs="仿宋_GB2312"/>
          <w:color w:val="auto"/>
          <w:kern w:val="0"/>
          <w:sz w:val="32"/>
          <w:szCs w:val="32"/>
        </w:rPr>
        <w:t>主要原因：是</w:t>
      </w:r>
      <w:r>
        <w:rPr>
          <w:rFonts w:hint="eastAsia" w:ascii="仿宋_GB2312" w:hAnsi="ˎ̥" w:eastAsia="仿宋_GB2312" w:cs="仿宋_GB2312"/>
          <w:color w:val="auto"/>
          <w:kern w:val="0"/>
          <w:sz w:val="32"/>
          <w:szCs w:val="32"/>
          <w:lang w:eastAsia="zh-CN"/>
        </w:rPr>
        <w:t>项目</w:t>
      </w:r>
      <w:r>
        <w:rPr>
          <w:rFonts w:hint="default" w:ascii="仿宋_GB2312" w:hAnsi="ˎ̥" w:eastAsia="仿宋_GB2312" w:cs="仿宋_GB2312"/>
          <w:color w:val="auto"/>
          <w:kern w:val="0"/>
          <w:sz w:val="32"/>
          <w:szCs w:val="32"/>
        </w:rPr>
        <w:t>支出</w:t>
      </w:r>
      <w:r>
        <w:rPr>
          <w:rFonts w:hint="eastAsia" w:ascii="仿宋_GB2312" w:hAnsi="ˎ̥" w:eastAsia="仿宋_GB2312" w:cs="仿宋_GB2312"/>
          <w:color w:val="auto"/>
          <w:kern w:val="0"/>
          <w:sz w:val="32"/>
          <w:szCs w:val="32"/>
          <w:lang w:eastAsia="zh-CN"/>
        </w:rPr>
        <w:t>减少</w:t>
      </w:r>
      <w:r>
        <w:rPr>
          <w:rFonts w:hint="default" w:ascii="仿宋_GB2312" w:hAnsi="ˎ̥" w:eastAsia="仿宋_GB2312" w:cs="仿宋_GB2312"/>
          <w:color w:val="auto"/>
          <w:kern w:val="0"/>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ascii="楷体" w:hAnsi="楷体" w:eastAsia="楷体" w:cs="楷体"/>
          <w:color w:val="auto"/>
          <w:sz w:val="32"/>
          <w:szCs w:val="32"/>
        </w:rPr>
      </w:pPr>
      <w:r>
        <w:rPr>
          <w:rFonts w:hint="eastAsia" w:ascii="楷体" w:hAnsi="楷体" w:eastAsia="楷体" w:cs="楷体"/>
          <w:color w:val="auto"/>
          <w:sz w:val="32"/>
          <w:szCs w:val="32"/>
          <w:lang w:val="en-US" w:eastAsia="zh-CN"/>
        </w:rPr>
        <w:t xml:space="preserve">  </w:t>
      </w:r>
      <w:r>
        <w:rPr>
          <w:rFonts w:hint="eastAsia" w:ascii="楷体" w:hAnsi="楷体" w:eastAsia="楷体" w:cs="楷体"/>
          <w:color w:val="auto"/>
          <w:sz w:val="32"/>
          <w:szCs w:val="32"/>
        </w:rPr>
        <w:t>（一</w:t>
      </w:r>
      <w:r>
        <w:rPr>
          <w:rFonts w:ascii="楷体" w:hAnsi="楷体" w:eastAsia="楷体" w:cs="楷体"/>
          <w:color w:val="auto"/>
          <w:sz w:val="32"/>
          <w:szCs w:val="32"/>
        </w:rPr>
        <w:t>）</w:t>
      </w:r>
      <w:r>
        <w:rPr>
          <w:rFonts w:hint="eastAsia" w:ascii="楷体" w:hAnsi="楷体" w:eastAsia="楷体" w:cs="楷体"/>
          <w:color w:val="auto"/>
          <w:sz w:val="32"/>
          <w:szCs w:val="32"/>
        </w:rPr>
        <w:t>收入</w:t>
      </w:r>
      <w:r>
        <w:rPr>
          <w:rFonts w:ascii="楷体" w:hAnsi="楷体" w:eastAsia="楷体" w:cs="楷体"/>
          <w:color w:val="auto"/>
          <w:sz w:val="32"/>
          <w:szCs w:val="32"/>
        </w:rPr>
        <w:t>总计</w:t>
      </w:r>
      <w:r>
        <w:rPr>
          <w:rFonts w:hint="eastAsia" w:ascii="楷体" w:hAnsi="楷体" w:eastAsia="楷体" w:cs="楷体"/>
          <w:color w:val="auto"/>
          <w:sz w:val="32"/>
          <w:szCs w:val="32"/>
        </w:rPr>
        <w:t>主要</w:t>
      </w:r>
      <w:r>
        <w:rPr>
          <w:rFonts w:ascii="楷体" w:hAnsi="楷体" w:eastAsia="楷体" w:cs="楷体"/>
          <w:color w:val="auto"/>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仿宋_GB2312" w:hAnsi="ˎ̥" w:eastAsia="仿宋_GB2312"/>
          <w:color w:val="auto"/>
          <w:sz w:val="32"/>
          <w:szCs w:val="32"/>
        </w:rPr>
        <w:t>本年</w:t>
      </w:r>
      <w:r>
        <w:rPr>
          <w:rFonts w:ascii="仿宋_GB2312" w:hAnsi="ˎ̥" w:eastAsia="仿宋_GB2312"/>
          <w:color w:val="auto"/>
          <w:sz w:val="32"/>
          <w:szCs w:val="32"/>
        </w:rPr>
        <w:t>收入</w:t>
      </w:r>
      <w:r>
        <w:rPr>
          <w:rFonts w:hint="default" w:ascii="仿宋_GB2312" w:hAnsi="ˎ̥" w:eastAsia="仿宋_GB2312"/>
          <w:color w:val="auto"/>
          <w:sz w:val="32"/>
          <w:szCs w:val="32"/>
          <w:lang w:val="en-US"/>
        </w:rPr>
        <w:t>952.69</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使用非财政拨款结余</w:t>
      </w:r>
      <w:r>
        <w:rPr>
          <w:rFonts w:hint="default" w:ascii="仿宋_GB2312" w:hAnsi="ˎ̥" w:eastAsia="仿宋_GB2312"/>
          <w:color w:val="auto"/>
          <w:sz w:val="32"/>
          <w:szCs w:val="32"/>
          <w:lang w:val="en-US"/>
        </w:rPr>
        <w:t>0.02</w:t>
      </w:r>
      <w:r>
        <w:rPr>
          <w:rFonts w:hint="eastAsia" w:ascii="仿宋_GB2312" w:hAnsi="ˎ̥" w:eastAsia="仿宋_GB2312"/>
          <w:color w:val="auto"/>
          <w:sz w:val="32"/>
          <w:szCs w:val="32"/>
        </w:rPr>
        <w:t>万元，</w:t>
      </w:r>
      <w:r>
        <w:rPr>
          <w:rFonts w:hint="default" w:ascii="仿宋_GB2312" w:hAnsi="ˎ̥" w:eastAsia="仿宋_GB2312" w:cs="仿宋_GB2312"/>
          <w:color w:val="auto"/>
          <w:kern w:val="0"/>
          <w:sz w:val="32"/>
          <w:szCs w:val="32"/>
        </w:rPr>
        <w:t>较202</w:t>
      </w:r>
      <w:r>
        <w:rPr>
          <w:rFonts w:hint="eastAsia" w:ascii="仿宋_GB2312" w:hAnsi="ˎ̥" w:eastAsia="仿宋_GB2312" w:cs="仿宋_GB2312"/>
          <w:color w:val="auto"/>
          <w:kern w:val="0"/>
          <w:sz w:val="32"/>
          <w:szCs w:val="32"/>
          <w:lang w:val="en-US" w:eastAsia="zh-CN"/>
        </w:rPr>
        <w:t>3</w:t>
      </w:r>
      <w:r>
        <w:rPr>
          <w:rFonts w:hint="default" w:ascii="仿宋_GB2312" w:hAnsi="ˎ̥" w:eastAsia="仿宋_GB2312" w:cs="仿宋_GB2312"/>
          <w:color w:val="auto"/>
          <w:kern w:val="0"/>
          <w:sz w:val="32"/>
          <w:szCs w:val="32"/>
        </w:rPr>
        <w:t>年度决算数</w:t>
      </w:r>
      <w:r>
        <w:rPr>
          <w:rFonts w:hint="eastAsia" w:ascii="仿宋_GB2312" w:hAnsi="ˎ̥" w:eastAsia="仿宋_GB2312" w:cs="仿宋_GB2312"/>
          <w:color w:val="auto"/>
          <w:kern w:val="0"/>
          <w:sz w:val="32"/>
          <w:szCs w:val="32"/>
          <w:lang w:eastAsia="zh-CN"/>
        </w:rPr>
        <w:t>增加</w:t>
      </w:r>
      <w:r>
        <w:rPr>
          <w:rFonts w:hint="eastAsia" w:ascii="仿宋_GB2312" w:hAnsi="ˎ̥" w:eastAsia="仿宋_GB2312" w:cs="仿宋_GB2312"/>
          <w:color w:val="auto"/>
          <w:kern w:val="0"/>
          <w:sz w:val="32"/>
          <w:szCs w:val="32"/>
          <w:lang w:val="en-US" w:eastAsia="zh-CN"/>
        </w:rPr>
        <w:t>0.01</w:t>
      </w:r>
      <w:r>
        <w:rPr>
          <w:rFonts w:hint="default" w:ascii="仿宋_GB2312" w:hAnsi="ˎ̥" w:eastAsia="仿宋_GB2312" w:cs="仿宋_GB2312"/>
          <w:color w:val="auto"/>
          <w:kern w:val="0"/>
          <w:sz w:val="32"/>
          <w:szCs w:val="32"/>
        </w:rPr>
        <w:t>万元，</w:t>
      </w:r>
      <w:r>
        <w:rPr>
          <w:rFonts w:hint="eastAsia" w:ascii="仿宋_GB2312" w:hAnsi="ˎ̥" w:eastAsia="仿宋_GB2312" w:cs="仿宋_GB2312"/>
          <w:color w:val="auto"/>
          <w:kern w:val="0"/>
          <w:sz w:val="32"/>
          <w:szCs w:val="32"/>
          <w:lang w:eastAsia="zh-CN"/>
        </w:rPr>
        <w:t>增加</w:t>
      </w:r>
      <w:r>
        <w:rPr>
          <w:rFonts w:hint="eastAsia" w:ascii="仿宋_GB2312" w:hAnsi="ˎ̥" w:eastAsia="仿宋_GB2312" w:cs="仿宋_GB2312"/>
          <w:color w:val="auto"/>
          <w:kern w:val="0"/>
          <w:sz w:val="32"/>
          <w:szCs w:val="32"/>
          <w:lang w:val="en-US" w:eastAsia="zh-CN"/>
        </w:rPr>
        <w:t>50%。</w:t>
      </w:r>
      <w:r>
        <w:rPr>
          <w:rFonts w:hint="default" w:ascii="仿宋_GB2312" w:hAnsi="ˎ̥" w:eastAsia="仿宋_GB2312" w:cs="仿宋_GB2312"/>
          <w:color w:val="auto"/>
          <w:kern w:val="0"/>
          <w:sz w:val="32"/>
          <w:szCs w:val="32"/>
        </w:rPr>
        <w:t>主要原因是</w:t>
      </w:r>
      <w:r>
        <w:rPr>
          <w:rFonts w:hint="eastAsia" w:ascii="仿宋_GB2312" w:hAnsi="ˎ̥" w:eastAsia="仿宋_GB2312" w:cs="仿宋_GB2312"/>
          <w:color w:val="auto"/>
          <w:kern w:val="0"/>
          <w:sz w:val="32"/>
          <w:szCs w:val="32"/>
          <w:lang w:eastAsia="zh-CN"/>
        </w:rPr>
        <w:t>利息收入盘活回收</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lang w:eastAsia="zh-CN"/>
        </w:rPr>
      </w:pPr>
      <w:r>
        <w:rPr>
          <w:rFonts w:hint="eastAsia" w:ascii="仿宋_GB2312" w:hAnsi="ˎ̥" w:eastAsia="仿宋_GB2312"/>
          <w:color w:val="auto"/>
          <w:sz w:val="32"/>
          <w:szCs w:val="32"/>
          <w:lang w:eastAsia="zh-CN"/>
        </w:rPr>
        <w:t>其他收入</w:t>
      </w:r>
      <w:r>
        <w:rPr>
          <w:rFonts w:hint="eastAsia" w:ascii="仿宋_GB2312" w:hAnsi="ˎ̥" w:eastAsia="仿宋_GB2312"/>
          <w:color w:val="auto"/>
          <w:sz w:val="32"/>
          <w:szCs w:val="32"/>
          <w:lang w:val="en-US" w:eastAsia="zh-CN"/>
        </w:rPr>
        <w:t>1万元，增加100%。</w:t>
      </w:r>
      <w:r>
        <w:rPr>
          <w:rFonts w:hint="default" w:ascii="仿宋_GB2312" w:hAnsi="ˎ̥" w:eastAsia="仿宋_GB2312" w:cs="仿宋_GB2312"/>
          <w:color w:val="auto"/>
          <w:kern w:val="0"/>
          <w:sz w:val="32"/>
          <w:szCs w:val="32"/>
        </w:rPr>
        <w:t>主要是</w:t>
      </w:r>
      <w:r>
        <w:rPr>
          <w:rFonts w:hint="eastAsia" w:ascii="仿宋_GB2312" w:hAnsi="ˎ̥" w:eastAsia="仿宋_GB2312" w:cs="仿宋_GB2312"/>
          <w:color w:val="auto"/>
          <w:kern w:val="0"/>
          <w:sz w:val="32"/>
          <w:szCs w:val="32"/>
          <w:lang w:eastAsia="zh-CN"/>
        </w:rPr>
        <w:t>基本户里转入教育局付的优秀幼儿园奖励基金，</w:t>
      </w:r>
      <w:r>
        <w:rPr>
          <w:rFonts w:hint="default" w:ascii="仿宋_GB2312" w:hAnsi="ˎ̥" w:eastAsia="仿宋_GB2312" w:cs="仿宋_GB2312"/>
          <w:color w:val="auto"/>
          <w:kern w:val="0"/>
          <w:sz w:val="32"/>
          <w:szCs w:val="32"/>
        </w:rPr>
        <w:t>较202</w:t>
      </w:r>
      <w:r>
        <w:rPr>
          <w:rFonts w:hint="eastAsia" w:ascii="仿宋_GB2312" w:hAnsi="ˎ̥" w:eastAsia="仿宋_GB2312" w:cs="仿宋_GB2312"/>
          <w:color w:val="auto"/>
          <w:kern w:val="0"/>
          <w:sz w:val="32"/>
          <w:szCs w:val="32"/>
          <w:lang w:val="en-US" w:eastAsia="zh-CN"/>
        </w:rPr>
        <w:t>3</w:t>
      </w:r>
      <w:r>
        <w:rPr>
          <w:rFonts w:hint="default" w:ascii="仿宋_GB2312" w:hAnsi="ˎ̥" w:eastAsia="仿宋_GB2312" w:cs="仿宋_GB2312"/>
          <w:color w:val="auto"/>
          <w:kern w:val="0"/>
          <w:sz w:val="32"/>
          <w:szCs w:val="32"/>
        </w:rPr>
        <w:t>年度决算数增加</w:t>
      </w:r>
      <w:r>
        <w:rPr>
          <w:rFonts w:hint="eastAsia" w:ascii="仿宋_GB2312" w:hAnsi="ˎ̥" w:eastAsia="仿宋_GB2312" w:cs="仿宋_GB2312"/>
          <w:color w:val="auto"/>
          <w:kern w:val="0"/>
          <w:sz w:val="32"/>
          <w:szCs w:val="32"/>
          <w:lang w:val="en-US" w:eastAsia="zh-CN"/>
        </w:rPr>
        <w:t>1</w:t>
      </w:r>
      <w:r>
        <w:rPr>
          <w:rFonts w:hint="default" w:ascii="仿宋_GB2312" w:hAnsi="ˎ̥" w:eastAsia="仿宋_GB2312" w:cs="仿宋_GB2312"/>
          <w:color w:val="auto"/>
          <w:kern w:val="0"/>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仿宋_GB2312" w:hAnsi="ˎ̥" w:eastAsia="仿宋_GB2312"/>
          <w:color w:val="auto"/>
          <w:sz w:val="32"/>
          <w:szCs w:val="32"/>
        </w:rPr>
        <w:t>年初结转结余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万元，主要是</w:t>
      </w:r>
      <w:r>
        <w:rPr>
          <w:rFonts w:hint="eastAsia" w:ascii="仿宋_GB2312" w:hAnsi="ˎ̥" w:eastAsia="仿宋_GB2312"/>
          <w:color w:val="auto"/>
          <w:sz w:val="32"/>
          <w:szCs w:val="32"/>
          <w:lang w:eastAsia="zh-CN"/>
        </w:rPr>
        <w:t>本年度结转结余</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lang w:eastAsia="zh-CN"/>
        </w:rPr>
      </w:pPr>
      <w:r>
        <w:rPr>
          <w:rFonts w:hint="eastAsia" w:ascii="楷体" w:hAnsi="楷体" w:eastAsia="楷体" w:cs="楷体"/>
          <w:color w:val="auto"/>
          <w:sz w:val="32"/>
          <w:szCs w:val="32"/>
        </w:rPr>
        <w:t>（二</w:t>
      </w:r>
      <w:r>
        <w:rPr>
          <w:rFonts w:ascii="楷体" w:hAnsi="楷体" w:eastAsia="楷体" w:cs="楷体"/>
          <w:color w:val="auto"/>
          <w:sz w:val="32"/>
          <w:szCs w:val="32"/>
        </w:rPr>
        <w:t>）</w:t>
      </w:r>
      <w:r>
        <w:rPr>
          <w:rFonts w:hint="eastAsia" w:ascii="楷体" w:hAnsi="楷体" w:eastAsia="楷体" w:cs="楷体"/>
          <w:color w:val="auto"/>
          <w:sz w:val="32"/>
          <w:szCs w:val="32"/>
        </w:rPr>
        <w:t>支出</w:t>
      </w:r>
      <w:r>
        <w:rPr>
          <w:rFonts w:ascii="楷体" w:hAnsi="楷体" w:eastAsia="楷体" w:cs="楷体"/>
          <w:color w:val="auto"/>
          <w:sz w:val="32"/>
          <w:szCs w:val="32"/>
        </w:rPr>
        <w:t>总计</w:t>
      </w:r>
      <w:r>
        <w:rPr>
          <w:rFonts w:hint="eastAsia" w:ascii="楷体" w:hAnsi="楷体" w:eastAsia="楷体" w:cs="楷体"/>
          <w:color w:val="auto"/>
          <w:sz w:val="32"/>
          <w:szCs w:val="32"/>
        </w:rPr>
        <w:t>主要</w:t>
      </w:r>
      <w:r>
        <w:rPr>
          <w:rFonts w:ascii="楷体" w:hAnsi="楷体" w:eastAsia="楷体" w:cs="楷体"/>
          <w:color w:val="auto"/>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本年支出</w:t>
      </w:r>
      <w:r>
        <w:rPr>
          <w:rFonts w:hint="default" w:ascii="仿宋_GB2312" w:hAnsi="ˎ̥" w:eastAsia="仿宋_GB2312"/>
          <w:color w:val="auto"/>
          <w:sz w:val="32"/>
          <w:szCs w:val="32"/>
          <w:lang w:val="en-US"/>
        </w:rPr>
        <w:t>951.70</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仿宋_GB2312" w:hAnsi="ˎ̥" w:eastAsia="仿宋_GB2312"/>
          <w:color w:val="auto"/>
          <w:sz w:val="32"/>
          <w:szCs w:val="32"/>
        </w:rPr>
        <w:t>结余分配</w:t>
      </w:r>
      <w:r>
        <w:rPr>
          <w:rFonts w:hint="default" w:ascii="仿宋_GB2312" w:hAnsi="ˎ̥" w:eastAsia="仿宋_GB2312"/>
          <w:color w:val="auto"/>
          <w:sz w:val="32"/>
          <w:szCs w:val="32"/>
          <w:lang w:val="en-US"/>
        </w:rPr>
        <w:t>1.00</w:t>
      </w:r>
      <w:r>
        <w:rPr>
          <w:rFonts w:hint="eastAsia" w:ascii="仿宋_GB2312" w:hAnsi="ˎ̥" w:eastAsia="仿宋_GB2312"/>
          <w:color w:val="auto"/>
          <w:sz w:val="32"/>
          <w:szCs w:val="32"/>
        </w:rPr>
        <w:t>万元，主要是</w:t>
      </w:r>
      <w:r>
        <w:rPr>
          <w:rFonts w:hint="eastAsia" w:ascii="仿宋_GB2312" w:hAnsi="ˎ̥" w:eastAsia="仿宋_GB2312"/>
          <w:color w:val="auto"/>
          <w:sz w:val="32"/>
          <w:szCs w:val="32"/>
          <w:lang w:eastAsia="zh-CN"/>
        </w:rPr>
        <w:t>该资金</w:t>
      </w:r>
      <w:r>
        <w:rPr>
          <w:rFonts w:hint="eastAsia" w:ascii="仿宋_GB2312" w:hAnsi="ˎ̥" w:eastAsia="仿宋_GB2312" w:cs="仿宋_GB2312"/>
          <w:color w:val="auto"/>
          <w:kern w:val="0"/>
          <w:sz w:val="32"/>
          <w:szCs w:val="32"/>
          <w:lang w:eastAsia="zh-CN"/>
        </w:rPr>
        <w:t>用于教职工团建活动。</w:t>
      </w:r>
      <w:r>
        <w:rPr>
          <w:rFonts w:hint="eastAsia" w:ascii="仿宋_GB2312" w:hAnsi="ˎ̥" w:eastAsia="仿宋_GB2312"/>
          <w:color w:val="auto"/>
          <w:sz w:val="32"/>
          <w:szCs w:val="32"/>
        </w:rPr>
        <w:t>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年度决算数增加</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万元，增长</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%，主要原因是</w:t>
      </w:r>
      <w:r>
        <w:rPr>
          <w:rFonts w:hint="eastAsia" w:ascii="仿宋_GB2312" w:hAnsi="ˎ̥" w:eastAsia="仿宋_GB2312" w:cs="仿宋_GB2312"/>
          <w:color w:val="auto"/>
          <w:kern w:val="0"/>
          <w:sz w:val="32"/>
          <w:szCs w:val="32"/>
          <w:lang w:eastAsia="zh-CN"/>
        </w:rPr>
        <w:t>基本户里转入教育局付的优秀幼儿园奖励基金</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年末结转结余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万元，主要是主要是</w:t>
      </w:r>
      <w:r>
        <w:rPr>
          <w:rFonts w:hint="eastAsia" w:ascii="仿宋_GB2312" w:hAnsi="ˎ̥" w:eastAsia="仿宋_GB2312"/>
          <w:color w:val="auto"/>
          <w:sz w:val="32"/>
          <w:szCs w:val="32"/>
          <w:lang w:eastAsia="zh-CN"/>
        </w:rPr>
        <w:t>无年末结转结余</w:t>
      </w:r>
      <w:r>
        <w:rPr>
          <w:rFonts w:hint="eastAsia" w:ascii="仿宋_GB2312" w:hAnsi="ˎ̥" w:eastAsia="仿宋_GB2312"/>
          <w:color w:val="auto"/>
          <w:sz w:val="32"/>
          <w:szCs w:val="32"/>
        </w:rPr>
        <w:t>，较202</w:t>
      </w:r>
      <w:r>
        <w:rPr>
          <w:rFonts w:hint="eastAsia" w:ascii="仿宋_GB2312" w:hAnsi="ˎ̥" w:eastAsia="仿宋_GB2312"/>
          <w:color w:val="auto"/>
          <w:sz w:val="32"/>
          <w:szCs w:val="32"/>
          <w:lang w:val="en-US" w:eastAsia="zh-CN"/>
        </w:rPr>
        <w:t>3</w:t>
      </w:r>
      <w:r>
        <w:rPr>
          <w:rFonts w:hint="eastAsia" w:ascii="仿宋_GB2312" w:hAnsi="ˎ̥" w:eastAsia="仿宋_GB2312"/>
          <w:color w:val="auto"/>
          <w:sz w:val="32"/>
          <w:szCs w:val="32"/>
        </w:rPr>
        <w:t>年度决算数增加（减少）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万元，增长（下降）</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eastAsia="zh-CN"/>
        </w:rPr>
        <w:t>无年末结转结余资金</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 xml:space="preserve">   </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黑体" w:hAnsi="黑体" w:eastAsia="黑体" w:cs="黑体"/>
          <w:bCs/>
          <w:color w:val="auto"/>
          <w:sz w:val="32"/>
          <w:szCs w:val="32"/>
        </w:rPr>
        <w:t>二、收入决算情况说明</w:t>
      </w:r>
      <w:r>
        <w:rPr>
          <w:rFonts w:hint="eastAsia" w:ascii="黑体" w:hAnsi="黑体" w:eastAsia="黑体" w:cs="黑体"/>
          <w:bCs/>
          <w:color w:val="auto"/>
          <w:sz w:val="32"/>
          <w:szCs w:val="32"/>
        </w:rPr>
        <w:br w:type="textWrapping"/>
      </w:r>
      <w:r>
        <w:rPr>
          <w:rFonts w:hint="eastAsia" w:ascii="仿宋_GB2312" w:hAnsi="ˎ̥" w:eastAsia="仿宋_GB2312"/>
          <w:color w:val="auto"/>
          <w:sz w:val="32"/>
          <w:szCs w:val="32"/>
        </w:rPr>
        <w:t xml:space="preserve">    本年收入</w:t>
      </w:r>
      <w:r>
        <w:rPr>
          <w:rFonts w:hint="default" w:ascii="仿宋_GB2312" w:hAnsi="ˎ̥" w:eastAsia="仿宋_GB2312"/>
          <w:color w:val="auto"/>
          <w:sz w:val="32"/>
          <w:szCs w:val="32"/>
          <w:lang w:val="en-US"/>
        </w:rPr>
        <w:t>952.69</w:t>
      </w:r>
      <w:r>
        <w:rPr>
          <w:rFonts w:hint="eastAsia" w:ascii="仿宋_GB2312" w:hAnsi="ˎ̥" w:eastAsia="仿宋_GB2312"/>
          <w:color w:val="auto"/>
          <w:sz w:val="32"/>
          <w:szCs w:val="32"/>
        </w:rPr>
        <w:t>万元，其中：财政拨款收入</w:t>
      </w:r>
      <w:r>
        <w:rPr>
          <w:rFonts w:hint="default" w:ascii="仿宋_GB2312" w:hAnsi="ˎ̥" w:eastAsia="仿宋_GB2312"/>
          <w:color w:val="auto"/>
          <w:sz w:val="32"/>
          <w:szCs w:val="32"/>
          <w:lang w:val="en-US"/>
        </w:rPr>
        <w:t>951.69</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99.89</w:t>
      </w:r>
      <w:r>
        <w:rPr>
          <w:rFonts w:hint="eastAsia" w:ascii="仿宋_GB2312" w:hAnsi="ˎ̥" w:eastAsia="仿宋_GB2312"/>
          <w:color w:val="auto"/>
          <w:sz w:val="32"/>
          <w:szCs w:val="32"/>
        </w:rPr>
        <w:t>%；上级补助收入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%；事业收入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%；经营收入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%；附属单位上缴收入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%；其他收入</w:t>
      </w:r>
      <w:r>
        <w:rPr>
          <w:rFonts w:hint="default" w:ascii="仿宋_GB2312" w:hAnsi="ˎ̥" w:eastAsia="仿宋_GB2312"/>
          <w:color w:val="auto"/>
          <w:sz w:val="32"/>
          <w:szCs w:val="32"/>
          <w:lang w:val="en-US"/>
        </w:rPr>
        <w:t>1.00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0.11</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三、支出决算情况说明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本年支出</w:t>
      </w:r>
      <w:r>
        <w:rPr>
          <w:rFonts w:hint="default" w:ascii="仿宋_GB2312" w:hAnsi="ˎ̥" w:eastAsia="仿宋_GB2312"/>
          <w:color w:val="auto"/>
          <w:sz w:val="32"/>
          <w:szCs w:val="32"/>
          <w:lang w:val="en-US"/>
        </w:rPr>
        <w:t>951.70</w:t>
      </w:r>
      <w:r>
        <w:rPr>
          <w:rFonts w:hint="eastAsia" w:ascii="仿宋_GB2312" w:hAnsi="ˎ̥" w:eastAsia="仿宋_GB2312"/>
          <w:color w:val="auto"/>
          <w:sz w:val="32"/>
          <w:szCs w:val="32"/>
        </w:rPr>
        <w:t>万元，其中：基本支出</w:t>
      </w:r>
      <w:r>
        <w:rPr>
          <w:rFonts w:hint="default" w:ascii="仿宋_GB2312" w:hAnsi="ˎ̥" w:eastAsia="仿宋_GB2312"/>
          <w:color w:val="auto"/>
          <w:sz w:val="32"/>
          <w:szCs w:val="32"/>
          <w:lang w:val="en-US"/>
        </w:rPr>
        <w:t>754.41</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79.27</w:t>
      </w:r>
      <w:r>
        <w:rPr>
          <w:rFonts w:hint="eastAsia" w:ascii="仿宋_GB2312" w:hAnsi="ˎ̥" w:eastAsia="仿宋_GB2312"/>
          <w:color w:val="auto"/>
          <w:sz w:val="32"/>
          <w:szCs w:val="32"/>
        </w:rPr>
        <w:t>%；项目支出</w:t>
      </w:r>
      <w:r>
        <w:rPr>
          <w:rFonts w:hint="default" w:ascii="仿宋_GB2312" w:hAnsi="ˎ̥" w:eastAsia="仿宋_GB2312"/>
          <w:color w:val="auto"/>
          <w:sz w:val="32"/>
          <w:szCs w:val="32"/>
          <w:lang w:val="en-US"/>
        </w:rPr>
        <w:t>197.29</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20.73</w:t>
      </w:r>
      <w:r>
        <w:rPr>
          <w:rFonts w:hint="eastAsia" w:ascii="仿宋_GB2312" w:hAnsi="ˎ̥" w:eastAsia="仿宋_GB2312"/>
          <w:color w:val="auto"/>
          <w:sz w:val="32"/>
          <w:szCs w:val="32"/>
        </w:rPr>
        <w:t>%；上缴上级支出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%；经营支出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%；对附属单位补助支出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四、财政拨款收入支出决算总体情况说明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年度财政拨款收入</w:t>
      </w:r>
      <w:r>
        <w:rPr>
          <w:rFonts w:hint="default" w:ascii="仿宋_GB2312" w:hAnsi="ˎ̥" w:eastAsia="仿宋_GB2312"/>
          <w:color w:val="auto"/>
          <w:sz w:val="32"/>
          <w:szCs w:val="32"/>
          <w:lang w:val="en-US"/>
        </w:rPr>
        <w:t>951.69</w:t>
      </w:r>
      <w:r>
        <w:rPr>
          <w:rFonts w:hint="eastAsia" w:ascii="仿宋_GB2312" w:hAnsi="ˎ̥" w:eastAsia="仿宋_GB2312"/>
          <w:color w:val="auto"/>
          <w:sz w:val="32"/>
          <w:szCs w:val="32"/>
        </w:rPr>
        <w:t>万元，支出</w:t>
      </w:r>
      <w:r>
        <w:rPr>
          <w:rFonts w:hint="default" w:ascii="仿宋_GB2312" w:hAnsi="ˎ̥" w:eastAsia="仿宋_GB2312"/>
          <w:color w:val="auto"/>
          <w:sz w:val="32"/>
          <w:szCs w:val="32"/>
          <w:lang w:val="en-US"/>
        </w:rPr>
        <w:t>951.69</w:t>
      </w:r>
      <w:r>
        <w:rPr>
          <w:rFonts w:hint="eastAsia" w:ascii="仿宋_GB2312" w:hAnsi="ˎ̥" w:eastAsia="仿宋_GB2312"/>
          <w:color w:val="auto"/>
          <w:sz w:val="32"/>
          <w:szCs w:val="32"/>
        </w:rPr>
        <w:t>万元。与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年度相比，财政拨款收入减少</w:t>
      </w:r>
      <w:r>
        <w:rPr>
          <w:rFonts w:hint="eastAsia" w:ascii="仿宋_GB2312" w:hAnsi="ˎ̥" w:eastAsia="仿宋_GB2312"/>
          <w:color w:val="auto"/>
          <w:sz w:val="32"/>
          <w:szCs w:val="32"/>
          <w:lang w:val="en-US" w:eastAsia="zh-CN"/>
        </w:rPr>
        <w:t>25.22</w:t>
      </w:r>
      <w:r>
        <w:rPr>
          <w:rFonts w:hint="eastAsia" w:ascii="仿宋_GB2312" w:hAnsi="ˎ̥" w:eastAsia="仿宋_GB2312"/>
          <w:color w:val="auto"/>
          <w:sz w:val="32"/>
          <w:szCs w:val="32"/>
        </w:rPr>
        <w:t>万元，下降</w:t>
      </w:r>
      <w:r>
        <w:rPr>
          <w:rFonts w:hint="eastAsia" w:ascii="仿宋_GB2312" w:hAnsi="ˎ̥" w:eastAsia="仿宋_GB2312"/>
          <w:color w:val="auto"/>
          <w:sz w:val="32"/>
          <w:szCs w:val="32"/>
          <w:lang w:val="en-US" w:eastAsia="zh-CN"/>
        </w:rPr>
        <w:t>2.48</w:t>
      </w:r>
      <w:r>
        <w:rPr>
          <w:rFonts w:hint="eastAsia" w:ascii="仿宋_GB2312" w:hAnsi="ˎ̥" w:eastAsia="仿宋_GB2312"/>
          <w:color w:val="auto"/>
          <w:sz w:val="32"/>
          <w:szCs w:val="32"/>
        </w:rPr>
        <w:t>%，主要原因：</w:t>
      </w:r>
      <w:r>
        <w:rPr>
          <w:rFonts w:hint="eastAsia" w:ascii="仿宋_GB2312" w:hAnsi="ˎ̥" w:eastAsia="仿宋_GB2312"/>
          <w:color w:val="auto"/>
          <w:sz w:val="32"/>
          <w:szCs w:val="32"/>
          <w:lang w:eastAsia="zh-CN"/>
        </w:rPr>
        <w:t>本年度</w:t>
      </w:r>
      <w:r>
        <w:rPr>
          <w:rFonts w:hint="eastAsia" w:ascii="仿宋_GB2312" w:hAnsi="ˎ̥" w:eastAsia="仿宋_GB2312"/>
          <w:color w:val="auto"/>
          <w:sz w:val="32"/>
          <w:szCs w:val="32"/>
        </w:rPr>
        <w:t>是</w:t>
      </w:r>
      <w:r>
        <w:rPr>
          <w:rFonts w:hint="eastAsia" w:ascii="仿宋_GB2312" w:hAnsi="ˎ̥" w:eastAsia="仿宋_GB2312"/>
          <w:color w:val="auto"/>
          <w:sz w:val="32"/>
          <w:szCs w:val="32"/>
          <w:lang w:eastAsia="zh-CN"/>
        </w:rPr>
        <w:t>基本支出增加</w:t>
      </w:r>
      <w:r>
        <w:rPr>
          <w:rFonts w:hint="eastAsia" w:ascii="仿宋_GB2312" w:hAnsi="ˎ̥" w:eastAsia="仿宋_GB2312"/>
          <w:color w:val="auto"/>
          <w:sz w:val="32"/>
          <w:szCs w:val="32"/>
        </w:rPr>
        <w:t>。支出增加</w:t>
      </w:r>
      <w:r>
        <w:rPr>
          <w:rFonts w:hint="eastAsia" w:ascii="仿宋_GB2312" w:hAnsi="ˎ̥" w:eastAsia="仿宋_GB2312"/>
          <w:color w:val="auto"/>
          <w:sz w:val="32"/>
          <w:szCs w:val="32"/>
          <w:lang w:val="en-US" w:eastAsia="zh-CN"/>
        </w:rPr>
        <w:t>22.01</w:t>
      </w:r>
      <w:r>
        <w:rPr>
          <w:rFonts w:hint="eastAsia" w:ascii="仿宋_GB2312" w:hAnsi="ˎ̥" w:eastAsia="仿宋_GB2312"/>
          <w:color w:val="auto"/>
          <w:sz w:val="32"/>
          <w:szCs w:val="32"/>
        </w:rPr>
        <w:t>万元，增长</w:t>
      </w:r>
      <w:r>
        <w:rPr>
          <w:rFonts w:hint="eastAsia" w:ascii="仿宋_GB2312" w:hAnsi="ˎ̥" w:eastAsia="仿宋_GB2312"/>
          <w:color w:val="auto"/>
          <w:sz w:val="32"/>
          <w:szCs w:val="32"/>
          <w:lang w:val="en-US" w:eastAsia="zh-CN"/>
        </w:rPr>
        <w:t>0.30</w:t>
      </w:r>
      <w:r>
        <w:rPr>
          <w:rFonts w:hint="eastAsia" w:ascii="仿宋_GB2312" w:hAnsi="ˎ̥" w:eastAsia="仿宋_GB2312"/>
          <w:color w:val="auto"/>
          <w:sz w:val="32"/>
          <w:szCs w:val="32"/>
        </w:rPr>
        <w:t>%，主要原因：</w:t>
      </w:r>
      <w:r>
        <w:rPr>
          <w:rFonts w:hint="eastAsia" w:ascii="仿宋_GB2312" w:hAnsi="ˎ̥" w:eastAsia="仿宋_GB2312"/>
          <w:color w:val="auto"/>
          <w:sz w:val="32"/>
          <w:szCs w:val="32"/>
          <w:lang w:eastAsia="zh-CN"/>
        </w:rPr>
        <w:t>人员增加，社保支出增加</w:t>
      </w:r>
      <w:r>
        <w:rPr>
          <w:rFonts w:hint="eastAsia" w:ascii="仿宋_GB2312" w:hAnsi="ˎ̥" w:eastAsia="仿宋_GB2312"/>
          <w:color w:val="auto"/>
          <w:sz w:val="32"/>
          <w:szCs w:val="32"/>
        </w:rPr>
        <w:t>。二是</w:t>
      </w:r>
      <w:r>
        <w:rPr>
          <w:rFonts w:hint="eastAsia" w:ascii="仿宋_GB2312" w:hAnsi="ˎ̥" w:eastAsia="仿宋_GB2312"/>
          <w:color w:val="auto"/>
          <w:sz w:val="32"/>
          <w:szCs w:val="32"/>
          <w:lang w:eastAsia="zh-CN"/>
        </w:rPr>
        <w:t>本年度</w:t>
      </w:r>
      <w:r>
        <w:rPr>
          <w:rFonts w:hint="eastAsia" w:ascii="仿宋_GB2312" w:hAnsi="ˎ̥" w:eastAsia="仿宋_GB2312"/>
          <w:color w:val="auto"/>
          <w:sz w:val="32"/>
          <w:szCs w:val="32"/>
        </w:rPr>
        <w:t>是</w:t>
      </w:r>
      <w:r>
        <w:rPr>
          <w:rFonts w:hint="eastAsia" w:ascii="仿宋_GB2312" w:hAnsi="ˎ̥" w:eastAsia="仿宋_GB2312"/>
          <w:color w:val="auto"/>
          <w:sz w:val="32"/>
          <w:szCs w:val="32"/>
          <w:lang w:eastAsia="zh-CN"/>
        </w:rPr>
        <w:t>项目支出减少</w:t>
      </w:r>
      <w:r>
        <w:rPr>
          <w:rFonts w:hint="eastAsia" w:ascii="仿宋_GB2312" w:hAnsi="ˎ̥" w:eastAsia="仿宋_GB2312"/>
          <w:color w:val="auto"/>
          <w:sz w:val="32"/>
          <w:szCs w:val="32"/>
        </w:rPr>
        <w:t>。支出</w:t>
      </w:r>
      <w:r>
        <w:rPr>
          <w:rFonts w:hint="eastAsia" w:ascii="仿宋_GB2312" w:hAnsi="ˎ̥" w:eastAsia="仿宋_GB2312"/>
          <w:color w:val="auto"/>
          <w:sz w:val="32"/>
          <w:szCs w:val="32"/>
          <w:lang w:eastAsia="zh-CN"/>
        </w:rPr>
        <w:t>减少</w:t>
      </w:r>
      <w:r>
        <w:rPr>
          <w:rFonts w:hint="eastAsia" w:ascii="仿宋_GB2312" w:hAnsi="ˎ̥" w:eastAsia="仿宋_GB2312"/>
          <w:color w:val="auto"/>
          <w:sz w:val="32"/>
          <w:szCs w:val="32"/>
          <w:lang w:val="en-US" w:eastAsia="zh-CN"/>
        </w:rPr>
        <w:t>47.24</w:t>
      </w:r>
      <w:r>
        <w:rPr>
          <w:rFonts w:hint="eastAsia" w:ascii="仿宋_GB2312" w:hAnsi="ˎ̥" w:eastAsia="仿宋_GB2312"/>
          <w:color w:val="auto"/>
          <w:sz w:val="32"/>
          <w:szCs w:val="32"/>
        </w:rPr>
        <w:t>万元，</w:t>
      </w:r>
      <w:r>
        <w:rPr>
          <w:rFonts w:hint="eastAsia" w:ascii="仿宋_GB2312" w:hAnsi="ˎ̥" w:eastAsia="仿宋_GB2312"/>
          <w:color w:val="auto"/>
          <w:sz w:val="32"/>
          <w:szCs w:val="32"/>
          <w:lang w:eastAsia="zh-CN"/>
        </w:rPr>
        <w:t>减少</w:t>
      </w:r>
      <w:r>
        <w:rPr>
          <w:rFonts w:hint="eastAsia" w:ascii="仿宋_GB2312" w:hAnsi="ˎ̥" w:eastAsia="仿宋_GB2312"/>
          <w:color w:val="auto"/>
          <w:sz w:val="32"/>
          <w:szCs w:val="32"/>
          <w:lang w:val="en-US" w:eastAsia="zh-CN"/>
        </w:rPr>
        <w:t>19.32</w:t>
      </w:r>
      <w:r>
        <w:rPr>
          <w:rFonts w:hint="eastAsia" w:ascii="仿宋_GB2312" w:hAnsi="ˎ̥" w:eastAsia="仿宋_GB2312"/>
          <w:color w:val="auto"/>
          <w:sz w:val="32"/>
          <w:szCs w:val="32"/>
        </w:rPr>
        <w:t>%，主要原因：</w:t>
      </w:r>
      <w:r>
        <w:rPr>
          <w:rFonts w:hint="eastAsia" w:ascii="仿宋_GB2312" w:hAnsi="ˎ̥" w:eastAsia="仿宋_GB2312"/>
          <w:color w:val="auto"/>
          <w:sz w:val="32"/>
          <w:szCs w:val="32"/>
          <w:lang w:eastAsia="zh-CN"/>
        </w:rPr>
        <w:t>项目减少</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s="仿宋_GB2312"/>
          <w:color w:val="auto"/>
          <w:kern w:val="0"/>
          <w:sz w:val="32"/>
          <w:szCs w:val="32"/>
          <w:lang w:eastAsia="zh-CN"/>
        </w:rPr>
      </w:pPr>
      <w:r>
        <w:rPr>
          <w:rFonts w:hint="eastAsia" w:ascii="仿宋_GB2312" w:hAnsi="ˎ̥" w:eastAsia="仿宋_GB2312"/>
          <w:color w:val="auto"/>
          <w:sz w:val="32"/>
          <w:szCs w:val="32"/>
        </w:rPr>
        <w:t>财政拨款年初结转结余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万元，主要是主要是</w:t>
      </w:r>
      <w:r>
        <w:rPr>
          <w:rFonts w:hint="default" w:ascii="仿宋_GB2312" w:hAnsi="ˎ̥" w:eastAsia="仿宋_GB2312" w:cs="仿宋_GB2312"/>
          <w:color w:val="auto"/>
          <w:kern w:val="0"/>
          <w:sz w:val="32"/>
          <w:szCs w:val="32"/>
        </w:rPr>
        <w:t>无财政</w:t>
      </w:r>
      <w:r>
        <w:rPr>
          <w:rFonts w:hint="eastAsia" w:ascii="仿宋_GB2312" w:hAnsi="ˎ̥" w:eastAsia="仿宋_GB2312"/>
          <w:color w:val="auto"/>
          <w:sz w:val="32"/>
          <w:szCs w:val="32"/>
        </w:rPr>
        <w:t>年初结转结余</w:t>
      </w:r>
      <w:r>
        <w:rPr>
          <w:rFonts w:hint="default" w:ascii="仿宋_GB2312" w:hAnsi="ˎ̥" w:eastAsia="仿宋_GB2312" w:cs="仿宋_GB2312"/>
          <w:color w:val="auto"/>
          <w:kern w:val="0"/>
          <w:sz w:val="32"/>
          <w:szCs w:val="32"/>
        </w:rPr>
        <w:t>资金来源</w:t>
      </w:r>
      <w:r>
        <w:rPr>
          <w:rFonts w:hint="eastAsia" w:ascii="仿宋_GB2312" w:hAnsi="ˎ̥" w:eastAsia="仿宋_GB2312"/>
          <w:color w:val="auto"/>
          <w:sz w:val="32"/>
          <w:szCs w:val="32"/>
        </w:rPr>
        <w:t>，较202</w:t>
      </w:r>
      <w:r>
        <w:rPr>
          <w:rFonts w:hint="eastAsia" w:ascii="仿宋_GB2312" w:hAnsi="ˎ̥" w:eastAsia="仿宋_GB2312"/>
          <w:color w:val="auto"/>
          <w:sz w:val="32"/>
          <w:szCs w:val="32"/>
          <w:lang w:val="en-US" w:eastAsia="zh-CN"/>
        </w:rPr>
        <w:t>3</w:t>
      </w:r>
      <w:r>
        <w:rPr>
          <w:rFonts w:hint="eastAsia" w:ascii="仿宋_GB2312" w:hAnsi="ˎ̥" w:eastAsia="仿宋_GB2312"/>
          <w:color w:val="auto"/>
          <w:sz w:val="32"/>
          <w:szCs w:val="32"/>
        </w:rPr>
        <w:t>年度决算数</w:t>
      </w:r>
      <w:r>
        <w:rPr>
          <w:rFonts w:hint="eastAsia" w:ascii="仿宋_GB2312" w:hAnsi="ˎ̥" w:eastAsia="仿宋_GB2312"/>
          <w:color w:val="auto"/>
          <w:sz w:val="32"/>
          <w:szCs w:val="32"/>
          <w:lang w:eastAsia="zh-CN"/>
        </w:rPr>
        <w:t>持平</w:t>
      </w:r>
      <w:r>
        <w:rPr>
          <w:rFonts w:hint="eastAsia" w:ascii="仿宋_GB2312" w:hAnsi="ˎ̥" w:eastAsia="仿宋_GB2312"/>
          <w:color w:val="auto"/>
          <w:sz w:val="32"/>
          <w:szCs w:val="32"/>
        </w:rPr>
        <w:t>，主要原因是</w:t>
      </w:r>
      <w:r>
        <w:rPr>
          <w:rFonts w:hint="default" w:ascii="仿宋_GB2312" w:hAnsi="ˎ̥" w:eastAsia="仿宋_GB2312" w:cs="仿宋_GB2312"/>
          <w:color w:val="auto"/>
          <w:kern w:val="0"/>
          <w:sz w:val="32"/>
          <w:szCs w:val="32"/>
        </w:rPr>
        <w:t>无财政</w:t>
      </w:r>
      <w:r>
        <w:rPr>
          <w:rFonts w:hint="eastAsia" w:ascii="仿宋_GB2312" w:hAnsi="ˎ̥" w:eastAsia="仿宋_GB2312"/>
          <w:color w:val="auto"/>
          <w:sz w:val="32"/>
          <w:szCs w:val="32"/>
        </w:rPr>
        <w:t>年初结转结余</w:t>
      </w:r>
      <w:r>
        <w:rPr>
          <w:rFonts w:hint="default" w:ascii="仿宋_GB2312" w:hAnsi="ˎ̥" w:eastAsia="仿宋_GB2312" w:cs="仿宋_GB2312"/>
          <w:color w:val="auto"/>
          <w:kern w:val="0"/>
          <w:sz w:val="32"/>
          <w:szCs w:val="32"/>
        </w:rPr>
        <w:t>资金来源</w:t>
      </w:r>
      <w:r>
        <w:rPr>
          <w:rFonts w:hint="eastAsia" w:ascii="仿宋_GB2312" w:hAnsi="ˎ̥" w:eastAsia="仿宋_GB2312" w:cs="仿宋_GB2312"/>
          <w:color w:val="auto"/>
          <w:kern w:val="0"/>
          <w:sz w:val="32"/>
          <w:szCs w:val="32"/>
          <w:lang w:eastAsia="zh-CN"/>
        </w:rPr>
        <w:t>。</w:t>
      </w:r>
    </w:p>
    <w:p>
      <w:pPr>
        <w:spacing w:line="578" w:lineRule="exact"/>
        <w:ind w:firstLine="640" w:firstLineChars="200"/>
        <w:rPr>
          <w:rFonts w:hint="eastAsia" w:ascii="仿宋_GB2312" w:hAnsi="ˎ̥" w:eastAsia="仿宋_GB2312"/>
          <w:color w:val="auto"/>
          <w:sz w:val="32"/>
          <w:szCs w:val="32"/>
        </w:rPr>
      </w:pPr>
      <w:r>
        <w:rPr>
          <w:rFonts w:hint="eastAsia" w:ascii="仿宋_GB2312" w:hAnsi="ˎ̥" w:eastAsia="仿宋_GB2312"/>
          <w:color w:val="auto"/>
          <w:sz w:val="32"/>
          <w:szCs w:val="32"/>
        </w:rPr>
        <w:t>财政拨款年末结转结余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万元，主要是</w:t>
      </w:r>
      <w:r>
        <w:rPr>
          <w:rFonts w:hint="default" w:ascii="仿宋_GB2312" w:hAnsi="ˎ̥" w:eastAsia="仿宋_GB2312" w:cs="仿宋_GB2312"/>
          <w:color w:val="auto"/>
          <w:kern w:val="0"/>
          <w:sz w:val="32"/>
          <w:szCs w:val="32"/>
        </w:rPr>
        <w:t>无财政</w:t>
      </w:r>
      <w:r>
        <w:rPr>
          <w:rFonts w:hint="eastAsia" w:ascii="仿宋_GB2312" w:hAnsi="ˎ̥" w:eastAsia="仿宋_GB2312"/>
          <w:color w:val="auto"/>
          <w:sz w:val="32"/>
          <w:szCs w:val="32"/>
        </w:rPr>
        <w:t>年末结转结余</w:t>
      </w:r>
      <w:r>
        <w:rPr>
          <w:rFonts w:hint="default" w:ascii="仿宋_GB2312" w:hAnsi="ˎ̥" w:eastAsia="仿宋_GB2312" w:cs="仿宋_GB2312"/>
          <w:color w:val="auto"/>
          <w:kern w:val="0"/>
          <w:sz w:val="32"/>
          <w:szCs w:val="32"/>
        </w:rPr>
        <w:t>资金来源</w:t>
      </w:r>
      <w:r>
        <w:rPr>
          <w:rFonts w:hint="eastAsia" w:ascii="仿宋_GB2312" w:hAnsi="ˎ̥" w:eastAsia="仿宋_GB2312"/>
          <w:color w:val="auto"/>
          <w:sz w:val="32"/>
          <w:szCs w:val="32"/>
        </w:rPr>
        <w:t>，较202</w:t>
      </w:r>
      <w:r>
        <w:rPr>
          <w:rFonts w:hint="eastAsia" w:ascii="仿宋_GB2312" w:hAnsi="ˎ̥" w:eastAsia="仿宋_GB2312"/>
          <w:color w:val="auto"/>
          <w:sz w:val="32"/>
          <w:szCs w:val="32"/>
          <w:lang w:val="en-US" w:eastAsia="zh-CN"/>
        </w:rPr>
        <w:t>3</w:t>
      </w:r>
      <w:r>
        <w:rPr>
          <w:rFonts w:hint="eastAsia" w:ascii="仿宋_GB2312" w:hAnsi="ˎ̥" w:eastAsia="仿宋_GB2312"/>
          <w:color w:val="auto"/>
          <w:sz w:val="32"/>
          <w:szCs w:val="32"/>
        </w:rPr>
        <w:t>年度决算数</w:t>
      </w:r>
      <w:r>
        <w:rPr>
          <w:rFonts w:hint="eastAsia" w:ascii="仿宋_GB2312" w:hAnsi="ˎ̥" w:eastAsia="仿宋_GB2312"/>
          <w:color w:val="auto"/>
          <w:sz w:val="32"/>
          <w:szCs w:val="32"/>
          <w:lang w:eastAsia="zh-CN"/>
        </w:rPr>
        <w:t>持平</w:t>
      </w:r>
      <w:r>
        <w:rPr>
          <w:rFonts w:hint="eastAsia" w:ascii="仿宋_GB2312" w:hAnsi="ˎ̥" w:eastAsia="仿宋_GB2312"/>
          <w:color w:val="auto"/>
          <w:sz w:val="32"/>
          <w:szCs w:val="32"/>
        </w:rPr>
        <w:t>，主要原因是</w:t>
      </w:r>
      <w:r>
        <w:rPr>
          <w:rFonts w:hint="default" w:ascii="仿宋_GB2312" w:hAnsi="ˎ̥" w:eastAsia="仿宋_GB2312" w:cs="仿宋_GB2312"/>
          <w:color w:val="auto"/>
          <w:kern w:val="0"/>
          <w:sz w:val="32"/>
          <w:szCs w:val="32"/>
        </w:rPr>
        <w:t>无财政</w:t>
      </w:r>
      <w:r>
        <w:rPr>
          <w:rFonts w:hint="eastAsia" w:ascii="仿宋_GB2312" w:hAnsi="ˎ̥" w:eastAsia="仿宋_GB2312"/>
          <w:color w:val="auto"/>
          <w:sz w:val="32"/>
          <w:szCs w:val="32"/>
        </w:rPr>
        <w:t>年末结转结余</w:t>
      </w:r>
      <w:r>
        <w:rPr>
          <w:rFonts w:hint="default" w:ascii="仿宋_GB2312" w:hAnsi="ˎ̥" w:eastAsia="仿宋_GB2312" w:cs="仿宋_GB2312"/>
          <w:color w:val="auto"/>
          <w:kern w:val="0"/>
          <w:sz w:val="32"/>
          <w:szCs w:val="32"/>
        </w:rPr>
        <w:t>资金来源</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五、一般公共预算财政拨款支出决算情况说明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bookmarkStart w:id="77" w:name="_Toc9989_WPSOffice_Level2"/>
      <w:bookmarkStart w:id="78" w:name="_Toc13694_WPSOffice_Level2"/>
      <w:bookmarkStart w:id="79" w:name="_Toc17398_WPSOffice_Level2"/>
      <w:bookmarkStart w:id="80" w:name="_Toc21737_WPSOffice_Level2"/>
      <w:bookmarkStart w:id="81" w:name="_Toc19665_WPSOffice_Level2"/>
      <w:bookmarkStart w:id="82" w:name="_Toc23005_WPSOffice_Level2"/>
      <w:r>
        <w:rPr>
          <w:rFonts w:hint="eastAsia" w:ascii="楷体" w:hAnsi="楷体" w:eastAsia="楷体" w:cs="楷体"/>
          <w:color w:val="auto"/>
          <w:sz w:val="32"/>
          <w:szCs w:val="32"/>
        </w:rPr>
        <w:t>（一）一般公共预算财政拨款支出决算总体情况</w:t>
      </w:r>
      <w:bookmarkEnd w:id="77"/>
      <w:bookmarkEnd w:id="78"/>
      <w:bookmarkEnd w:id="79"/>
      <w:bookmarkEnd w:id="80"/>
      <w:bookmarkEnd w:id="81"/>
      <w:bookmarkEnd w:id="82"/>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年度一般公共预算财政拨款支出</w:t>
      </w:r>
      <w:r>
        <w:rPr>
          <w:rFonts w:hint="default" w:ascii="仿宋_GB2312" w:hAnsi="ˎ̥" w:eastAsia="仿宋_GB2312"/>
          <w:color w:val="auto"/>
          <w:sz w:val="32"/>
          <w:szCs w:val="32"/>
          <w:lang w:val="en-US"/>
        </w:rPr>
        <w:t>951.69</w:t>
      </w:r>
      <w:r>
        <w:rPr>
          <w:rFonts w:hint="eastAsia" w:ascii="仿宋_GB2312" w:hAnsi="ˎ̥" w:eastAsia="仿宋_GB2312"/>
          <w:color w:val="auto"/>
          <w:sz w:val="32"/>
          <w:szCs w:val="32"/>
        </w:rPr>
        <w:t>万元，占本年支出合计的</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年度相比，一般公共预算财政拨款支出减少</w:t>
      </w:r>
      <w:r>
        <w:rPr>
          <w:rFonts w:hint="eastAsia" w:ascii="仿宋_GB2312" w:hAnsi="ˎ̥" w:eastAsia="仿宋_GB2312"/>
          <w:color w:val="auto"/>
          <w:sz w:val="32"/>
          <w:szCs w:val="32"/>
          <w:lang w:val="en-US" w:eastAsia="zh-CN"/>
        </w:rPr>
        <w:t>24.22</w:t>
      </w:r>
      <w:r>
        <w:rPr>
          <w:rFonts w:hint="eastAsia" w:ascii="仿宋_GB2312" w:hAnsi="ˎ̥" w:eastAsia="仿宋_GB2312"/>
          <w:color w:val="auto"/>
          <w:sz w:val="32"/>
          <w:szCs w:val="32"/>
        </w:rPr>
        <w:t>万元，下降</w:t>
      </w:r>
      <w:r>
        <w:rPr>
          <w:rFonts w:hint="eastAsia" w:ascii="仿宋_GB2312" w:hAnsi="ˎ̥" w:eastAsia="仿宋_GB2312"/>
          <w:color w:val="auto"/>
          <w:sz w:val="32"/>
          <w:szCs w:val="32"/>
          <w:lang w:val="en-US" w:eastAsia="zh-CN"/>
        </w:rPr>
        <w:t>2.48</w:t>
      </w:r>
      <w:r>
        <w:rPr>
          <w:rFonts w:hint="eastAsia" w:ascii="仿宋_GB2312" w:hAnsi="ˎ̥" w:eastAsia="仿宋_GB2312"/>
          <w:color w:val="auto"/>
          <w:sz w:val="32"/>
          <w:szCs w:val="32"/>
        </w:rPr>
        <w:t>%，主要原因</w:t>
      </w:r>
      <w:r>
        <w:rPr>
          <w:rFonts w:hint="eastAsia" w:ascii="仿宋_GB2312" w:hAnsi="ˎ̥" w:eastAsia="仿宋_GB2312"/>
          <w:color w:val="auto"/>
          <w:sz w:val="32"/>
          <w:szCs w:val="32"/>
          <w:lang w:eastAsia="zh-CN"/>
        </w:rPr>
        <w:t>本年度</w:t>
      </w:r>
      <w:r>
        <w:rPr>
          <w:rFonts w:hint="eastAsia" w:ascii="仿宋_GB2312" w:hAnsi="ˎ̥" w:eastAsia="仿宋_GB2312"/>
          <w:color w:val="auto"/>
          <w:sz w:val="32"/>
          <w:szCs w:val="32"/>
        </w:rPr>
        <w:t>是</w:t>
      </w:r>
      <w:r>
        <w:rPr>
          <w:rFonts w:hint="eastAsia" w:ascii="仿宋_GB2312" w:hAnsi="ˎ̥" w:eastAsia="仿宋_GB2312"/>
          <w:color w:val="auto"/>
          <w:sz w:val="32"/>
          <w:szCs w:val="32"/>
          <w:lang w:eastAsia="zh-CN"/>
        </w:rPr>
        <w:t>项目支出减少。</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bookmarkStart w:id="83" w:name="_Toc2711_WPSOffice_Level2"/>
      <w:bookmarkStart w:id="84" w:name="_Toc18793_WPSOffice_Level2"/>
      <w:bookmarkStart w:id="85" w:name="_Toc19075_WPSOffice_Level2"/>
      <w:bookmarkStart w:id="86" w:name="_Toc23864_WPSOffice_Level2"/>
      <w:bookmarkStart w:id="87" w:name="_Toc19535_WPSOffice_Level2"/>
      <w:bookmarkStart w:id="88" w:name="_Toc27767_WPSOffice_Level2"/>
      <w:r>
        <w:rPr>
          <w:rFonts w:hint="eastAsia" w:ascii="楷体" w:hAnsi="楷体" w:eastAsia="楷体" w:cs="楷体"/>
          <w:color w:val="auto"/>
          <w:sz w:val="32"/>
          <w:szCs w:val="32"/>
        </w:rPr>
        <w:t>（二）一般公共预算财政拨款支出决算结构情况</w:t>
      </w:r>
      <w:bookmarkEnd w:id="83"/>
      <w:bookmarkEnd w:id="84"/>
      <w:bookmarkEnd w:id="85"/>
      <w:bookmarkEnd w:id="86"/>
      <w:bookmarkEnd w:id="87"/>
      <w:bookmarkEnd w:id="88"/>
    </w:p>
    <w:p>
      <w:pPr>
        <w:spacing w:line="578" w:lineRule="exact"/>
        <w:ind w:firstLine="640" w:firstLineChars="200"/>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年度一般公共预算财政拨款支出</w:t>
      </w:r>
      <w:r>
        <w:rPr>
          <w:rFonts w:hint="default" w:ascii="仿宋_GB2312" w:hAnsi="ˎ̥" w:eastAsia="仿宋_GB2312"/>
          <w:color w:val="auto"/>
          <w:sz w:val="32"/>
          <w:szCs w:val="32"/>
          <w:lang w:val="en-US"/>
        </w:rPr>
        <w:t>951.69</w:t>
      </w:r>
      <w:r>
        <w:rPr>
          <w:rFonts w:hint="eastAsia" w:ascii="仿宋_GB2312" w:hAnsi="ˎ̥" w:eastAsia="仿宋_GB2312"/>
          <w:color w:val="auto"/>
          <w:sz w:val="32"/>
          <w:szCs w:val="32"/>
        </w:rPr>
        <w:t>万元，主要用于以下方面：</w:t>
      </w:r>
      <w:r>
        <w:rPr>
          <w:rFonts w:hint="default" w:ascii="仿宋_GB2312" w:hAnsi="ˎ̥" w:eastAsia="仿宋_GB2312" w:cs="仿宋_GB2312"/>
          <w:b/>
          <w:color w:val="auto"/>
          <w:kern w:val="0"/>
          <w:sz w:val="32"/>
          <w:szCs w:val="32"/>
          <w:shd w:val="clear" w:color="auto" w:fill="FFFFFF"/>
        </w:rPr>
        <w:t>教育支出（类）</w:t>
      </w:r>
      <w:r>
        <w:rPr>
          <w:rFonts w:hint="default" w:ascii="仿宋_GB2312" w:hAnsi="ˎ̥" w:eastAsia="仿宋_GB2312" w:cs="仿宋_GB2312"/>
          <w:color w:val="auto"/>
          <w:kern w:val="0"/>
          <w:sz w:val="32"/>
          <w:szCs w:val="32"/>
          <w:shd w:val="clear" w:color="auto" w:fill="FFFFFF"/>
        </w:rPr>
        <w:t>支出</w:t>
      </w:r>
      <w:r>
        <w:rPr>
          <w:rFonts w:hint="eastAsia" w:ascii="仿宋_GB2312" w:hAnsi="ˎ̥" w:eastAsia="仿宋_GB2312" w:cs="仿宋_GB2312"/>
          <w:color w:val="auto"/>
          <w:kern w:val="0"/>
          <w:sz w:val="32"/>
          <w:szCs w:val="32"/>
          <w:shd w:val="clear" w:color="auto" w:fill="FFFFFF"/>
          <w:lang w:val="en-US" w:eastAsia="zh-CN"/>
        </w:rPr>
        <w:t>698.71</w:t>
      </w:r>
      <w:r>
        <w:rPr>
          <w:rFonts w:hint="default" w:ascii="仿宋_GB2312" w:hAnsi="ˎ̥" w:eastAsia="仿宋_GB2312" w:cs="仿宋_GB2312"/>
          <w:color w:val="auto"/>
          <w:kern w:val="0"/>
          <w:sz w:val="32"/>
          <w:szCs w:val="32"/>
          <w:shd w:val="clear" w:color="auto" w:fill="FFFFFF"/>
        </w:rPr>
        <w:t>万元，占</w:t>
      </w:r>
      <w:r>
        <w:rPr>
          <w:rFonts w:hint="eastAsia" w:ascii="仿宋_GB2312" w:hAnsi="ˎ̥" w:eastAsia="仿宋_GB2312" w:cs="仿宋_GB2312"/>
          <w:color w:val="auto"/>
          <w:kern w:val="0"/>
          <w:sz w:val="32"/>
          <w:szCs w:val="32"/>
          <w:shd w:val="clear" w:color="auto" w:fill="FFFFFF"/>
          <w:lang w:val="en-US" w:eastAsia="zh-CN"/>
        </w:rPr>
        <w:t>73.42</w:t>
      </w:r>
      <w:r>
        <w:rPr>
          <w:rFonts w:hint="default" w:ascii="仿宋_GB2312" w:hAnsi="ˎ̥" w:eastAsia="仿宋_GB2312" w:cs="仿宋_GB2312"/>
          <w:color w:val="auto"/>
          <w:kern w:val="0"/>
          <w:sz w:val="32"/>
          <w:szCs w:val="32"/>
          <w:shd w:val="clear" w:color="auto" w:fill="FFFFFF"/>
        </w:rPr>
        <w:t>%；</w:t>
      </w:r>
      <w:r>
        <w:rPr>
          <w:rFonts w:hint="default" w:ascii="仿宋_GB2312" w:hAnsi="ˎ̥" w:eastAsia="仿宋_GB2312" w:cs="仿宋_GB2312"/>
          <w:b/>
          <w:color w:val="auto"/>
          <w:kern w:val="0"/>
          <w:sz w:val="32"/>
          <w:szCs w:val="32"/>
          <w:shd w:val="clear" w:color="auto" w:fill="FFFFFF"/>
        </w:rPr>
        <w:t>社会保障和就业（类）</w:t>
      </w:r>
      <w:r>
        <w:rPr>
          <w:rFonts w:hint="default" w:ascii="仿宋_GB2312" w:hAnsi="ˎ̥" w:eastAsia="仿宋_GB2312" w:cs="仿宋_GB2312"/>
          <w:color w:val="auto"/>
          <w:kern w:val="0"/>
          <w:sz w:val="32"/>
          <w:szCs w:val="32"/>
          <w:shd w:val="clear" w:color="auto" w:fill="FFFFFF"/>
        </w:rPr>
        <w:t>支出</w:t>
      </w:r>
      <w:r>
        <w:rPr>
          <w:rFonts w:hint="eastAsia" w:ascii="仿宋_GB2312" w:hAnsi="ˎ̥" w:eastAsia="仿宋_GB2312" w:cs="仿宋_GB2312"/>
          <w:color w:val="auto"/>
          <w:kern w:val="0"/>
          <w:sz w:val="32"/>
          <w:szCs w:val="32"/>
          <w:shd w:val="clear" w:color="auto" w:fill="FFFFFF"/>
          <w:lang w:val="en-US" w:eastAsia="zh-CN"/>
        </w:rPr>
        <w:t>102.51</w:t>
      </w:r>
      <w:r>
        <w:rPr>
          <w:rFonts w:hint="default" w:ascii="仿宋_GB2312" w:hAnsi="ˎ̥" w:eastAsia="仿宋_GB2312" w:cs="仿宋_GB2312"/>
          <w:color w:val="auto"/>
          <w:kern w:val="0"/>
          <w:sz w:val="32"/>
          <w:szCs w:val="32"/>
          <w:shd w:val="clear" w:color="auto" w:fill="FFFFFF"/>
        </w:rPr>
        <w:t>万元，占</w:t>
      </w:r>
      <w:r>
        <w:rPr>
          <w:rFonts w:hint="eastAsia" w:ascii="仿宋_GB2312" w:hAnsi="ˎ̥" w:eastAsia="仿宋_GB2312" w:cs="仿宋_GB2312"/>
          <w:color w:val="auto"/>
          <w:kern w:val="0"/>
          <w:sz w:val="32"/>
          <w:szCs w:val="32"/>
          <w:shd w:val="clear" w:color="auto" w:fill="FFFFFF"/>
          <w:lang w:val="en-US" w:eastAsia="zh-CN"/>
        </w:rPr>
        <w:t>10.77</w:t>
      </w:r>
      <w:r>
        <w:rPr>
          <w:rFonts w:hint="default" w:ascii="仿宋_GB2312" w:hAnsi="ˎ̥" w:eastAsia="仿宋_GB2312" w:cs="仿宋_GB2312"/>
          <w:color w:val="auto"/>
          <w:kern w:val="0"/>
          <w:sz w:val="32"/>
          <w:szCs w:val="32"/>
          <w:shd w:val="clear" w:color="auto" w:fill="FFFFFF"/>
        </w:rPr>
        <w:t>%；</w:t>
      </w:r>
      <w:r>
        <w:rPr>
          <w:rFonts w:hint="default" w:ascii="仿宋_GB2312" w:hAnsi="ˎ̥" w:eastAsia="仿宋_GB2312" w:cs="仿宋_GB2312"/>
          <w:b/>
          <w:color w:val="auto"/>
          <w:kern w:val="0"/>
          <w:sz w:val="32"/>
          <w:szCs w:val="32"/>
          <w:shd w:val="clear" w:color="auto" w:fill="FFFFFF"/>
        </w:rPr>
        <w:t>卫生健康（类）</w:t>
      </w:r>
      <w:r>
        <w:rPr>
          <w:rFonts w:hint="default" w:ascii="仿宋_GB2312" w:hAnsi="ˎ̥" w:eastAsia="仿宋_GB2312" w:cs="仿宋_GB2312"/>
          <w:color w:val="auto"/>
          <w:kern w:val="0"/>
          <w:sz w:val="32"/>
          <w:szCs w:val="32"/>
          <w:shd w:val="clear" w:color="auto" w:fill="FFFFFF"/>
        </w:rPr>
        <w:t>支出</w:t>
      </w:r>
      <w:r>
        <w:rPr>
          <w:rFonts w:hint="eastAsia" w:ascii="仿宋_GB2312" w:hAnsi="ˎ̥" w:eastAsia="仿宋_GB2312" w:cs="仿宋_GB2312"/>
          <w:color w:val="auto"/>
          <w:kern w:val="0"/>
          <w:sz w:val="32"/>
          <w:szCs w:val="32"/>
          <w:shd w:val="clear" w:color="auto" w:fill="FFFFFF"/>
          <w:lang w:val="en-US" w:eastAsia="zh-CN"/>
        </w:rPr>
        <w:t>98.84</w:t>
      </w:r>
      <w:r>
        <w:rPr>
          <w:rFonts w:hint="default" w:ascii="仿宋_GB2312" w:hAnsi="ˎ̥" w:eastAsia="仿宋_GB2312" w:cs="仿宋_GB2312"/>
          <w:color w:val="auto"/>
          <w:kern w:val="0"/>
          <w:sz w:val="32"/>
          <w:szCs w:val="32"/>
          <w:shd w:val="clear" w:color="auto" w:fill="FFFFFF"/>
        </w:rPr>
        <w:t>万元，占</w:t>
      </w:r>
      <w:r>
        <w:rPr>
          <w:rFonts w:hint="eastAsia" w:ascii="仿宋_GB2312" w:hAnsi="ˎ̥" w:eastAsia="仿宋_GB2312" w:cs="仿宋_GB2312"/>
          <w:color w:val="auto"/>
          <w:kern w:val="0"/>
          <w:sz w:val="32"/>
          <w:szCs w:val="32"/>
          <w:shd w:val="clear" w:color="auto" w:fill="FFFFFF"/>
          <w:lang w:val="en-US" w:eastAsia="zh-CN"/>
        </w:rPr>
        <w:t>10.38</w:t>
      </w:r>
      <w:r>
        <w:rPr>
          <w:rFonts w:hint="default" w:ascii="仿宋_GB2312" w:hAnsi="ˎ̥" w:eastAsia="仿宋_GB2312" w:cs="仿宋_GB2312"/>
          <w:color w:val="auto"/>
          <w:kern w:val="0"/>
          <w:sz w:val="32"/>
          <w:szCs w:val="32"/>
          <w:shd w:val="clear" w:color="auto" w:fill="FFFFFF"/>
        </w:rPr>
        <w:t>%；</w:t>
      </w:r>
      <w:r>
        <w:rPr>
          <w:rFonts w:hint="default" w:ascii="仿宋_GB2312" w:hAnsi="ˎ̥" w:eastAsia="仿宋_GB2312" w:cs="仿宋_GB2312"/>
          <w:b/>
          <w:color w:val="auto"/>
          <w:kern w:val="0"/>
          <w:sz w:val="32"/>
          <w:szCs w:val="32"/>
          <w:shd w:val="clear" w:color="auto" w:fill="FFFFFF"/>
        </w:rPr>
        <w:t>住房保障（类）</w:t>
      </w:r>
      <w:r>
        <w:rPr>
          <w:rFonts w:hint="default" w:ascii="仿宋_GB2312" w:hAnsi="ˎ̥" w:eastAsia="仿宋_GB2312" w:cs="仿宋_GB2312"/>
          <w:color w:val="auto"/>
          <w:kern w:val="0"/>
          <w:sz w:val="32"/>
          <w:szCs w:val="32"/>
          <w:shd w:val="clear" w:color="auto" w:fill="FFFFFF"/>
        </w:rPr>
        <w:t>支出</w:t>
      </w:r>
      <w:r>
        <w:rPr>
          <w:rFonts w:hint="eastAsia" w:ascii="仿宋_GB2312" w:hAnsi="ˎ̥" w:eastAsia="仿宋_GB2312" w:cs="仿宋_GB2312"/>
          <w:color w:val="auto"/>
          <w:kern w:val="0"/>
          <w:sz w:val="32"/>
          <w:szCs w:val="32"/>
          <w:shd w:val="clear" w:color="auto" w:fill="FFFFFF"/>
          <w:lang w:val="en-US" w:eastAsia="zh-CN"/>
        </w:rPr>
        <w:t>51.63</w:t>
      </w:r>
      <w:r>
        <w:rPr>
          <w:rFonts w:hint="default" w:ascii="仿宋_GB2312" w:hAnsi="ˎ̥" w:eastAsia="仿宋_GB2312" w:cs="仿宋_GB2312"/>
          <w:color w:val="auto"/>
          <w:kern w:val="0"/>
          <w:sz w:val="32"/>
          <w:szCs w:val="32"/>
          <w:shd w:val="clear" w:color="auto" w:fill="FFFFFF"/>
        </w:rPr>
        <w:t>万元，占</w:t>
      </w:r>
      <w:r>
        <w:rPr>
          <w:rFonts w:hint="eastAsia" w:ascii="仿宋_GB2312" w:hAnsi="ˎ̥" w:eastAsia="仿宋_GB2312" w:cs="仿宋_GB2312"/>
          <w:color w:val="auto"/>
          <w:kern w:val="0"/>
          <w:sz w:val="32"/>
          <w:szCs w:val="32"/>
          <w:shd w:val="clear" w:color="auto" w:fill="FFFFFF"/>
          <w:lang w:val="en-US" w:eastAsia="zh-CN"/>
        </w:rPr>
        <w:t>5.43</w:t>
      </w:r>
      <w:r>
        <w:rPr>
          <w:rFonts w:hint="default" w:ascii="仿宋_GB2312" w:hAnsi="ˎ̥" w:eastAsia="仿宋_GB2312" w:cs="仿宋_GB2312"/>
          <w:color w:val="auto"/>
          <w:kern w:val="0"/>
          <w:sz w:val="32"/>
          <w:szCs w:val="32"/>
          <w:shd w:val="clear" w:color="auto" w:fill="FFFFFF"/>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bookmarkStart w:id="89" w:name="_Toc25136_WPSOffice_Level2"/>
      <w:bookmarkStart w:id="90" w:name="_Toc15415_WPSOffice_Level2"/>
      <w:bookmarkStart w:id="91" w:name="_Toc22318_WPSOffice_Level2"/>
      <w:bookmarkStart w:id="92" w:name="_Toc29364_WPSOffice_Level2"/>
      <w:bookmarkStart w:id="93" w:name="_Toc21701_WPSOffice_Level2"/>
      <w:bookmarkStart w:id="94" w:name="_Toc9502_WPSOffice_Level2"/>
      <w:r>
        <w:rPr>
          <w:rFonts w:hint="eastAsia" w:ascii="楷体" w:hAnsi="楷体" w:eastAsia="楷体" w:cs="楷体"/>
          <w:color w:val="auto"/>
          <w:sz w:val="32"/>
          <w:szCs w:val="32"/>
        </w:rPr>
        <w:t>（三）一般公共预算财政拨款支出决算具体情况</w:t>
      </w:r>
      <w:bookmarkEnd w:id="89"/>
      <w:bookmarkEnd w:id="90"/>
      <w:bookmarkEnd w:id="91"/>
      <w:bookmarkEnd w:id="92"/>
      <w:bookmarkEnd w:id="93"/>
      <w:bookmarkEnd w:id="94"/>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年度一般公共预算财政拨款支出年初预算为</w:t>
      </w:r>
      <w:r>
        <w:rPr>
          <w:rFonts w:hint="eastAsia" w:ascii="仿宋_GB2312" w:hAnsi="ˎ̥" w:eastAsia="仿宋_GB2312"/>
          <w:color w:val="auto"/>
          <w:sz w:val="32"/>
          <w:szCs w:val="32"/>
          <w:lang w:val="en-US" w:eastAsia="zh-CN"/>
        </w:rPr>
        <w:t>805.85</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951.69</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118.10</w:t>
      </w:r>
      <w:r>
        <w:rPr>
          <w:rFonts w:hint="eastAsia" w:ascii="仿宋_GB2312" w:hAnsi="ˎ̥" w:eastAsia="仿宋_GB2312"/>
          <w:color w:val="auto"/>
          <w:sz w:val="32"/>
          <w:szCs w:val="32"/>
        </w:rPr>
        <w:t>%。其中：</w:t>
      </w:r>
    </w:p>
    <w:p>
      <w:pPr>
        <w:keepNext w:val="0"/>
        <w:keepLines w:val="0"/>
        <w:widowControl/>
        <w:suppressLineNumbers w:val="0"/>
        <w:spacing w:before="0" w:beforeAutospacing="0" w:after="100" w:afterAutospacing="1"/>
        <w:ind w:left="0" w:right="0" w:firstLine="640" w:firstLineChars="200"/>
        <w:jc w:val="left"/>
        <w:rPr>
          <w:rFonts w:hint="default" w:ascii="仿宋_GB2312" w:hAnsi="ˎ̥" w:eastAsia="仿宋_GB2312" w:cs="仿宋_GB2312"/>
          <w:b/>
          <w:color w:val="auto"/>
          <w:kern w:val="0"/>
          <w:sz w:val="32"/>
          <w:szCs w:val="32"/>
          <w:shd w:val="clear" w:color="auto" w:fill="FFFFFF"/>
        </w:rPr>
      </w:pPr>
      <w:r>
        <w:rPr>
          <w:rFonts w:hint="default" w:ascii="仿宋_GB2312" w:hAnsi="ˎ̥" w:eastAsia="仿宋_GB2312" w:cs="仿宋_GB2312"/>
          <w:color w:val="auto"/>
          <w:kern w:val="0"/>
          <w:sz w:val="32"/>
          <w:szCs w:val="32"/>
          <w:shd w:val="clear" w:color="auto" w:fill="FFFFFF"/>
        </w:rPr>
        <w:t>1.</w:t>
      </w:r>
      <w:r>
        <w:rPr>
          <w:rFonts w:hint="default" w:ascii="仿宋_GB2312" w:hAnsi="ˎ̥" w:eastAsia="仿宋_GB2312" w:cs="仿宋_GB2312"/>
          <w:b/>
          <w:color w:val="auto"/>
          <w:kern w:val="0"/>
          <w:sz w:val="32"/>
          <w:szCs w:val="32"/>
          <w:shd w:val="clear" w:color="auto" w:fill="FFFFFF"/>
        </w:rPr>
        <w:t>教育支出（类）普通教育（款）学前教育（项）。</w:t>
      </w:r>
    </w:p>
    <w:p>
      <w:pPr>
        <w:keepNext w:val="0"/>
        <w:keepLines w:val="0"/>
        <w:widowControl/>
        <w:suppressLineNumbers w:val="0"/>
        <w:spacing w:before="0" w:beforeAutospacing="0" w:after="100" w:afterAutospacing="1"/>
        <w:ind w:left="0" w:right="0" w:firstLine="640" w:firstLineChars="200"/>
        <w:jc w:val="left"/>
        <w:rPr>
          <w:rFonts w:hint="default" w:ascii="仿宋_GB2312" w:hAnsi="ˎ̥" w:eastAsia="仿宋_GB2312" w:cs="仿宋_GB2312"/>
          <w:color w:val="auto"/>
          <w:kern w:val="0"/>
          <w:sz w:val="32"/>
          <w:szCs w:val="32"/>
          <w:shd w:val="clear" w:color="auto" w:fill="FFFFFF"/>
        </w:rPr>
      </w:pPr>
      <w:r>
        <w:rPr>
          <w:rFonts w:hint="default" w:ascii="仿宋_GB2312" w:hAnsi="ˎ̥" w:eastAsia="仿宋_GB2312" w:cs="仿宋_GB2312"/>
          <w:color w:val="auto"/>
          <w:kern w:val="0"/>
          <w:sz w:val="32"/>
          <w:szCs w:val="32"/>
          <w:shd w:val="clear" w:color="auto" w:fill="FFFFFF"/>
        </w:rPr>
        <w:t>年初预算为</w:t>
      </w:r>
      <w:r>
        <w:rPr>
          <w:rFonts w:hint="eastAsia" w:ascii="仿宋_GB2312" w:hAnsi="ˎ̥" w:eastAsia="仿宋_GB2312" w:cs="仿宋_GB2312"/>
          <w:color w:val="auto"/>
          <w:kern w:val="0"/>
          <w:sz w:val="32"/>
          <w:szCs w:val="32"/>
          <w:shd w:val="clear" w:color="auto" w:fill="FFFFFF"/>
          <w:lang w:val="en-US" w:eastAsia="zh-CN"/>
        </w:rPr>
        <w:t>533.31</w:t>
      </w:r>
      <w:r>
        <w:rPr>
          <w:rFonts w:hint="default" w:ascii="仿宋_GB2312" w:hAnsi="ˎ̥" w:eastAsia="仿宋_GB2312" w:cs="仿宋_GB2312"/>
          <w:color w:val="auto"/>
          <w:kern w:val="0"/>
          <w:sz w:val="32"/>
          <w:szCs w:val="32"/>
          <w:shd w:val="clear" w:color="auto" w:fill="FFFFFF"/>
        </w:rPr>
        <w:t>万元，支出决算为</w:t>
      </w:r>
      <w:r>
        <w:rPr>
          <w:rFonts w:hint="eastAsia" w:ascii="仿宋_GB2312" w:hAnsi="ˎ̥" w:eastAsia="仿宋_GB2312" w:cs="仿宋_GB2312"/>
          <w:color w:val="auto"/>
          <w:kern w:val="0"/>
          <w:sz w:val="32"/>
          <w:szCs w:val="32"/>
          <w:shd w:val="clear" w:color="auto" w:fill="FFFFFF"/>
          <w:lang w:val="en-US" w:eastAsia="zh-CN"/>
        </w:rPr>
        <w:t>698.71</w:t>
      </w:r>
      <w:r>
        <w:rPr>
          <w:rFonts w:hint="default" w:ascii="仿宋_GB2312" w:hAnsi="ˎ̥" w:eastAsia="仿宋_GB2312" w:cs="仿宋_GB2312"/>
          <w:color w:val="auto"/>
          <w:kern w:val="0"/>
          <w:sz w:val="32"/>
          <w:szCs w:val="32"/>
          <w:shd w:val="clear" w:color="auto" w:fill="FFFFFF"/>
        </w:rPr>
        <w:t>万元，完成年初预算的</w:t>
      </w:r>
      <w:r>
        <w:rPr>
          <w:rFonts w:hint="eastAsia" w:ascii="仿宋_GB2312" w:hAnsi="ˎ̥" w:eastAsia="仿宋_GB2312" w:cs="仿宋_GB2312"/>
          <w:color w:val="auto"/>
          <w:kern w:val="0"/>
          <w:sz w:val="32"/>
          <w:szCs w:val="32"/>
          <w:shd w:val="clear" w:color="auto" w:fill="FFFFFF"/>
          <w:lang w:val="en-US" w:eastAsia="zh-CN"/>
        </w:rPr>
        <w:t>131.01</w:t>
      </w:r>
      <w:r>
        <w:rPr>
          <w:rFonts w:hint="default" w:ascii="仿宋_GB2312" w:hAnsi="ˎ̥" w:eastAsia="仿宋_GB2312" w:cs="仿宋_GB2312"/>
          <w:color w:val="auto"/>
          <w:kern w:val="0"/>
          <w:sz w:val="32"/>
          <w:szCs w:val="32"/>
          <w:shd w:val="clear" w:color="auto" w:fill="FFFFFF"/>
        </w:rPr>
        <w:t>%。决算数大于预算数的主要原因：</w:t>
      </w:r>
      <w:r>
        <w:rPr>
          <w:rFonts w:hint="eastAsia" w:ascii="仿宋_GB2312" w:hAnsi="ˎ̥" w:eastAsia="仿宋_GB2312" w:cs="仿宋_GB2312"/>
          <w:color w:val="auto"/>
          <w:kern w:val="0"/>
          <w:sz w:val="32"/>
          <w:szCs w:val="32"/>
          <w:shd w:val="clear" w:color="auto" w:fill="FFFFFF"/>
          <w:lang w:eastAsia="zh-CN"/>
        </w:rPr>
        <w:t>基本支出增加</w:t>
      </w:r>
      <w:r>
        <w:rPr>
          <w:rFonts w:hint="default" w:ascii="仿宋_GB2312" w:hAnsi="ˎ̥" w:eastAsia="仿宋_GB2312" w:cs="仿宋_GB2312"/>
          <w:color w:val="auto"/>
          <w:kern w:val="0"/>
          <w:sz w:val="32"/>
          <w:szCs w:val="32"/>
          <w:shd w:val="clear" w:color="auto" w:fill="FFFFFF"/>
        </w:rPr>
        <w:t>。</w:t>
      </w:r>
    </w:p>
    <w:p>
      <w:pPr>
        <w:keepNext w:val="0"/>
        <w:keepLines w:val="0"/>
        <w:widowControl/>
        <w:suppressLineNumbers w:val="0"/>
        <w:spacing w:before="0" w:beforeAutospacing="0" w:after="100" w:afterAutospacing="1"/>
        <w:ind w:right="0"/>
        <w:jc w:val="left"/>
        <w:rPr>
          <w:rFonts w:hint="default" w:ascii="仿宋_GB2312" w:hAnsi="ˎ̥" w:eastAsia="仿宋_GB2312" w:cs="仿宋_GB2312"/>
          <w:b/>
          <w:color w:val="auto"/>
          <w:kern w:val="0"/>
          <w:sz w:val="32"/>
          <w:szCs w:val="32"/>
          <w:shd w:val="clear" w:color="auto" w:fill="FFFFFF"/>
        </w:rPr>
      </w:pPr>
      <w:r>
        <w:rPr>
          <w:rFonts w:hint="default" w:ascii="仿宋_GB2312" w:hAnsi="ˎ̥" w:eastAsia="仿宋_GB2312" w:cs="仿宋_GB2312"/>
          <w:color w:val="auto"/>
          <w:kern w:val="0"/>
          <w:sz w:val="32"/>
          <w:szCs w:val="32"/>
          <w:shd w:val="clear" w:color="auto" w:fill="FFFFFF"/>
        </w:rPr>
        <w:t xml:space="preserve">     </w:t>
      </w:r>
      <w:r>
        <w:rPr>
          <w:rFonts w:hint="default" w:ascii="仿宋_GB2312" w:hAnsi="ˎ̥" w:eastAsia="仿宋_GB2312" w:cs="仿宋_GB2312"/>
          <w:b/>
          <w:color w:val="auto"/>
          <w:kern w:val="0"/>
          <w:sz w:val="32"/>
          <w:szCs w:val="32"/>
          <w:shd w:val="clear" w:color="auto" w:fill="FFFFFF"/>
        </w:rPr>
        <w:t>2.社会保障和就业支出（类）行政事业单位养老支出（款）机关事业单位基本养老保险费支出（项）</w:t>
      </w:r>
    </w:p>
    <w:p>
      <w:pPr>
        <w:keepNext w:val="0"/>
        <w:keepLines w:val="0"/>
        <w:widowControl/>
        <w:suppressLineNumbers w:val="0"/>
        <w:spacing w:before="0" w:beforeAutospacing="0" w:after="100" w:afterAutospacing="1"/>
        <w:ind w:left="0" w:right="0" w:firstLine="640" w:firstLineChars="200"/>
        <w:jc w:val="left"/>
        <w:rPr>
          <w:rFonts w:hint="default" w:ascii="仿宋_GB2312" w:hAnsi="ˎ̥" w:eastAsia="仿宋_GB2312" w:cs="仿宋_GB2312"/>
          <w:color w:val="auto"/>
          <w:kern w:val="0"/>
          <w:sz w:val="32"/>
          <w:szCs w:val="32"/>
          <w:shd w:val="clear" w:color="auto" w:fill="FFFFFF"/>
        </w:rPr>
      </w:pPr>
      <w:r>
        <w:rPr>
          <w:rFonts w:hint="default" w:ascii="仿宋_GB2312" w:hAnsi="ˎ̥" w:eastAsia="仿宋_GB2312" w:cs="仿宋_GB2312"/>
          <w:color w:val="auto"/>
          <w:kern w:val="0"/>
          <w:sz w:val="32"/>
          <w:szCs w:val="32"/>
          <w:shd w:val="clear" w:color="auto" w:fill="FFFFFF"/>
        </w:rPr>
        <w:t>年初预算为</w:t>
      </w:r>
      <w:r>
        <w:rPr>
          <w:rFonts w:hint="eastAsia" w:ascii="仿宋_GB2312" w:hAnsi="ˎ̥" w:eastAsia="仿宋_GB2312" w:cs="仿宋_GB2312"/>
          <w:color w:val="auto"/>
          <w:kern w:val="0"/>
          <w:sz w:val="32"/>
          <w:szCs w:val="32"/>
          <w:shd w:val="clear" w:color="auto" w:fill="FFFFFF"/>
          <w:lang w:val="en-US" w:eastAsia="zh-CN"/>
        </w:rPr>
        <w:t>69.61</w:t>
      </w:r>
      <w:r>
        <w:rPr>
          <w:rFonts w:hint="default" w:ascii="仿宋_GB2312" w:hAnsi="ˎ̥" w:eastAsia="仿宋_GB2312" w:cs="仿宋_GB2312"/>
          <w:color w:val="auto"/>
          <w:kern w:val="0"/>
          <w:sz w:val="32"/>
          <w:szCs w:val="32"/>
          <w:shd w:val="clear" w:color="auto" w:fill="FFFFFF"/>
        </w:rPr>
        <w:t>万元，支出决算为</w:t>
      </w:r>
      <w:r>
        <w:rPr>
          <w:rFonts w:hint="eastAsia" w:ascii="仿宋_GB2312" w:hAnsi="ˎ̥" w:eastAsia="仿宋_GB2312" w:cs="仿宋_GB2312"/>
          <w:color w:val="auto"/>
          <w:kern w:val="0"/>
          <w:sz w:val="32"/>
          <w:szCs w:val="32"/>
          <w:shd w:val="clear" w:color="auto" w:fill="FFFFFF"/>
          <w:lang w:val="en-US" w:eastAsia="zh-CN"/>
        </w:rPr>
        <w:t>63.44</w:t>
      </w:r>
      <w:r>
        <w:rPr>
          <w:rFonts w:hint="default" w:ascii="仿宋_GB2312" w:hAnsi="ˎ̥" w:eastAsia="仿宋_GB2312" w:cs="仿宋_GB2312"/>
          <w:color w:val="auto"/>
          <w:kern w:val="0"/>
          <w:sz w:val="32"/>
          <w:szCs w:val="32"/>
          <w:shd w:val="clear" w:color="auto" w:fill="FFFFFF"/>
        </w:rPr>
        <w:t>万元，完成年初预算的</w:t>
      </w:r>
      <w:r>
        <w:rPr>
          <w:rFonts w:hint="eastAsia" w:ascii="仿宋_GB2312" w:hAnsi="ˎ̥" w:eastAsia="仿宋_GB2312" w:cs="仿宋_GB2312"/>
          <w:color w:val="auto"/>
          <w:kern w:val="0"/>
          <w:sz w:val="32"/>
          <w:szCs w:val="32"/>
          <w:shd w:val="clear" w:color="auto" w:fill="FFFFFF"/>
          <w:lang w:val="en-US" w:eastAsia="zh-CN"/>
        </w:rPr>
        <w:t>91.14</w:t>
      </w:r>
      <w:r>
        <w:rPr>
          <w:rFonts w:hint="default" w:ascii="仿宋_GB2312" w:hAnsi="ˎ̥" w:eastAsia="仿宋_GB2312" w:cs="仿宋_GB2312"/>
          <w:color w:val="auto"/>
          <w:kern w:val="0"/>
          <w:sz w:val="32"/>
          <w:szCs w:val="32"/>
          <w:shd w:val="clear" w:color="auto" w:fill="FFFFFF"/>
        </w:rPr>
        <w:t>%。决算数</w:t>
      </w:r>
      <w:r>
        <w:rPr>
          <w:rFonts w:hint="eastAsia" w:ascii="仿宋_GB2312" w:hAnsi="ˎ̥" w:eastAsia="仿宋_GB2312" w:cs="仿宋_GB2312"/>
          <w:color w:val="auto"/>
          <w:kern w:val="0"/>
          <w:sz w:val="32"/>
          <w:szCs w:val="32"/>
          <w:shd w:val="clear" w:color="auto" w:fill="FFFFFF"/>
          <w:lang w:eastAsia="zh-CN"/>
        </w:rPr>
        <w:t>小</w:t>
      </w:r>
      <w:r>
        <w:rPr>
          <w:rFonts w:hint="default" w:ascii="仿宋_GB2312" w:hAnsi="ˎ̥" w:eastAsia="仿宋_GB2312" w:cs="仿宋_GB2312"/>
          <w:color w:val="auto"/>
          <w:kern w:val="0"/>
          <w:sz w:val="32"/>
          <w:szCs w:val="32"/>
          <w:shd w:val="clear" w:color="auto" w:fill="FFFFFF"/>
        </w:rPr>
        <w:t>于预算数的主要原因：</w:t>
      </w:r>
      <w:r>
        <w:rPr>
          <w:rFonts w:hint="eastAsia" w:ascii="仿宋_GB2312" w:hAnsi="ˎ̥" w:eastAsia="仿宋_GB2312" w:cs="仿宋_GB2312"/>
          <w:color w:val="auto"/>
          <w:kern w:val="0"/>
          <w:sz w:val="32"/>
          <w:szCs w:val="32"/>
          <w:shd w:val="clear" w:color="auto" w:fill="FFFFFF"/>
          <w:lang w:eastAsia="zh-CN"/>
        </w:rPr>
        <w:t>人员变动</w:t>
      </w:r>
      <w:r>
        <w:rPr>
          <w:rFonts w:hint="default" w:ascii="仿宋_GB2312" w:hAnsi="ˎ̥" w:eastAsia="仿宋_GB2312" w:cs="仿宋_GB2312"/>
          <w:color w:val="auto"/>
          <w:kern w:val="0"/>
          <w:sz w:val="32"/>
          <w:szCs w:val="32"/>
          <w:shd w:val="clear" w:color="auto" w:fill="FFFFFF"/>
        </w:rPr>
        <w:t>。</w:t>
      </w:r>
    </w:p>
    <w:p>
      <w:pPr>
        <w:keepNext w:val="0"/>
        <w:keepLines w:val="0"/>
        <w:widowControl/>
        <w:numPr>
          <w:ilvl w:val="0"/>
          <w:numId w:val="4"/>
        </w:numPr>
        <w:suppressLineNumbers w:val="0"/>
        <w:spacing w:before="0" w:beforeAutospacing="0" w:after="100" w:afterAutospacing="1"/>
        <w:ind w:left="0" w:right="0" w:firstLine="643" w:firstLineChars="200"/>
        <w:jc w:val="left"/>
        <w:rPr>
          <w:rFonts w:hint="default" w:ascii="仿宋_GB2312" w:hAnsi="ˎ̥" w:eastAsia="仿宋_GB2312" w:cs="仿宋_GB2312"/>
          <w:b/>
          <w:color w:val="auto"/>
          <w:kern w:val="0"/>
          <w:sz w:val="32"/>
          <w:szCs w:val="32"/>
          <w:shd w:val="clear" w:color="auto" w:fill="FFFFFF"/>
        </w:rPr>
      </w:pPr>
      <w:r>
        <w:rPr>
          <w:rFonts w:hint="default" w:ascii="仿宋_GB2312" w:hAnsi="ˎ̥" w:eastAsia="仿宋_GB2312" w:cs="仿宋_GB2312"/>
          <w:b/>
          <w:color w:val="auto"/>
          <w:kern w:val="0"/>
          <w:sz w:val="32"/>
          <w:szCs w:val="32"/>
          <w:shd w:val="clear" w:color="auto" w:fill="FFFFFF"/>
        </w:rPr>
        <w:t>社会保障和就业支出（类）行政事业单位养老支出（款）机关事业单位职业年金缴费支出（项）</w:t>
      </w:r>
    </w:p>
    <w:p>
      <w:pPr>
        <w:keepNext w:val="0"/>
        <w:keepLines w:val="0"/>
        <w:widowControl/>
        <w:suppressLineNumbers w:val="0"/>
        <w:spacing w:before="0" w:beforeAutospacing="0" w:after="100" w:afterAutospacing="1"/>
        <w:ind w:left="0" w:right="0" w:firstLine="640" w:firstLineChars="200"/>
        <w:jc w:val="left"/>
        <w:rPr>
          <w:rFonts w:hint="default" w:ascii="仿宋_GB2312" w:hAnsi="ˎ̥" w:eastAsia="仿宋_GB2312" w:cs="仿宋_GB2312"/>
          <w:color w:val="auto"/>
          <w:kern w:val="0"/>
          <w:sz w:val="32"/>
          <w:szCs w:val="32"/>
          <w:shd w:val="clear" w:color="auto" w:fill="FFFFFF"/>
        </w:rPr>
      </w:pPr>
      <w:r>
        <w:rPr>
          <w:rFonts w:hint="default" w:ascii="仿宋_GB2312" w:hAnsi="ˎ̥" w:eastAsia="仿宋_GB2312" w:cs="仿宋_GB2312"/>
          <w:color w:val="auto"/>
          <w:kern w:val="0"/>
          <w:sz w:val="32"/>
          <w:szCs w:val="32"/>
          <w:shd w:val="clear" w:color="auto" w:fill="FFFFFF"/>
        </w:rPr>
        <w:t>年初预算为</w:t>
      </w:r>
      <w:r>
        <w:rPr>
          <w:rFonts w:hint="eastAsia" w:ascii="仿宋_GB2312" w:hAnsi="ˎ̥" w:eastAsia="仿宋_GB2312" w:cs="仿宋_GB2312"/>
          <w:color w:val="auto"/>
          <w:kern w:val="0"/>
          <w:sz w:val="32"/>
          <w:szCs w:val="32"/>
          <w:shd w:val="clear" w:color="auto" w:fill="FFFFFF"/>
          <w:lang w:val="en-US" w:eastAsia="zh-CN"/>
        </w:rPr>
        <w:t>34.81</w:t>
      </w:r>
      <w:r>
        <w:rPr>
          <w:rFonts w:hint="default" w:ascii="仿宋_GB2312" w:hAnsi="ˎ̥" w:eastAsia="仿宋_GB2312" w:cs="仿宋_GB2312"/>
          <w:color w:val="auto"/>
          <w:kern w:val="0"/>
          <w:sz w:val="32"/>
          <w:szCs w:val="32"/>
          <w:shd w:val="clear" w:color="auto" w:fill="FFFFFF"/>
        </w:rPr>
        <w:t>万元，支出决算为</w:t>
      </w:r>
      <w:r>
        <w:rPr>
          <w:rFonts w:hint="eastAsia" w:ascii="仿宋_GB2312" w:hAnsi="ˎ̥" w:eastAsia="仿宋_GB2312" w:cs="仿宋_GB2312"/>
          <w:color w:val="auto"/>
          <w:kern w:val="0"/>
          <w:sz w:val="32"/>
          <w:szCs w:val="32"/>
          <w:shd w:val="clear" w:color="auto" w:fill="FFFFFF"/>
          <w:lang w:val="en-US" w:eastAsia="zh-CN"/>
        </w:rPr>
        <w:t>39.07</w:t>
      </w:r>
      <w:r>
        <w:rPr>
          <w:rFonts w:hint="default" w:ascii="仿宋_GB2312" w:hAnsi="ˎ̥" w:eastAsia="仿宋_GB2312" w:cs="仿宋_GB2312"/>
          <w:color w:val="auto"/>
          <w:kern w:val="0"/>
          <w:sz w:val="32"/>
          <w:szCs w:val="32"/>
          <w:shd w:val="clear" w:color="auto" w:fill="FFFFFF"/>
        </w:rPr>
        <w:t>万元，完成年初预算的</w:t>
      </w:r>
      <w:r>
        <w:rPr>
          <w:rFonts w:hint="eastAsia" w:ascii="仿宋_GB2312" w:hAnsi="ˎ̥" w:eastAsia="仿宋_GB2312" w:cs="仿宋_GB2312"/>
          <w:color w:val="auto"/>
          <w:kern w:val="0"/>
          <w:sz w:val="32"/>
          <w:szCs w:val="32"/>
          <w:shd w:val="clear" w:color="auto" w:fill="FFFFFF"/>
          <w:lang w:val="en-US" w:eastAsia="zh-CN"/>
        </w:rPr>
        <w:t>112.23</w:t>
      </w:r>
      <w:r>
        <w:rPr>
          <w:rFonts w:hint="default" w:ascii="仿宋_GB2312" w:hAnsi="ˎ̥" w:eastAsia="仿宋_GB2312" w:cs="仿宋_GB2312"/>
          <w:color w:val="auto"/>
          <w:kern w:val="0"/>
          <w:sz w:val="32"/>
          <w:szCs w:val="32"/>
          <w:shd w:val="clear" w:color="auto" w:fill="FFFFFF"/>
        </w:rPr>
        <w:t>%。决算数大于预算数的主要原因：</w:t>
      </w:r>
      <w:r>
        <w:rPr>
          <w:rFonts w:hint="eastAsia" w:ascii="仿宋_GB2312" w:hAnsi="ˎ̥" w:eastAsia="仿宋_GB2312" w:cs="仿宋_GB2312"/>
          <w:color w:val="auto"/>
          <w:kern w:val="0"/>
          <w:sz w:val="32"/>
          <w:szCs w:val="32"/>
          <w:shd w:val="clear" w:color="auto" w:fill="FFFFFF"/>
          <w:lang w:eastAsia="zh-CN"/>
        </w:rPr>
        <w:t>基数变动</w:t>
      </w:r>
      <w:r>
        <w:rPr>
          <w:rFonts w:hint="default" w:ascii="仿宋_GB2312" w:hAnsi="ˎ̥" w:eastAsia="仿宋_GB2312" w:cs="仿宋_GB2312"/>
          <w:color w:val="auto"/>
          <w:kern w:val="0"/>
          <w:sz w:val="32"/>
          <w:szCs w:val="32"/>
          <w:shd w:val="clear" w:color="auto" w:fill="FFFFFF"/>
        </w:rPr>
        <w:t>。</w:t>
      </w:r>
    </w:p>
    <w:p>
      <w:pPr>
        <w:keepNext w:val="0"/>
        <w:keepLines w:val="0"/>
        <w:widowControl/>
        <w:suppressLineNumbers w:val="0"/>
        <w:spacing w:before="0" w:beforeAutospacing="0" w:after="100" w:afterAutospacing="1"/>
        <w:ind w:right="0"/>
        <w:jc w:val="left"/>
        <w:rPr>
          <w:rFonts w:hint="default" w:ascii="仿宋_GB2312" w:hAnsi="ˎ̥" w:eastAsia="仿宋_GB2312" w:cs="仿宋_GB2312"/>
          <w:color w:val="auto"/>
          <w:kern w:val="0"/>
          <w:sz w:val="32"/>
          <w:szCs w:val="32"/>
          <w:shd w:val="clear" w:color="auto" w:fill="FFFFFF"/>
        </w:rPr>
      </w:pPr>
      <w:r>
        <w:rPr>
          <w:rFonts w:hint="eastAsia" w:ascii="仿宋_GB2312" w:hAnsi="ˎ̥" w:eastAsia="仿宋_GB2312" w:cs="仿宋_GB2312"/>
          <w:color w:val="auto"/>
          <w:kern w:val="0"/>
          <w:sz w:val="32"/>
          <w:szCs w:val="32"/>
          <w:shd w:val="clear" w:color="auto" w:fill="FFFFFF"/>
          <w:lang w:val="en-US" w:eastAsia="zh-CN"/>
        </w:rPr>
        <w:t xml:space="preserve">    4</w:t>
      </w:r>
      <w:r>
        <w:rPr>
          <w:rFonts w:hint="default" w:ascii="仿宋_GB2312" w:hAnsi="ˎ̥" w:eastAsia="仿宋_GB2312" w:cs="仿宋_GB2312"/>
          <w:color w:val="auto"/>
          <w:kern w:val="0"/>
          <w:sz w:val="32"/>
          <w:szCs w:val="32"/>
          <w:shd w:val="clear" w:color="auto" w:fill="FFFFFF"/>
        </w:rPr>
        <w:t>.</w:t>
      </w:r>
      <w:r>
        <w:rPr>
          <w:rFonts w:hint="default" w:ascii="仿宋_GB2312" w:hAnsi="ˎ̥" w:eastAsia="仿宋_GB2312" w:cs="仿宋_GB2312"/>
          <w:b/>
          <w:color w:val="auto"/>
          <w:kern w:val="0"/>
          <w:sz w:val="32"/>
          <w:szCs w:val="32"/>
          <w:shd w:val="clear" w:color="auto" w:fill="FFFFFF"/>
        </w:rPr>
        <w:t>卫生健康支出（类）行政事业单位医疗（款）事业单位医疗（项）</w:t>
      </w:r>
    </w:p>
    <w:p>
      <w:pPr>
        <w:keepNext w:val="0"/>
        <w:keepLines w:val="0"/>
        <w:widowControl/>
        <w:suppressLineNumbers w:val="0"/>
        <w:spacing w:before="0" w:beforeAutospacing="0" w:after="100" w:afterAutospacing="1"/>
        <w:ind w:left="0" w:right="0" w:firstLine="640" w:firstLineChars="200"/>
        <w:jc w:val="left"/>
        <w:rPr>
          <w:rFonts w:hint="default" w:ascii="仿宋_GB2312" w:hAnsi="ˎ̥" w:eastAsia="仿宋_GB2312" w:cs="仿宋_GB2312"/>
          <w:color w:val="auto"/>
          <w:kern w:val="0"/>
          <w:sz w:val="32"/>
          <w:szCs w:val="32"/>
          <w:shd w:val="clear" w:color="auto" w:fill="FFFFFF"/>
        </w:rPr>
      </w:pPr>
      <w:r>
        <w:rPr>
          <w:rFonts w:hint="default" w:ascii="仿宋_GB2312" w:hAnsi="ˎ̥" w:eastAsia="仿宋_GB2312" w:cs="仿宋_GB2312"/>
          <w:color w:val="auto"/>
          <w:kern w:val="0"/>
          <w:sz w:val="32"/>
          <w:szCs w:val="32"/>
          <w:shd w:val="clear" w:color="auto" w:fill="FFFFFF"/>
        </w:rPr>
        <w:t>年初预算为</w:t>
      </w:r>
      <w:r>
        <w:rPr>
          <w:rFonts w:hint="eastAsia" w:ascii="仿宋_GB2312" w:hAnsi="ˎ̥" w:eastAsia="仿宋_GB2312" w:cs="仿宋_GB2312"/>
          <w:color w:val="auto"/>
          <w:kern w:val="0"/>
          <w:sz w:val="32"/>
          <w:szCs w:val="32"/>
          <w:shd w:val="clear" w:color="auto" w:fill="FFFFFF"/>
          <w:lang w:val="en-US" w:eastAsia="zh-CN"/>
        </w:rPr>
        <w:t>32.28</w:t>
      </w:r>
      <w:r>
        <w:rPr>
          <w:rFonts w:hint="default" w:ascii="仿宋_GB2312" w:hAnsi="ˎ̥" w:eastAsia="仿宋_GB2312" w:cs="仿宋_GB2312"/>
          <w:color w:val="auto"/>
          <w:kern w:val="0"/>
          <w:sz w:val="32"/>
          <w:szCs w:val="32"/>
          <w:shd w:val="clear" w:color="auto" w:fill="FFFFFF"/>
        </w:rPr>
        <w:t>万元，支出决算为</w:t>
      </w:r>
      <w:r>
        <w:rPr>
          <w:rFonts w:hint="eastAsia" w:ascii="仿宋_GB2312" w:hAnsi="ˎ̥" w:eastAsia="仿宋_GB2312" w:cs="仿宋_GB2312"/>
          <w:color w:val="auto"/>
          <w:kern w:val="0"/>
          <w:sz w:val="32"/>
          <w:szCs w:val="32"/>
          <w:shd w:val="clear" w:color="auto" w:fill="FFFFFF"/>
          <w:lang w:val="en-US" w:eastAsia="zh-CN"/>
        </w:rPr>
        <w:t>25.91</w:t>
      </w:r>
      <w:r>
        <w:rPr>
          <w:rFonts w:hint="default" w:ascii="仿宋_GB2312" w:hAnsi="ˎ̥" w:eastAsia="仿宋_GB2312" w:cs="仿宋_GB2312"/>
          <w:color w:val="auto"/>
          <w:kern w:val="0"/>
          <w:sz w:val="32"/>
          <w:szCs w:val="32"/>
          <w:shd w:val="clear" w:color="auto" w:fill="FFFFFF"/>
        </w:rPr>
        <w:t>万元，完成年初预算的</w:t>
      </w:r>
      <w:r>
        <w:rPr>
          <w:rFonts w:hint="eastAsia" w:ascii="仿宋_GB2312" w:hAnsi="ˎ̥" w:eastAsia="仿宋_GB2312" w:cs="仿宋_GB2312"/>
          <w:color w:val="auto"/>
          <w:kern w:val="0"/>
          <w:sz w:val="32"/>
          <w:szCs w:val="32"/>
          <w:shd w:val="clear" w:color="auto" w:fill="FFFFFF"/>
          <w:lang w:val="en-US" w:eastAsia="zh-CN"/>
        </w:rPr>
        <w:t>80.27</w:t>
      </w:r>
      <w:r>
        <w:rPr>
          <w:rFonts w:hint="default" w:ascii="仿宋_GB2312" w:hAnsi="ˎ̥" w:eastAsia="仿宋_GB2312" w:cs="仿宋_GB2312"/>
          <w:color w:val="auto"/>
          <w:kern w:val="0"/>
          <w:sz w:val="32"/>
          <w:szCs w:val="32"/>
          <w:shd w:val="clear" w:color="auto" w:fill="FFFFFF"/>
        </w:rPr>
        <w:t>%。决算数</w:t>
      </w:r>
      <w:r>
        <w:rPr>
          <w:rFonts w:hint="eastAsia" w:ascii="仿宋_GB2312" w:hAnsi="ˎ̥" w:eastAsia="仿宋_GB2312" w:cs="仿宋_GB2312"/>
          <w:color w:val="auto"/>
          <w:kern w:val="0"/>
          <w:sz w:val="32"/>
          <w:szCs w:val="32"/>
          <w:shd w:val="clear" w:color="auto" w:fill="FFFFFF"/>
          <w:lang w:eastAsia="zh-CN"/>
        </w:rPr>
        <w:t>小于</w:t>
      </w:r>
      <w:r>
        <w:rPr>
          <w:rFonts w:hint="default" w:ascii="仿宋_GB2312" w:hAnsi="ˎ̥" w:eastAsia="仿宋_GB2312" w:cs="仿宋_GB2312"/>
          <w:color w:val="auto"/>
          <w:kern w:val="0"/>
          <w:sz w:val="32"/>
          <w:szCs w:val="32"/>
          <w:shd w:val="clear" w:color="auto" w:fill="FFFFFF"/>
        </w:rPr>
        <w:t>预算数的主要原因：</w:t>
      </w:r>
      <w:r>
        <w:rPr>
          <w:rFonts w:hint="eastAsia" w:ascii="仿宋_GB2312" w:hAnsi="ˎ̥" w:eastAsia="仿宋_GB2312" w:cs="仿宋_GB2312"/>
          <w:color w:val="auto"/>
          <w:kern w:val="0"/>
          <w:sz w:val="32"/>
          <w:szCs w:val="32"/>
          <w:shd w:val="clear" w:color="auto" w:fill="FFFFFF"/>
          <w:lang w:eastAsia="zh-CN"/>
        </w:rPr>
        <w:t>人员变动</w:t>
      </w:r>
      <w:r>
        <w:rPr>
          <w:rFonts w:hint="default" w:ascii="仿宋_GB2312" w:hAnsi="ˎ̥" w:eastAsia="仿宋_GB2312" w:cs="仿宋_GB2312"/>
          <w:color w:val="auto"/>
          <w:kern w:val="0"/>
          <w:sz w:val="32"/>
          <w:szCs w:val="32"/>
          <w:shd w:val="clear" w:color="auto" w:fill="FFFFFF"/>
        </w:rPr>
        <w:t>。</w:t>
      </w:r>
    </w:p>
    <w:p>
      <w:pPr>
        <w:keepNext w:val="0"/>
        <w:keepLines w:val="0"/>
        <w:widowControl/>
        <w:suppressLineNumbers w:val="0"/>
        <w:spacing w:before="0" w:beforeAutospacing="0" w:after="100" w:afterAutospacing="1"/>
        <w:ind w:right="0"/>
        <w:jc w:val="left"/>
        <w:rPr>
          <w:rFonts w:hint="default" w:ascii="仿宋_GB2312" w:hAnsi="ˎ̥" w:eastAsia="仿宋_GB2312" w:cs="仿宋_GB2312"/>
          <w:color w:val="auto"/>
          <w:kern w:val="0"/>
          <w:sz w:val="32"/>
          <w:szCs w:val="32"/>
          <w:shd w:val="clear" w:color="auto" w:fill="FFFFFF"/>
        </w:rPr>
      </w:pPr>
      <w:r>
        <w:rPr>
          <w:rFonts w:hint="default" w:ascii="仿宋_GB2312" w:hAnsi="ˎ̥" w:eastAsia="仿宋_GB2312" w:cs="仿宋_GB2312"/>
          <w:color w:val="auto"/>
          <w:kern w:val="0"/>
          <w:sz w:val="32"/>
          <w:szCs w:val="32"/>
          <w:shd w:val="clear" w:color="auto" w:fill="FFFFFF"/>
        </w:rPr>
        <w:t xml:space="preserve">  </w:t>
      </w:r>
      <w:r>
        <w:rPr>
          <w:rFonts w:hint="eastAsia" w:ascii="仿宋_GB2312" w:hAnsi="ˎ̥" w:eastAsia="仿宋_GB2312" w:cs="仿宋_GB2312"/>
          <w:b/>
          <w:color w:val="auto"/>
          <w:kern w:val="0"/>
          <w:sz w:val="32"/>
          <w:szCs w:val="32"/>
          <w:shd w:val="clear" w:color="auto" w:fill="FFFFFF"/>
          <w:lang w:val="en-US" w:eastAsia="zh-CN"/>
        </w:rPr>
        <w:t>5</w:t>
      </w:r>
      <w:r>
        <w:rPr>
          <w:rFonts w:hint="default" w:ascii="仿宋_GB2312" w:hAnsi="ˎ̥" w:eastAsia="仿宋_GB2312" w:cs="仿宋_GB2312"/>
          <w:b/>
          <w:color w:val="auto"/>
          <w:kern w:val="0"/>
          <w:sz w:val="32"/>
          <w:szCs w:val="32"/>
          <w:shd w:val="clear" w:color="auto" w:fill="FFFFFF"/>
        </w:rPr>
        <w:t>.卫生健康支出（类）行政事业单位医疗（款）公务员医疗补助（项）</w:t>
      </w:r>
    </w:p>
    <w:p>
      <w:pPr>
        <w:keepNext w:val="0"/>
        <w:keepLines w:val="0"/>
        <w:widowControl/>
        <w:suppressLineNumbers w:val="0"/>
        <w:spacing w:before="0" w:beforeAutospacing="0" w:after="100" w:afterAutospacing="1"/>
        <w:ind w:right="0"/>
        <w:jc w:val="left"/>
        <w:rPr>
          <w:rFonts w:hint="default" w:ascii="仿宋_GB2312" w:hAnsi="ˎ̥" w:eastAsia="仿宋_GB2312" w:cs="仿宋_GB2312"/>
          <w:color w:val="auto"/>
          <w:kern w:val="0"/>
          <w:sz w:val="32"/>
          <w:szCs w:val="32"/>
          <w:shd w:val="clear" w:color="auto" w:fill="FFFFFF"/>
        </w:rPr>
      </w:pPr>
      <w:r>
        <w:rPr>
          <w:rFonts w:hint="default" w:ascii="仿宋_GB2312" w:hAnsi="ˎ̥" w:eastAsia="仿宋_GB2312" w:cs="仿宋_GB2312"/>
          <w:color w:val="auto"/>
          <w:kern w:val="0"/>
          <w:sz w:val="32"/>
          <w:szCs w:val="32"/>
          <w:shd w:val="clear" w:color="auto" w:fill="FFFFFF"/>
        </w:rPr>
        <w:t xml:space="preserve">   </w:t>
      </w:r>
      <w:r>
        <w:rPr>
          <w:rFonts w:hint="eastAsia" w:ascii="仿宋_GB2312" w:hAnsi="ˎ̥" w:eastAsia="仿宋_GB2312" w:cs="仿宋_GB2312"/>
          <w:color w:val="auto"/>
          <w:kern w:val="0"/>
          <w:sz w:val="32"/>
          <w:szCs w:val="32"/>
          <w:shd w:val="clear" w:color="auto" w:fill="FFFFFF"/>
          <w:lang w:val="en-US" w:eastAsia="zh-CN"/>
        </w:rPr>
        <w:t xml:space="preserve"> </w:t>
      </w:r>
      <w:r>
        <w:rPr>
          <w:rFonts w:hint="default" w:ascii="仿宋_GB2312" w:hAnsi="ˎ̥" w:eastAsia="仿宋_GB2312" w:cs="仿宋_GB2312"/>
          <w:color w:val="auto"/>
          <w:kern w:val="0"/>
          <w:sz w:val="32"/>
          <w:szCs w:val="32"/>
          <w:shd w:val="clear" w:color="auto" w:fill="FFFFFF"/>
        </w:rPr>
        <w:t>年初预算为</w:t>
      </w:r>
      <w:r>
        <w:rPr>
          <w:rFonts w:hint="eastAsia" w:ascii="仿宋_GB2312" w:hAnsi="ˎ̥" w:eastAsia="仿宋_GB2312" w:cs="仿宋_GB2312"/>
          <w:color w:val="auto"/>
          <w:kern w:val="0"/>
          <w:sz w:val="32"/>
          <w:szCs w:val="32"/>
          <w:shd w:val="clear" w:color="auto" w:fill="FFFFFF"/>
          <w:lang w:val="en-US" w:eastAsia="zh-CN"/>
        </w:rPr>
        <w:t>74.80</w:t>
      </w:r>
      <w:r>
        <w:rPr>
          <w:rFonts w:hint="default" w:ascii="仿宋_GB2312" w:hAnsi="ˎ̥" w:eastAsia="仿宋_GB2312" w:cs="仿宋_GB2312"/>
          <w:color w:val="auto"/>
          <w:kern w:val="0"/>
          <w:sz w:val="32"/>
          <w:szCs w:val="32"/>
          <w:shd w:val="clear" w:color="auto" w:fill="FFFFFF"/>
        </w:rPr>
        <w:t>万元，支出决算为</w:t>
      </w:r>
      <w:r>
        <w:rPr>
          <w:rFonts w:hint="eastAsia" w:ascii="仿宋_GB2312" w:hAnsi="ˎ̥" w:eastAsia="仿宋_GB2312" w:cs="仿宋_GB2312"/>
          <w:color w:val="auto"/>
          <w:kern w:val="0"/>
          <w:sz w:val="32"/>
          <w:szCs w:val="32"/>
          <w:shd w:val="clear" w:color="auto" w:fill="FFFFFF"/>
          <w:lang w:val="en-US" w:eastAsia="zh-CN"/>
        </w:rPr>
        <w:t>69.95</w:t>
      </w:r>
      <w:r>
        <w:rPr>
          <w:rFonts w:hint="default" w:ascii="仿宋_GB2312" w:hAnsi="ˎ̥" w:eastAsia="仿宋_GB2312" w:cs="仿宋_GB2312"/>
          <w:color w:val="auto"/>
          <w:kern w:val="0"/>
          <w:sz w:val="32"/>
          <w:szCs w:val="32"/>
          <w:shd w:val="clear" w:color="auto" w:fill="FFFFFF"/>
        </w:rPr>
        <w:t>万元，完成年初预算的</w:t>
      </w:r>
      <w:r>
        <w:rPr>
          <w:rFonts w:hint="eastAsia" w:ascii="仿宋_GB2312" w:hAnsi="ˎ̥" w:eastAsia="仿宋_GB2312" w:cs="仿宋_GB2312"/>
          <w:color w:val="auto"/>
          <w:kern w:val="0"/>
          <w:sz w:val="32"/>
          <w:szCs w:val="32"/>
          <w:shd w:val="clear" w:color="auto" w:fill="FFFFFF"/>
          <w:lang w:val="en-US" w:eastAsia="zh-CN"/>
        </w:rPr>
        <w:t>93.52</w:t>
      </w:r>
      <w:r>
        <w:rPr>
          <w:rFonts w:hint="default" w:ascii="仿宋_GB2312" w:hAnsi="ˎ̥" w:eastAsia="仿宋_GB2312" w:cs="仿宋_GB2312"/>
          <w:color w:val="auto"/>
          <w:kern w:val="0"/>
          <w:sz w:val="32"/>
          <w:szCs w:val="32"/>
          <w:shd w:val="clear" w:color="auto" w:fill="FFFFFF"/>
        </w:rPr>
        <w:t>%。决算数</w:t>
      </w:r>
      <w:r>
        <w:rPr>
          <w:rFonts w:hint="eastAsia" w:ascii="仿宋_GB2312" w:hAnsi="ˎ̥" w:eastAsia="仿宋_GB2312" w:cs="仿宋_GB2312"/>
          <w:color w:val="auto"/>
          <w:kern w:val="0"/>
          <w:sz w:val="32"/>
          <w:szCs w:val="32"/>
          <w:shd w:val="clear" w:color="auto" w:fill="FFFFFF"/>
          <w:lang w:eastAsia="zh-CN"/>
        </w:rPr>
        <w:t>小于</w:t>
      </w:r>
      <w:r>
        <w:rPr>
          <w:rFonts w:hint="default" w:ascii="仿宋_GB2312" w:hAnsi="ˎ̥" w:eastAsia="仿宋_GB2312" w:cs="仿宋_GB2312"/>
          <w:color w:val="auto"/>
          <w:kern w:val="0"/>
          <w:sz w:val="32"/>
          <w:szCs w:val="32"/>
          <w:shd w:val="clear" w:color="auto" w:fill="FFFFFF"/>
        </w:rPr>
        <w:t>预算数的主要原因：</w:t>
      </w:r>
      <w:r>
        <w:rPr>
          <w:rFonts w:hint="eastAsia" w:ascii="仿宋_GB2312" w:hAnsi="ˎ̥" w:eastAsia="仿宋_GB2312" w:cs="仿宋_GB2312"/>
          <w:color w:val="auto"/>
          <w:kern w:val="0"/>
          <w:sz w:val="32"/>
          <w:szCs w:val="32"/>
          <w:shd w:val="clear" w:color="auto" w:fill="FFFFFF"/>
          <w:lang w:eastAsia="zh-CN"/>
        </w:rPr>
        <w:t>人员变动</w:t>
      </w:r>
      <w:r>
        <w:rPr>
          <w:rFonts w:hint="default" w:ascii="仿宋_GB2312" w:hAnsi="ˎ̥" w:eastAsia="仿宋_GB2312" w:cs="仿宋_GB2312"/>
          <w:color w:val="auto"/>
          <w:kern w:val="0"/>
          <w:sz w:val="32"/>
          <w:szCs w:val="32"/>
          <w:shd w:val="clear" w:color="auto" w:fill="FFFFFF"/>
        </w:rPr>
        <w:t>。</w:t>
      </w:r>
    </w:p>
    <w:p>
      <w:pPr>
        <w:keepNext w:val="0"/>
        <w:keepLines w:val="0"/>
        <w:widowControl/>
        <w:suppressLineNumbers w:val="0"/>
        <w:spacing w:before="0" w:beforeAutospacing="0" w:after="100" w:afterAutospacing="1"/>
        <w:ind w:left="0" w:right="0" w:firstLine="558" w:firstLineChars="0"/>
        <w:jc w:val="left"/>
        <w:rPr>
          <w:rFonts w:hint="default" w:ascii="仿宋_GB2312" w:hAnsi="ˎ̥" w:eastAsia="仿宋_GB2312" w:cs="仿宋_GB2312"/>
          <w:color w:val="auto"/>
          <w:kern w:val="0"/>
          <w:sz w:val="32"/>
          <w:szCs w:val="32"/>
          <w:shd w:val="clear" w:color="auto" w:fill="FFFFFF"/>
        </w:rPr>
      </w:pPr>
      <w:r>
        <w:rPr>
          <w:rFonts w:hint="eastAsia" w:ascii="仿宋_GB2312" w:hAnsi="ˎ̥" w:eastAsia="仿宋_GB2312" w:cs="仿宋_GB2312"/>
          <w:b/>
          <w:color w:val="auto"/>
          <w:kern w:val="0"/>
          <w:sz w:val="32"/>
          <w:szCs w:val="32"/>
          <w:shd w:val="clear" w:color="auto" w:fill="FFFFFF"/>
          <w:lang w:val="en-US" w:eastAsia="zh-CN"/>
        </w:rPr>
        <w:t>6</w:t>
      </w:r>
      <w:r>
        <w:rPr>
          <w:rFonts w:hint="default" w:ascii="仿宋_GB2312" w:hAnsi="ˎ̥" w:eastAsia="仿宋_GB2312" w:cs="仿宋_GB2312"/>
          <w:b/>
          <w:color w:val="auto"/>
          <w:kern w:val="0"/>
          <w:sz w:val="32"/>
          <w:szCs w:val="32"/>
          <w:shd w:val="clear" w:color="auto" w:fill="FFFFFF"/>
        </w:rPr>
        <w:t>.卫生健康支出（类）行政事业单位医疗（款）其他行政事业单位医疗支出（项）</w:t>
      </w:r>
    </w:p>
    <w:p>
      <w:pPr>
        <w:keepNext w:val="0"/>
        <w:keepLines w:val="0"/>
        <w:widowControl/>
        <w:suppressLineNumbers w:val="0"/>
        <w:spacing w:before="0" w:beforeAutospacing="0" w:after="100" w:afterAutospacing="1"/>
        <w:ind w:left="0" w:right="0" w:firstLine="640" w:firstLineChars="200"/>
        <w:jc w:val="left"/>
        <w:rPr>
          <w:rFonts w:hint="default" w:ascii="仿宋_GB2312" w:hAnsi="ˎ̥" w:eastAsia="仿宋_GB2312" w:cs="仿宋_GB2312"/>
          <w:color w:val="auto"/>
          <w:kern w:val="0"/>
          <w:sz w:val="32"/>
          <w:szCs w:val="32"/>
          <w:shd w:val="clear" w:color="auto" w:fill="FFFFFF"/>
        </w:rPr>
      </w:pPr>
      <w:r>
        <w:rPr>
          <w:rFonts w:hint="default" w:ascii="仿宋_GB2312" w:hAnsi="ˎ̥" w:eastAsia="仿宋_GB2312" w:cs="仿宋_GB2312"/>
          <w:color w:val="auto"/>
          <w:kern w:val="0"/>
          <w:sz w:val="32"/>
          <w:szCs w:val="32"/>
          <w:shd w:val="clear" w:color="auto" w:fill="FFFFFF"/>
        </w:rPr>
        <w:t>年初预算为</w:t>
      </w:r>
      <w:r>
        <w:rPr>
          <w:rFonts w:hint="eastAsia" w:ascii="仿宋_GB2312" w:hAnsi="ˎ̥" w:eastAsia="仿宋_GB2312" w:cs="仿宋_GB2312"/>
          <w:color w:val="auto"/>
          <w:kern w:val="0"/>
          <w:sz w:val="32"/>
          <w:szCs w:val="32"/>
          <w:shd w:val="clear" w:color="auto" w:fill="FFFFFF"/>
          <w:lang w:val="en-US" w:eastAsia="zh-CN"/>
        </w:rPr>
        <w:t>3.41</w:t>
      </w:r>
      <w:r>
        <w:rPr>
          <w:rFonts w:hint="default" w:ascii="仿宋_GB2312" w:hAnsi="ˎ̥" w:eastAsia="仿宋_GB2312" w:cs="仿宋_GB2312"/>
          <w:color w:val="auto"/>
          <w:kern w:val="0"/>
          <w:sz w:val="32"/>
          <w:szCs w:val="32"/>
          <w:shd w:val="clear" w:color="auto" w:fill="FFFFFF"/>
        </w:rPr>
        <w:t>万元，支出决算为</w:t>
      </w:r>
      <w:r>
        <w:rPr>
          <w:rFonts w:hint="eastAsia" w:ascii="仿宋_GB2312" w:hAnsi="ˎ̥" w:eastAsia="仿宋_GB2312" w:cs="仿宋_GB2312"/>
          <w:color w:val="auto"/>
          <w:kern w:val="0"/>
          <w:sz w:val="32"/>
          <w:szCs w:val="32"/>
          <w:shd w:val="clear" w:color="auto" w:fill="FFFFFF"/>
          <w:lang w:val="en-US" w:eastAsia="zh-CN"/>
        </w:rPr>
        <w:t>2.97</w:t>
      </w:r>
      <w:r>
        <w:rPr>
          <w:rFonts w:hint="default" w:ascii="仿宋_GB2312" w:hAnsi="ˎ̥" w:eastAsia="仿宋_GB2312" w:cs="仿宋_GB2312"/>
          <w:color w:val="auto"/>
          <w:kern w:val="0"/>
          <w:sz w:val="32"/>
          <w:szCs w:val="32"/>
          <w:shd w:val="clear" w:color="auto" w:fill="FFFFFF"/>
        </w:rPr>
        <w:t>万元，完成年初预算的</w:t>
      </w:r>
      <w:r>
        <w:rPr>
          <w:rFonts w:hint="eastAsia" w:ascii="仿宋_GB2312" w:hAnsi="ˎ̥" w:eastAsia="仿宋_GB2312" w:cs="仿宋_GB2312"/>
          <w:color w:val="auto"/>
          <w:kern w:val="0"/>
          <w:sz w:val="32"/>
          <w:szCs w:val="32"/>
          <w:shd w:val="clear" w:color="auto" w:fill="FFFFFF"/>
          <w:lang w:val="en-US" w:eastAsia="zh-CN"/>
        </w:rPr>
        <w:t>94.58</w:t>
      </w:r>
      <w:r>
        <w:rPr>
          <w:rFonts w:hint="default" w:ascii="仿宋_GB2312" w:hAnsi="ˎ̥" w:eastAsia="仿宋_GB2312" w:cs="仿宋_GB2312"/>
          <w:color w:val="auto"/>
          <w:kern w:val="0"/>
          <w:sz w:val="32"/>
          <w:szCs w:val="32"/>
          <w:shd w:val="clear" w:color="auto" w:fill="FFFFFF"/>
        </w:rPr>
        <w:t>%，决算数小于预算数的主要原因：该预算为体检费，个别退休人员未参加体检。</w:t>
      </w:r>
    </w:p>
    <w:p>
      <w:pPr>
        <w:keepNext w:val="0"/>
        <w:keepLines w:val="0"/>
        <w:widowControl/>
        <w:suppressLineNumbers w:val="0"/>
        <w:spacing w:before="0" w:beforeAutospacing="0" w:after="100" w:afterAutospacing="1"/>
        <w:ind w:right="0" w:rightChars="0"/>
        <w:jc w:val="left"/>
        <w:rPr>
          <w:rFonts w:hint="default" w:ascii="仿宋_GB2312" w:hAnsi="ˎ̥" w:eastAsia="仿宋_GB2312" w:cs="仿宋_GB2312"/>
          <w:b/>
          <w:color w:val="auto"/>
          <w:kern w:val="0"/>
          <w:sz w:val="32"/>
          <w:szCs w:val="32"/>
          <w:shd w:val="clear" w:color="auto" w:fill="FFFFFF"/>
        </w:rPr>
      </w:pPr>
      <w:r>
        <w:rPr>
          <w:rFonts w:hint="default" w:ascii="仿宋_GB2312" w:hAnsi="ˎ̥" w:eastAsia="仿宋_GB2312" w:cs="仿宋_GB2312"/>
          <w:b/>
          <w:color w:val="auto"/>
          <w:kern w:val="0"/>
          <w:sz w:val="32"/>
          <w:szCs w:val="32"/>
          <w:shd w:val="clear" w:color="auto" w:fill="FFFFFF"/>
        </w:rPr>
        <w:t xml:space="preserve">    </w:t>
      </w:r>
      <w:r>
        <w:rPr>
          <w:rFonts w:hint="eastAsia" w:ascii="仿宋_GB2312" w:hAnsi="ˎ̥" w:eastAsia="仿宋_GB2312" w:cs="仿宋_GB2312"/>
          <w:b/>
          <w:color w:val="auto"/>
          <w:kern w:val="0"/>
          <w:sz w:val="32"/>
          <w:szCs w:val="32"/>
          <w:shd w:val="clear" w:color="auto" w:fill="FFFFFF"/>
          <w:lang w:val="en-US" w:eastAsia="zh-CN"/>
        </w:rPr>
        <w:t>7</w:t>
      </w:r>
      <w:r>
        <w:rPr>
          <w:rFonts w:hint="default" w:ascii="仿宋_GB2312" w:hAnsi="ˎ̥" w:eastAsia="仿宋_GB2312" w:cs="仿宋_GB2312"/>
          <w:b/>
          <w:color w:val="auto"/>
          <w:kern w:val="0"/>
          <w:sz w:val="32"/>
          <w:szCs w:val="32"/>
          <w:shd w:val="clear" w:color="auto" w:fill="FFFFFF"/>
        </w:rPr>
        <w:t>.住房保障支出（类）住房改革支出（款）住房公积金（项）</w:t>
      </w:r>
    </w:p>
    <w:p>
      <w:pPr>
        <w:keepNext w:val="0"/>
        <w:keepLines w:val="0"/>
        <w:widowControl/>
        <w:suppressLineNumbers w:val="0"/>
        <w:spacing w:before="0" w:beforeAutospacing="0" w:after="100" w:afterAutospacing="1"/>
        <w:ind w:left="0" w:right="0" w:firstLine="640" w:firstLineChars="200"/>
        <w:jc w:val="left"/>
        <w:rPr>
          <w:rFonts w:hint="default" w:ascii="仿宋_GB2312" w:hAnsi="ˎ̥" w:eastAsia="仿宋_GB2312" w:cs="仿宋_GB2312"/>
          <w:color w:val="auto"/>
          <w:kern w:val="0"/>
          <w:sz w:val="32"/>
          <w:szCs w:val="32"/>
        </w:rPr>
      </w:pPr>
      <w:r>
        <w:rPr>
          <w:rFonts w:hint="default" w:ascii="仿宋_GB2312" w:hAnsi="ˎ̥" w:eastAsia="仿宋_GB2312" w:cs="仿宋_GB2312"/>
          <w:color w:val="auto"/>
          <w:kern w:val="0"/>
          <w:sz w:val="32"/>
          <w:szCs w:val="32"/>
          <w:shd w:val="clear" w:color="auto" w:fill="FFFFFF"/>
        </w:rPr>
        <w:t>年初预算为</w:t>
      </w:r>
      <w:r>
        <w:rPr>
          <w:rFonts w:hint="eastAsia" w:ascii="仿宋_GB2312" w:hAnsi="ˎ̥" w:eastAsia="仿宋_GB2312" w:cs="仿宋_GB2312"/>
          <w:color w:val="auto"/>
          <w:kern w:val="0"/>
          <w:sz w:val="32"/>
          <w:szCs w:val="32"/>
          <w:shd w:val="clear" w:color="auto" w:fill="FFFFFF"/>
          <w:lang w:val="en-US" w:eastAsia="zh-CN"/>
        </w:rPr>
        <w:t>57.63</w:t>
      </w:r>
      <w:r>
        <w:rPr>
          <w:rFonts w:hint="default" w:ascii="仿宋_GB2312" w:hAnsi="ˎ̥" w:eastAsia="仿宋_GB2312" w:cs="仿宋_GB2312"/>
          <w:color w:val="auto"/>
          <w:kern w:val="0"/>
          <w:sz w:val="32"/>
          <w:szCs w:val="32"/>
          <w:shd w:val="clear" w:color="auto" w:fill="FFFFFF"/>
        </w:rPr>
        <w:t>万元，支出决算为</w:t>
      </w:r>
      <w:r>
        <w:rPr>
          <w:rFonts w:hint="eastAsia" w:ascii="仿宋_GB2312" w:hAnsi="ˎ̥" w:eastAsia="仿宋_GB2312" w:cs="仿宋_GB2312"/>
          <w:color w:val="auto"/>
          <w:kern w:val="0"/>
          <w:sz w:val="32"/>
          <w:szCs w:val="32"/>
          <w:shd w:val="clear" w:color="auto" w:fill="FFFFFF"/>
          <w:lang w:val="en-US" w:eastAsia="zh-CN"/>
        </w:rPr>
        <w:t>51.63</w:t>
      </w:r>
      <w:r>
        <w:rPr>
          <w:rFonts w:hint="default" w:ascii="仿宋_GB2312" w:hAnsi="ˎ̥" w:eastAsia="仿宋_GB2312" w:cs="仿宋_GB2312"/>
          <w:color w:val="auto"/>
          <w:kern w:val="0"/>
          <w:sz w:val="32"/>
          <w:szCs w:val="32"/>
          <w:shd w:val="clear" w:color="auto" w:fill="FFFFFF"/>
        </w:rPr>
        <w:t>万元，完成年初预算的</w:t>
      </w:r>
      <w:r>
        <w:rPr>
          <w:rFonts w:hint="eastAsia" w:ascii="仿宋_GB2312" w:hAnsi="ˎ̥" w:eastAsia="仿宋_GB2312" w:cs="仿宋_GB2312"/>
          <w:color w:val="auto"/>
          <w:kern w:val="0"/>
          <w:sz w:val="32"/>
          <w:szCs w:val="32"/>
          <w:shd w:val="clear" w:color="auto" w:fill="FFFFFF"/>
          <w:lang w:val="en-US" w:eastAsia="zh-CN"/>
        </w:rPr>
        <w:t>89.59</w:t>
      </w:r>
      <w:r>
        <w:rPr>
          <w:rFonts w:hint="default" w:ascii="仿宋_GB2312" w:hAnsi="ˎ̥" w:eastAsia="仿宋_GB2312" w:cs="仿宋_GB2312"/>
          <w:color w:val="auto"/>
          <w:kern w:val="0"/>
          <w:sz w:val="32"/>
          <w:szCs w:val="32"/>
          <w:shd w:val="clear" w:color="auto" w:fill="FFFFFF"/>
        </w:rPr>
        <w:t>%，决算数</w:t>
      </w:r>
      <w:r>
        <w:rPr>
          <w:rFonts w:hint="eastAsia" w:ascii="仿宋_GB2312" w:hAnsi="ˎ̥" w:eastAsia="仿宋_GB2312" w:cs="仿宋_GB2312"/>
          <w:color w:val="auto"/>
          <w:kern w:val="0"/>
          <w:sz w:val="32"/>
          <w:szCs w:val="32"/>
          <w:shd w:val="clear" w:color="auto" w:fill="FFFFFF"/>
          <w:lang w:eastAsia="zh-CN"/>
        </w:rPr>
        <w:t>小</w:t>
      </w:r>
      <w:r>
        <w:rPr>
          <w:rFonts w:hint="default" w:ascii="仿宋_GB2312" w:hAnsi="ˎ̥" w:eastAsia="仿宋_GB2312" w:cs="仿宋_GB2312"/>
          <w:color w:val="auto"/>
          <w:kern w:val="0"/>
          <w:sz w:val="32"/>
          <w:szCs w:val="32"/>
          <w:shd w:val="clear" w:color="auto" w:fill="FFFFFF"/>
        </w:rPr>
        <w:t>于预算数的主要原因：</w:t>
      </w:r>
      <w:r>
        <w:rPr>
          <w:rFonts w:hint="eastAsia" w:ascii="仿宋_GB2312" w:hAnsi="ˎ̥" w:eastAsia="仿宋_GB2312" w:cs="仿宋_GB2312"/>
          <w:color w:val="auto"/>
          <w:kern w:val="0"/>
          <w:sz w:val="32"/>
          <w:szCs w:val="32"/>
          <w:shd w:val="clear" w:color="auto" w:fill="FFFFFF"/>
          <w:lang w:eastAsia="zh-CN"/>
        </w:rPr>
        <w:t>人员变动</w:t>
      </w:r>
      <w:r>
        <w:rPr>
          <w:rFonts w:hint="default" w:ascii="仿宋_GB2312" w:hAnsi="ˎ̥" w:eastAsia="仿宋_GB2312" w:cs="仿宋_GB2312"/>
          <w:color w:val="auto"/>
          <w:kern w:val="0"/>
          <w:sz w:val="32"/>
          <w:szCs w:val="32"/>
          <w:shd w:val="clear" w:color="auto" w:fill="FFFFFF"/>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color w:val="auto"/>
          <w:sz w:val="32"/>
          <w:szCs w:val="32"/>
        </w:rPr>
      </w:pPr>
      <w:r>
        <w:rPr>
          <w:rFonts w:hint="eastAsia" w:ascii="黑体" w:hAnsi="黑体" w:eastAsia="黑体" w:cs="黑体"/>
          <w:bCs/>
          <w:color w:val="auto"/>
          <w:sz w:val="32"/>
          <w:szCs w:val="32"/>
        </w:rPr>
        <w:t>六、一般公共预算财政拨款基本支出决算情况说明</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年度财政拨款基本支出</w:t>
      </w:r>
      <w:r>
        <w:rPr>
          <w:rFonts w:hint="eastAsia" w:ascii="仿宋_GB2312" w:hAnsi="ˎ̥" w:eastAsia="仿宋_GB2312"/>
          <w:color w:val="auto"/>
          <w:sz w:val="32"/>
          <w:szCs w:val="32"/>
          <w:lang w:val="en-US" w:eastAsia="zh-CN"/>
        </w:rPr>
        <w:t>754.39</w:t>
      </w:r>
      <w:r>
        <w:rPr>
          <w:rFonts w:hint="eastAsia" w:ascii="仿宋_GB2312" w:hAnsi="ˎ̥" w:eastAsia="仿宋_GB2312"/>
          <w:color w:val="auto"/>
          <w:sz w:val="32"/>
          <w:szCs w:val="32"/>
        </w:rPr>
        <w:t>万元，其中：人员经费</w:t>
      </w:r>
      <w:r>
        <w:rPr>
          <w:rFonts w:ascii="仿宋_GB2312" w:hAnsi="ˎ̥" w:eastAsia="仿宋_GB2312"/>
          <w:color w:val="auto"/>
          <w:sz w:val="32"/>
          <w:szCs w:val="32"/>
          <w:lang w:val="en-US"/>
        </w:rPr>
        <w:t>744.14</w:t>
      </w:r>
      <w:r>
        <w:rPr>
          <w:rFonts w:hint="eastAsia" w:ascii="仿宋_GB2312" w:hAnsi="ˎ̥" w:eastAsia="仿宋_GB2312"/>
          <w:color w:val="auto"/>
          <w:sz w:val="32"/>
          <w:szCs w:val="32"/>
        </w:rPr>
        <w:t>万元，主要包括：主要包括：</w:t>
      </w:r>
      <w:r>
        <w:rPr>
          <w:rFonts w:hint="default" w:ascii="仿宋_GB2312" w:hAnsi="ˎ̥" w:eastAsia="仿宋_GB2312" w:cs="仿宋_GB2312"/>
          <w:color w:val="auto"/>
          <w:kern w:val="0"/>
          <w:sz w:val="32"/>
          <w:szCs w:val="32"/>
        </w:rPr>
        <w:t>工资福利支出中的基本工资、津贴补贴、绩效工资、机关事业单位基本养老保险缴费、职工基本医疗保险缴费、公务员医疗补助缴费、其他社会保障缴费、住房公积金、医疗费</w:t>
      </w:r>
      <w:r>
        <w:rPr>
          <w:rFonts w:hint="eastAsia" w:ascii="仿宋_GB2312" w:hAnsi="ˎ̥" w:eastAsia="仿宋_GB2312"/>
          <w:color w:val="auto"/>
          <w:sz w:val="32"/>
          <w:szCs w:val="32"/>
        </w:rPr>
        <w:t>。公用经费</w:t>
      </w:r>
      <w:r>
        <w:rPr>
          <w:rFonts w:ascii="仿宋_GB2312" w:hAnsi="ˎ̥" w:eastAsia="仿宋_GB2312"/>
          <w:color w:val="auto"/>
          <w:sz w:val="32"/>
          <w:szCs w:val="32"/>
          <w:lang w:val="en-US"/>
        </w:rPr>
        <w:t>10.25</w:t>
      </w:r>
      <w:r>
        <w:rPr>
          <w:rFonts w:hint="eastAsia" w:ascii="仿宋_GB2312" w:hAnsi="ˎ̥" w:eastAsia="仿宋_GB2312"/>
          <w:color w:val="auto"/>
          <w:sz w:val="32"/>
          <w:szCs w:val="32"/>
        </w:rPr>
        <w:t>万元，主要包括：</w:t>
      </w:r>
      <w:r>
        <w:rPr>
          <w:rFonts w:hint="default" w:ascii="仿宋_GB2312" w:hAnsi="ˎ̥" w:eastAsia="仿宋_GB2312" w:cs="仿宋_GB2312"/>
          <w:color w:val="auto"/>
          <w:kern w:val="0"/>
          <w:sz w:val="32"/>
          <w:szCs w:val="32"/>
        </w:rPr>
        <w:t>邮电费、工会经费</w:t>
      </w:r>
      <w:r>
        <w:rPr>
          <w:rFonts w:hint="eastAsia" w:ascii="仿宋_GB2312" w:hAnsi="ˎ̥" w:eastAsia="仿宋_GB2312"/>
          <w:color w:val="auto"/>
          <w:sz w:val="32"/>
          <w:szCs w:val="32"/>
        </w:rPr>
        <w:t>。</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七、政府性基金预算财政拨款支出决算情况说明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（一）政府性基金预算财政拨款支出决算总体情况</w:t>
      </w:r>
    </w:p>
    <w:p>
      <w:pPr>
        <w:spacing w:line="578" w:lineRule="exact"/>
        <w:ind w:firstLine="640" w:firstLineChars="200"/>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年度政府性基金预算财政拨款支出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万元，占本年支出合计的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年度相比，政府性基金预算财政拨款支出增加（减少）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万元，增长（下降）</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r>
        <w:rPr>
          <w:rFonts w:hint="default" w:ascii="仿宋_GB2312" w:hAnsi="ˎ̥" w:eastAsia="仿宋_GB2312" w:cs="仿宋_GB2312"/>
          <w:color w:val="auto"/>
          <w:kern w:val="0"/>
          <w:sz w:val="32"/>
          <w:szCs w:val="32"/>
        </w:rPr>
        <w:t>与202</w:t>
      </w:r>
      <w:r>
        <w:rPr>
          <w:rFonts w:hint="eastAsia" w:ascii="仿宋_GB2312" w:hAnsi="ˎ̥" w:eastAsia="仿宋_GB2312" w:cs="仿宋_GB2312"/>
          <w:color w:val="auto"/>
          <w:kern w:val="0"/>
          <w:sz w:val="32"/>
          <w:szCs w:val="32"/>
          <w:lang w:val="en-US" w:eastAsia="zh-CN"/>
        </w:rPr>
        <w:t>2</w:t>
      </w:r>
      <w:r>
        <w:rPr>
          <w:rFonts w:hint="default" w:ascii="仿宋_GB2312" w:hAnsi="ˎ̥" w:eastAsia="仿宋_GB2312" w:cs="仿宋_GB2312"/>
          <w:color w:val="auto"/>
          <w:kern w:val="0"/>
          <w:sz w:val="32"/>
          <w:szCs w:val="32"/>
        </w:rPr>
        <w:t>年度相比持平</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楷体" w:hAnsi="楷体" w:eastAsia="楷体" w:cs="楷体"/>
          <w:color w:val="auto"/>
          <w:sz w:val="32"/>
          <w:szCs w:val="32"/>
        </w:rPr>
      </w:pPr>
      <w:r>
        <w:rPr>
          <w:rFonts w:hint="eastAsia" w:ascii="楷体" w:hAnsi="楷体" w:eastAsia="楷体" w:cs="楷体"/>
          <w:color w:val="auto"/>
          <w:sz w:val="32"/>
          <w:szCs w:val="32"/>
          <w:lang w:val="en-US" w:eastAsia="zh-CN"/>
        </w:rPr>
        <w:t xml:space="preserve">  </w:t>
      </w:r>
      <w:r>
        <w:rPr>
          <w:rFonts w:hint="eastAsia" w:ascii="楷体" w:hAnsi="楷体" w:eastAsia="楷体" w:cs="楷体"/>
          <w:color w:val="auto"/>
          <w:sz w:val="32"/>
          <w:szCs w:val="32"/>
        </w:rPr>
        <w:t>（二）政府性基金预算财政拨款支出决算结构情况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年度政府性基金预算财政拨款支出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（三）政府性基金预算财政拨款支出决算具体情况</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年度政府性基金预算财政拨款支出年初预算为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八、国有资本经营预算财政拨款支出决算情况说明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（一）国有资本经营预算财政拨款支出决算总体情况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lang w:eastAsia="zh-CN"/>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年度国有资本经营预算财政拨款支出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万元，占本年支出合计的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w:t>
      </w:r>
      <w:r>
        <w:rPr>
          <w:rFonts w:hint="eastAsia" w:ascii="仿宋_GB2312" w:hAnsi="ˎ̥" w:eastAsia="仿宋_GB2312"/>
          <w:color w:val="auto"/>
          <w:sz w:val="32"/>
          <w:szCs w:val="32"/>
          <w:lang w:eastAsia="zh-CN"/>
        </w:rPr>
        <w:t>持平。</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（二）国有资本经营预算财政拨款支出决算结构情况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年度国有资本经营预算财政拨款支出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w:t>
      </w:r>
      <w:r>
        <w:rPr>
          <w:rFonts w:hint="eastAsia" w:ascii="仿宋_GB2312" w:hAnsi="ˎ̥" w:eastAsia="仿宋_GB2312"/>
          <w:color w:val="auto"/>
          <w:sz w:val="32"/>
          <w:szCs w:val="32"/>
          <w:lang w:eastAsia="zh-CN"/>
        </w:rPr>
        <w:t>。</w:t>
      </w:r>
      <w:r>
        <w:rPr>
          <w:rFonts w:hint="eastAsia" w:ascii="楷体" w:hAnsi="楷体" w:eastAsia="楷体" w:cs="楷体"/>
          <w:color w:val="auto"/>
          <w:sz w:val="32"/>
          <w:szCs w:val="32"/>
        </w:rPr>
        <w:t>（三）国有资本经营预算财政拨款支出决算具体情况</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年度国有资本经营预算财政拨款支出年初预算为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仿宋_GB2312" w:hAnsi="ˎ̥" w:eastAsia="楷体_GB2312"/>
          <w:color w:val="auto"/>
          <w:sz w:val="32"/>
          <w:szCs w:val="32"/>
        </w:rPr>
      </w:pPr>
      <w:r>
        <w:rPr>
          <w:rFonts w:hint="eastAsia" w:ascii="黑体" w:hAnsi="黑体" w:eastAsia="黑体" w:cs="黑体"/>
          <w:bCs/>
          <w:color w:val="auto"/>
          <w:sz w:val="32"/>
          <w:szCs w:val="32"/>
        </w:rPr>
        <w:t>九、财政拨款“三公”经费支出决算情况说明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r>
        <w:rPr>
          <w:rFonts w:hint="eastAsia" w:ascii="楷体" w:hAnsi="楷体" w:eastAsia="楷体" w:cs="楷体"/>
          <w:bCs/>
          <w:color w:val="auto"/>
          <w:sz w:val="32"/>
          <w:szCs w:val="32"/>
        </w:rPr>
        <w:t>（一）财政拨款“三公”经费支出决算总体情况说明</w:t>
      </w:r>
    </w:p>
    <w:p>
      <w:pPr>
        <w:spacing w:line="578" w:lineRule="exact"/>
        <w:rPr>
          <w:rFonts w:hint="eastAsia" w:ascii="仿宋_GB2312" w:hAnsi="ˎ̥" w:eastAsia="仿宋_GB2312"/>
          <w:color w:val="auto"/>
          <w:sz w:val="32"/>
          <w:szCs w:val="32"/>
        </w:rPr>
      </w:pPr>
      <w:r>
        <w:rPr>
          <w:rFonts w:hint="eastAsia" w:ascii="仿宋_GB2312" w:hAnsi="ˎ̥" w:eastAsia="仿宋_GB2312"/>
          <w:color w:val="auto"/>
          <w:sz w:val="32"/>
          <w:szCs w:val="32"/>
        </w:rPr>
        <w:t xml:space="preserve">    </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年度财政拨款“三公”经费支出预算为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万元，完成预算的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r>
        <w:rPr>
          <w:rFonts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ascii="仿宋_GB2312" w:hAnsi="ˎ̥" w:eastAsia="仿宋_GB2312"/>
          <w:color w:val="auto"/>
          <w:sz w:val="32"/>
          <w:szCs w:val="32"/>
        </w:rPr>
        <w:t>相比，</w:t>
      </w:r>
      <w:r>
        <w:rPr>
          <w:rFonts w:hint="eastAsia" w:ascii="仿宋_GB2312" w:hAnsi="ˎ̥" w:eastAsia="仿宋_GB2312"/>
          <w:color w:val="auto"/>
          <w:sz w:val="32"/>
          <w:szCs w:val="32"/>
        </w:rPr>
        <w:t>“三公”经费支出增加</w:t>
      </w:r>
      <w:r>
        <w:rPr>
          <w:rFonts w:ascii="仿宋_GB2312" w:hAnsi="ˎ̥" w:eastAsia="仿宋_GB2312"/>
          <w:color w:val="auto"/>
          <w:sz w:val="32"/>
          <w:szCs w:val="32"/>
        </w:rPr>
        <w:t>（</w:t>
      </w:r>
      <w:r>
        <w:rPr>
          <w:rFonts w:hint="eastAsia" w:ascii="仿宋_GB2312" w:hAnsi="ˎ̥" w:eastAsia="仿宋_GB2312"/>
          <w:color w:val="auto"/>
          <w:sz w:val="32"/>
          <w:szCs w:val="32"/>
        </w:rPr>
        <w:t>减少</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ascii="仿宋_GB2312" w:hAnsi="ˎ̥" w:eastAsia="仿宋_GB2312"/>
          <w:color w:val="auto"/>
          <w:sz w:val="32"/>
          <w:szCs w:val="32"/>
        </w:rPr>
        <w:t>，增长（</w:t>
      </w:r>
      <w:r>
        <w:rPr>
          <w:rFonts w:hint="eastAsia" w:ascii="仿宋_GB2312" w:hAnsi="ˎ̥" w:eastAsia="仿宋_GB2312"/>
          <w:color w:val="auto"/>
          <w:sz w:val="32"/>
          <w:szCs w:val="32"/>
        </w:rPr>
        <w:t>下降</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r>
        <w:rPr>
          <w:rFonts w:hint="eastAsia" w:ascii="仿宋_GB2312" w:hAnsi="ˎ̥" w:eastAsia="仿宋_GB2312"/>
          <w:color w:val="auto"/>
          <w:sz w:val="32"/>
          <w:szCs w:val="32"/>
          <w:lang w:eastAsia="zh-CN"/>
        </w:rPr>
        <w:t>。</w:t>
      </w:r>
      <w:r>
        <w:rPr>
          <w:rFonts w:ascii="仿宋_GB2312" w:hAnsi="ˎ̥" w:eastAsia="仿宋_GB2312"/>
          <w:color w:val="auto"/>
          <w:sz w:val="32"/>
          <w:szCs w:val="32"/>
        </w:rPr>
        <w:t>主要原因是</w:t>
      </w:r>
      <w:r>
        <w:rPr>
          <w:rFonts w:hint="eastAsia" w:ascii="仿宋_GB2312" w:hAnsi="ˎ̥" w:eastAsia="仿宋_GB2312"/>
          <w:color w:val="auto"/>
          <w:sz w:val="32"/>
          <w:szCs w:val="32"/>
          <w:lang w:eastAsia="zh-CN"/>
        </w:rPr>
        <w:t>无此项预算</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楷体" w:hAnsi="楷体" w:eastAsia="楷体" w:cs="楷体"/>
          <w:color w:val="auto"/>
          <w:sz w:val="32"/>
          <w:szCs w:val="32"/>
        </w:rPr>
      </w:pPr>
      <w:r>
        <w:rPr>
          <w:rFonts w:hint="eastAsia" w:ascii="楷体" w:hAnsi="楷体" w:eastAsia="楷体" w:cs="楷体"/>
          <w:b/>
          <w:bCs/>
          <w:color w:val="auto"/>
          <w:sz w:val="32"/>
          <w:szCs w:val="32"/>
        </w:rPr>
        <w:t xml:space="preserve">   </w:t>
      </w:r>
      <w:r>
        <w:rPr>
          <w:rFonts w:hint="eastAsia" w:ascii="楷体" w:hAnsi="楷体" w:eastAsia="楷体" w:cs="楷体"/>
          <w:color w:val="auto"/>
          <w:sz w:val="32"/>
          <w:szCs w:val="32"/>
        </w:rPr>
        <w:t xml:space="preserve"> （二）财政拨款“三公”经费支出决算具体情况说明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年度财政拨款“三公”经费支出决算中，因公出国（境）费支出决算</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%；公务用车购置及运行维护费支出决算</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%；公务接待费支出决算</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%。具体情况如下：</w:t>
      </w:r>
    </w:p>
    <w:p>
      <w:pPr>
        <w:spacing w:line="578" w:lineRule="exact"/>
        <w:ind w:firstLine="643" w:firstLineChars="200"/>
        <w:rPr>
          <w:rFonts w:hint="eastAsia" w:ascii="仿宋_GB2312" w:hAnsi="ˎ̥" w:eastAsia="仿宋_GB2312"/>
          <w:color w:val="auto"/>
          <w:sz w:val="32"/>
          <w:szCs w:val="32"/>
        </w:rPr>
      </w:pPr>
      <w:r>
        <w:rPr>
          <w:rFonts w:hint="eastAsia" w:ascii="仿宋_GB2312" w:hAnsi="ˎ̥" w:eastAsia="仿宋_GB2312"/>
          <w:b/>
          <w:color w:val="auto"/>
          <w:sz w:val="32"/>
          <w:szCs w:val="32"/>
        </w:rPr>
        <w:t>1.因公出国（境）费</w:t>
      </w:r>
      <w:r>
        <w:rPr>
          <w:rFonts w:hint="eastAsia" w:ascii="仿宋_GB2312" w:hAnsi="ˎ̥" w:eastAsia="仿宋_GB2312"/>
          <w:color w:val="auto"/>
          <w:sz w:val="32"/>
          <w:szCs w:val="32"/>
        </w:rPr>
        <w:t>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万元。全年安排因公出国（境）团组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个，因公出国（境）</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人次。开支内容包括：</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因公出国（境）费支出决算比预算数增加（减少）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万元，增长（下降）</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%。与2022年度</w:t>
      </w:r>
      <w:r>
        <w:rPr>
          <w:rFonts w:ascii="仿宋_GB2312" w:hAnsi="ˎ̥" w:eastAsia="仿宋_GB2312"/>
          <w:color w:val="auto"/>
          <w:sz w:val="32"/>
          <w:szCs w:val="32"/>
        </w:rPr>
        <w:t>相比，</w:t>
      </w:r>
      <w:r>
        <w:rPr>
          <w:rFonts w:hint="eastAsia" w:ascii="仿宋_GB2312" w:hAnsi="ˎ̥" w:eastAsia="仿宋_GB2312"/>
          <w:color w:val="auto"/>
          <w:sz w:val="32"/>
          <w:szCs w:val="32"/>
        </w:rPr>
        <w:t>因公出国（境）费支出增加</w:t>
      </w:r>
      <w:r>
        <w:rPr>
          <w:rFonts w:ascii="仿宋_GB2312" w:hAnsi="ˎ̥" w:eastAsia="仿宋_GB2312"/>
          <w:color w:val="auto"/>
          <w:sz w:val="32"/>
          <w:szCs w:val="32"/>
        </w:rPr>
        <w:t>（</w:t>
      </w:r>
      <w:r>
        <w:rPr>
          <w:rFonts w:hint="eastAsia" w:ascii="仿宋_GB2312" w:hAnsi="ˎ̥" w:eastAsia="仿宋_GB2312"/>
          <w:color w:val="auto"/>
          <w:sz w:val="32"/>
          <w:szCs w:val="32"/>
        </w:rPr>
        <w:t>减少</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ascii="仿宋_GB2312" w:hAnsi="ˎ̥" w:eastAsia="仿宋_GB2312"/>
          <w:color w:val="auto"/>
          <w:sz w:val="32"/>
          <w:szCs w:val="32"/>
        </w:rPr>
        <w:t>，增长（</w:t>
      </w:r>
      <w:r>
        <w:rPr>
          <w:rFonts w:hint="eastAsia" w:ascii="仿宋_GB2312" w:hAnsi="ˎ̥" w:eastAsia="仿宋_GB2312"/>
          <w:color w:val="auto"/>
          <w:sz w:val="32"/>
          <w:szCs w:val="32"/>
        </w:rPr>
        <w:t>下降</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eastAsia="zh-CN"/>
        </w:rPr>
        <w:t>无此项支出</w:t>
      </w:r>
      <w:r>
        <w:rPr>
          <w:rFonts w:hint="eastAsia" w:ascii="仿宋_GB2312" w:hAnsi="ˎ̥" w:eastAsia="仿宋_GB2312"/>
          <w:color w:val="auto"/>
          <w:sz w:val="32"/>
          <w:szCs w:val="32"/>
        </w:rPr>
        <w:t>。</w:t>
      </w:r>
      <w:r>
        <w:rPr>
          <w:rFonts w:hint="eastAsia" w:ascii="仿宋_GB2312" w:hAnsi="ˎ̥" w:eastAsia="仿宋_GB2312"/>
          <w:b/>
          <w:color w:val="auto"/>
          <w:sz w:val="32"/>
          <w:szCs w:val="32"/>
        </w:rPr>
        <w:t xml:space="preserve">    2.公务用车购置及运行维护费</w:t>
      </w:r>
      <w:r>
        <w:rPr>
          <w:rFonts w:hint="eastAsia" w:ascii="仿宋_GB2312" w:hAnsi="ˎ̥" w:eastAsia="仿宋_GB2312"/>
          <w:b w:val="0"/>
          <w:bCs/>
          <w:color w:val="auto"/>
          <w:sz w:val="32"/>
          <w:szCs w:val="32"/>
        </w:rPr>
        <w:t>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万元。其中：</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bCs/>
          <w:color w:val="auto"/>
          <w:sz w:val="32"/>
          <w:szCs w:val="32"/>
        </w:rPr>
      </w:pPr>
      <w:r>
        <w:rPr>
          <w:rFonts w:hint="eastAsia" w:ascii="仿宋_GB2312" w:hAnsi="ˎ̥" w:eastAsia="仿宋_GB2312"/>
          <w:b/>
          <w:color w:val="auto"/>
          <w:sz w:val="32"/>
          <w:szCs w:val="32"/>
          <w:lang w:val="en-US" w:eastAsia="zh-CN"/>
        </w:rPr>
        <w:t>2.</w:t>
      </w:r>
      <w:r>
        <w:rPr>
          <w:rFonts w:hint="eastAsia" w:ascii="仿宋_GB2312" w:hAnsi="ˎ̥" w:eastAsia="仿宋_GB2312"/>
          <w:b/>
          <w:color w:val="auto"/>
          <w:sz w:val="32"/>
          <w:szCs w:val="32"/>
        </w:rPr>
        <w:t>公务用车购置</w:t>
      </w:r>
      <w:r>
        <w:rPr>
          <w:rFonts w:hint="eastAsia" w:ascii="仿宋_GB2312" w:hAnsi="ˎ̥" w:eastAsia="仿宋_GB2312"/>
          <w:b w:val="0"/>
          <w:bCs/>
          <w:color w:val="auto"/>
          <w:sz w:val="32"/>
          <w:szCs w:val="32"/>
        </w:rPr>
        <w:t>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w:t>
      </w:r>
      <w:r>
        <w:rPr>
          <w:rFonts w:hint="eastAsia" w:ascii="仿宋_GB2312" w:hAnsi="ˎ̥" w:eastAsia="仿宋_GB2312"/>
          <w:b/>
          <w:color w:val="auto"/>
          <w:sz w:val="32"/>
          <w:szCs w:val="32"/>
        </w:rPr>
        <w:t>公务用车运行维护费</w:t>
      </w:r>
      <w:r>
        <w:rPr>
          <w:rFonts w:hint="eastAsia" w:ascii="仿宋_GB2312" w:hAnsi="ˎ̥" w:eastAsia="仿宋_GB2312"/>
          <w:color w:val="auto"/>
          <w:sz w:val="32"/>
          <w:szCs w:val="32"/>
        </w:rPr>
        <w:t>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 xml:space="preserve">    3.公务接待费</w:t>
      </w:r>
      <w:r>
        <w:rPr>
          <w:rFonts w:hint="eastAsia" w:ascii="仿宋_GB2312" w:hAnsi="ˎ̥" w:eastAsia="仿宋_GB2312"/>
          <w:b w:val="0"/>
          <w:bCs/>
          <w:color w:val="auto"/>
          <w:sz w:val="32"/>
          <w:szCs w:val="32"/>
        </w:rPr>
        <w:t>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万元，其中：</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公务接待费支出决算数比预算数增加（减少）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万元，增长（下降）</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%。与2022年度</w:t>
      </w:r>
      <w:r>
        <w:rPr>
          <w:rFonts w:ascii="仿宋_GB2312" w:hAnsi="ˎ̥" w:eastAsia="仿宋_GB2312"/>
          <w:color w:val="auto"/>
          <w:sz w:val="32"/>
          <w:szCs w:val="32"/>
        </w:rPr>
        <w:t>相比，</w:t>
      </w:r>
      <w:r>
        <w:rPr>
          <w:rFonts w:hint="eastAsia" w:ascii="仿宋_GB2312" w:hAnsi="ˎ̥" w:eastAsia="仿宋_GB2312"/>
          <w:bCs/>
          <w:color w:val="auto"/>
          <w:sz w:val="32"/>
          <w:szCs w:val="32"/>
        </w:rPr>
        <w:t>公务接待费</w:t>
      </w:r>
      <w:r>
        <w:rPr>
          <w:rFonts w:hint="eastAsia" w:ascii="仿宋_GB2312" w:hAnsi="ˎ̥" w:eastAsia="仿宋_GB2312"/>
          <w:color w:val="auto"/>
          <w:sz w:val="32"/>
          <w:szCs w:val="32"/>
        </w:rPr>
        <w:t>支出增加</w:t>
      </w:r>
      <w:r>
        <w:rPr>
          <w:rFonts w:ascii="仿宋_GB2312" w:hAnsi="ˎ̥" w:eastAsia="仿宋_GB2312"/>
          <w:color w:val="auto"/>
          <w:sz w:val="32"/>
          <w:szCs w:val="32"/>
        </w:rPr>
        <w:t>（</w:t>
      </w:r>
      <w:r>
        <w:rPr>
          <w:rFonts w:hint="eastAsia" w:ascii="仿宋_GB2312" w:hAnsi="ˎ̥" w:eastAsia="仿宋_GB2312"/>
          <w:color w:val="auto"/>
          <w:sz w:val="32"/>
          <w:szCs w:val="32"/>
        </w:rPr>
        <w:t>减少</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ascii="仿宋_GB2312" w:hAnsi="ˎ̥" w:eastAsia="仿宋_GB2312"/>
          <w:color w:val="auto"/>
          <w:sz w:val="32"/>
          <w:szCs w:val="32"/>
        </w:rPr>
        <w:t>，增长（</w:t>
      </w:r>
      <w:r>
        <w:rPr>
          <w:rFonts w:hint="eastAsia" w:ascii="仿宋_GB2312" w:hAnsi="ˎ̥" w:eastAsia="仿宋_GB2312"/>
          <w:color w:val="auto"/>
          <w:sz w:val="32"/>
          <w:szCs w:val="32"/>
        </w:rPr>
        <w:t>下降</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eastAsia="zh-CN"/>
        </w:rPr>
        <w:t>无此项支出</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十、预算绩效情况说明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r>
        <w:rPr>
          <w:rFonts w:hint="eastAsia" w:ascii="楷体" w:hAnsi="楷体" w:eastAsia="楷体" w:cs="楷体"/>
          <w:bCs/>
          <w:color w:val="auto"/>
          <w:sz w:val="32"/>
          <w:szCs w:val="32"/>
        </w:rPr>
        <w:t>（一）绩效管理工作开展情况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rPr>
        <w:t>本年没有进行相关工作</w:t>
      </w:r>
      <w:r>
        <w:rPr>
          <w:rFonts w:hint="eastAsia" w:ascii="仿宋_GB2312" w:eastAsia="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十一、其他重要事项情况说明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bookmarkStart w:id="95" w:name="_Toc23598_WPSOffice_Level2"/>
      <w:bookmarkStart w:id="96" w:name="_Toc15262_WPSOffice_Level2"/>
      <w:bookmarkStart w:id="97" w:name="_Toc5978_WPSOffice_Level2"/>
      <w:bookmarkStart w:id="98" w:name="_Toc32639_WPSOffice_Level2"/>
      <w:bookmarkStart w:id="99" w:name="_Toc15565_WPSOffice_Level2"/>
      <w:bookmarkStart w:id="100" w:name="_Toc18325_WPSOffice_Level2"/>
      <w:r>
        <w:rPr>
          <w:rFonts w:hint="eastAsia" w:ascii="仿宋_GB2312" w:hAnsi="ˎ̥" w:eastAsia="仿宋_GB2312"/>
          <w:color w:val="auto"/>
          <w:sz w:val="32"/>
          <w:szCs w:val="32"/>
        </w:rPr>
        <w:t>（一）机关运行经费支出情况。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rPr>
        <w:t>我单位属事业单位，事业单位没有机关运行经费支出</w:t>
      </w:r>
      <w:r>
        <w:rPr>
          <w:rFonts w:hint="eastAsia" w:ascii="仿宋_GB2312" w:hAnsi="ˎ̥" w:eastAsia="仿宋_GB2312"/>
          <w:color w:val="auto"/>
          <w:sz w:val="32"/>
          <w:szCs w:val="32"/>
        </w:rPr>
        <w:br w:type="textWrapping"/>
      </w:r>
      <w:r>
        <w:rPr>
          <w:rFonts w:hint="eastAsia" w:ascii="仿宋_GB2312" w:hAnsi="ˎ̥" w:eastAsia="仿宋_GB2312"/>
          <w:color w:val="auto"/>
          <w:sz w:val="32"/>
          <w:szCs w:val="32"/>
          <w:lang w:val="en-US" w:eastAsia="zh-CN"/>
        </w:rPr>
        <w:t xml:space="preserve">    </w:t>
      </w:r>
      <w:r>
        <w:rPr>
          <w:rFonts w:hint="eastAsia" w:ascii="仿宋_GB2312" w:hAnsi="ˎ̥" w:eastAsia="仿宋_GB2312"/>
          <w:color w:val="auto"/>
          <w:sz w:val="32"/>
          <w:szCs w:val="32"/>
          <w:lang w:eastAsia="zh-CN"/>
        </w:rPr>
        <w:t>（二）</w:t>
      </w:r>
      <w:r>
        <w:rPr>
          <w:rFonts w:hint="eastAsia" w:ascii="仿宋_GB2312" w:hAnsi="ˎ̥" w:eastAsia="仿宋_GB2312"/>
          <w:color w:val="auto"/>
          <w:sz w:val="32"/>
          <w:szCs w:val="32"/>
        </w:rPr>
        <w:t>政府采购支出情况。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lang w:val="en-US" w:eastAsia="zh-CN"/>
        </w:rPr>
        <w:t xml:space="preserve">  </w:t>
      </w:r>
      <w:r>
        <w:rPr>
          <w:rFonts w:hint="eastAsia" w:ascii="仿宋_GB2312" w:hAnsi="ˎ̥" w:eastAsia="仿宋_GB2312"/>
          <w:color w:val="auto"/>
          <w:sz w:val="32"/>
          <w:szCs w:val="32"/>
        </w:rPr>
        <w:t>202</w:t>
      </w:r>
      <w:r>
        <w:rPr>
          <w:rFonts w:hint="eastAsia" w:ascii="仿宋_GB2312" w:hAnsi="ˎ̥" w:eastAsia="仿宋_GB2312"/>
          <w:color w:val="auto"/>
          <w:sz w:val="32"/>
          <w:szCs w:val="32"/>
          <w:lang w:val="en-US" w:eastAsia="zh-CN"/>
        </w:rPr>
        <w:t>4</w:t>
      </w:r>
      <w:r>
        <w:rPr>
          <w:rFonts w:hint="eastAsia" w:ascii="仿宋_GB2312" w:hAnsi="ˎ̥" w:eastAsia="仿宋_GB2312"/>
          <w:color w:val="auto"/>
          <w:sz w:val="32"/>
          <w:szCs w:val="32"/>
        </w:rPr>
        <w:t>年度</w:t>
      </w:r>
      <w:r>
        <w:rPr>
          <w:rFonts w:hint="eastAsia" w:ascii="仿宋_GB2312" w:hAnsi="ˎ̥" w:eastAsia="仿宋_GB2312"/>
          <w:color w:val="auto"/>
          <w:sz w:val="32"/>
          <w:szCs w:val="32"/>
          <w:lang w:eastAsia="zh-CN"/>
        </w:rPr>
        <w:t>屯昌县幼儿园</w:t>
      </w:r>
      <w:r>
        <w:rPr>
          <w:rFonts w:hint="eastAsia" w:ascii="仿宋_GB2312" w:hAnsi="ˎ̥" w:eastAsia="仿宋_GB2312"/>
          <w:color w:val="auto"/>
          <w:sz w:val="32"/>
          <w:szCs w:val="32"/>
        </w:rPr>
        <w:t>政府采购支出总额</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hint="eastAsia" w:ascii="仿宋_GB2312" w:hAnsi="ˎ̥" w:eastAsia="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（三）国有资产占用情况。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截至202</w:t>
      </w:r>
      <w:r>
        <w:rPr>
          <w:rFonts w:hint="eastAsia" w:ascii="仿宋_GB2312" w:hAnsi="ˎ̥" w:eastAsia="仿宋_GB2312"/>
          <w:color w:val="auto"/>
          <w:sz w:val="32"/>
          <w:szCs w:val="32"/>
          <w:lang w:val="en-US" w:eastAsia="zh-CN"/>
        </w:rPr>
        <w:t>4</w:t>
      </w:r>
      <w:r>
        <w:rPr>
          <w:rFonts w:hint="eastAsia" w:ascii="仿宋_GB2312" w:hAnsi="ˎ̥" w:eastAsia="仿宋_GB2312"/>
          <w:color w:val="auto"/>
          <w:sz w:val="32"/>
          <w:szCs w:val="32"/>
        </w:rPr>
        <w:t>年12月31日，</w:t>
      </w:r>
      <w:r>
        <w:rPr>
          <w:rFonts w:hint="default" w:ascii="仿宋_GB2312" w:hAnsi="ˎ̥" w:eastAsia="仿宋_GB2312"/>
          <w:color w:val="auto"/>
          <w:sz w:val="32"/>
          <w:szCs w:val="32"/>
        </w:rPr>
        <w:t>本</w:t>
      </w:r>
      <w:r>
        <w:rPr>
          <w:rFonts w:hint="eastAsia" w:ascii="仿宋_GB2312" w:hAnsi="ˎ̥" w:eastAsia="仿宋_GB2312"/>
          <w:color w:val="auto"/>
          <w:sz w:val="32"/>
          <w:szCs w:val="32"/>
          <w:lang w:eastAsia="zh-CN"/>
        </w:rPr>
        <w:t>单位</w:t>
      </w:r>
      <w:r>
        <w:rPr>
          <w:rFonts w:hint="default" w:ascii="仿宋_GB2312" w:hAnsi="ˎ̥" w:eastAsia="仿宋_GB2312"/>
          <w:color w:val="auto"/>
          <w:sz w:val="32"/>
          <w:szCs w:val="32"/>
        </w:rPr>
        <w:t>占用房屋面积3179平方米，其中：办公用房292平方米，业务用房2062平方米，其他（不含构筑物）1360平方米。</w:t>
      </w:r>
    </w:p>
    <w:bookmarkEnd w:id="95"/>
    <w:bookmarkEnd w:id="96"/>
    <w:bookmarkEnd w:id="97"/>
    <w:bookmarkEnd w:id="98"/>
    <w:bookmarkEnd w:id="99"/>
    <w:bookmarkEnd w:id="100"/>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color w:val="auto"/>
          <w:sz w:val="32"/>
          <w:szCs w:val="32"/>
        </w:rPr>
      </w:pPr>
      <w:bookmarkStart w:id="101" w:name="_Toc4398_WPSOffice_Level1"/>
      <w:bookmarkStart w:id="102" w:name="_Toc17580_WPSOffice_Level1"/>
      <w:bookmarkStart w:id="103" w:name="_Toc8808_WPSOffice_Level1"/>
      <w:bookmarkStart w:id="104" w:name="_Toc8874_WPSOffice_Level1"/>
      <w:bookmarkStart w:id="105" w:name="_Toc15425_WPSOffice_Level1"/>
      <w:bookmarkStart w:id="106" w:name="_Toc11039_WPSOffice_Level1"/>
      <w:r>
        <w:rPr>
          <w:rFonts w:hint="eastAsia" w:ascii="黑体" w:hAnsi="ˎ̥" w:eastAsia="黑体"/>
          <w:color w:val="auto"/>
          <w:sz w:val="32"/>
          <w:szCs w:val="32"/>
        </w:rPr>
        <w:t>第四部分  名词解释</w:t>
      </w:r>
      <w:bookmarkEnd w:id="101"/>
      <w:bookmarkEnd w:id="102"/>
      <w:bookmarkEnd w:id="103"/>
      <w:bookmarkEnd w:id="104"/>
      <w:bookmarkEnd w:id="105"/>
      <w:bookmarkEnd w:id="106"/>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color w:val="auto"/>
          <w:sz w:val="32"/>
          <w:szCs w:val="32"/>
        </w:rPr>
      </w:pPr>
    </w:p>
    <w:p>
      <w:pPr>
        <w:keepNext w:val="0"/>
        <w:keepLines w:val="0"/>
        <w:pageBreakBefore w:val="0"/>
        <w:widowControl w:val="0"/>
        <w:numPr>
          <w:ilvl w:val="0"/>
          <w:numId w:val="5"/>
        </w:numPr>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财政拨款收入：指同级政府财政</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当年拨付的各类财政拨款。</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二、上级补助收入：指事业单位从主管</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和上级单位取得的非财政补助收入。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三、事业收入：指事业单位开展专业业务活动及辅助活动取得的收入。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四、经营收入：指事业单位在专业业务活动及其辅助活动之外开展非独立核算经营活动取得的收入。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五、附属单位上缴收入：指事业单位取得附属独立核算单位根据有关规定上缴的收入。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六、其他收入：指除上述“财政拨款收入”“事业收入”“上级补助收入”“经营收入”“附属单位上缴收入”等以外的收入。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七、使用非财政拨款结余：指事业单位在当年的“财政拨款收入”“事业收入”“经营收入”“其他收入”等不足以安排当年支出的情况下，使用非同级财政拨款结余资金弥补本年度收支缺口。</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八、年初结转和结余：指以前年度尚未完成、结转到本年按有关规定继续使用的资金，或项目已完成等产生的结余资金。</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九、结余分配：指事业单位缴纳企业所得税以及从非财政拨款结余或经营结余中提取各类结余的情况。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十、年末结转和结余：指本年度或以前年度预算安排、因客观条件发生变化无法按原计划实施，需要延迟到以后年度按有关规定继续使用的资金（不包括事业单位非财政拨款结余和专用结余）。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十一、基本支出：指为保障机构正常运转、完成日常工作任务而发生的人员支出和公用支出。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十二、项目支出：指在基本支出之外为完成特定行政任务和事业发展目标所发生的支出。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十三、经营支出：指事业单位在专业业务活动及其辅助活动之外开展非独立核算经营活动发生的支出。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color w:val="auto"/>
          <w:sz w:val="32"/>
          <w:szCs w:val="32"/>
        </w:rPr>
      </w:pPr>
      <w:r>
        <w:rPr>
          <w:rFonts w:hint="eastAsia" w:ascii="仿宋_GB2312" w:hAnsi="ˎ̥" w:eastAsia="仿宋_GB2312"/>
          <w:color w:val="auto"/>
          <w:sz w:val="32"/>
          <w:szCs w:val="32"/>
        </w:rPr>
        <w:t>十六、</w:t>
      </w:r>
      <w:r>
        <w:rPr>
          <w:rFonts w:ascii="仿宋_GB2312" w:hAnsi="ˎ̥" w:eastAsia="仿宋_GB2312"/>
          <w:color w:val="auto"/>
          <w:sz w:val="32"/>
          <w:szCs w:val="32"/>
        </w:rPr>
        <w:t>支出功能分类：</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color w:val="auto"/>
          <w:sz w:val="32"/>
          <w:szCs w:val="32"/>
        </w:rPr>
      </w:pPr>
      <w:r>
        <w:rPr>
          <w:rFonts w:hint="eastAsia" w:ascii="仿宋_GB2312" w:hAnsi="ˎ̥" w:eastAsia="仿宋_GB2312"/>
          <w:color w:val="auto"/>
          <w:sz w:val="32"/>
          <w:szCs w:val="32"/>
        </w:rPr>
        <w:t>XXXX（类）XXXX（款）XXXX（项），</w:t>
      </w:r>
      <w:r>
        <w:rPr>
          <w:rFonts w:ascii="仿宋_GB2312" w:hAnsi="ˎ̥" w:eastAsia="仿宋_GB2312"/>
          <w:color w:val="auto"/>
          <w:sz w:val="32"/>
          <w:szCs w:val="32"/>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default" w:ascii="仿宋_GB2312" w:hAnsi="ˎ̥" w:eastAsia="仿宋_GB2312"/>
          <w:color w:val="auto"/>
          <w:sz w:val="32"/>
          <w:szCs w:val="32"/>
          <w:lang w:val="en-US" w:eastAsia="zh-CN"/>
        </w:rPr>
      </w:pPr>
      <w:r>
        <w:rPr>
          <w:rFonts w:hint="eastAsia" w:ascii="仿宋_GB2312" w:hAnsi="ˎ̥" w:eastAsia="仿宋_GB2312"/>
          <w:color w:val="auto"/>
          <w:sz w:val="32"/>
          <w:szCs w:val="32"/>
        </w:rPr>
        <w:t>XXXX（类）XXXX（款）XXXX（项），</w:t>
      </w:r>
      <w:r>
        <w:rPr>
          <w:rFonts w:ascii="仿宋_GB2312" w:hAnsi="ˎ̥" w:eastAsia="仿宋_GB2312"/>
          <w:color w:val="auto"/>
          <w:sz w:val="32"/>
          <w:szCs w:val="32"/>
        </w:rPr>
        <w:t>……</w:t>
      </w:r>
      <w:r>
        <w:rPr>
          <w:rFonts w:hint="eastAsia" w:ascii="仿宋_GB2312" w:hAnsi="ˎ̥" w:eastAsia="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color w:val="auto"/>
        </w:rPr>
      </w:pPr>
    </w:p>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ˎ̥">
    <w:altName w:val="微软雅黑"/>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小标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18</w:t>
    </w:r>
    <w: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FC2DCC"/>
    <w:multiLevelType w:val="singleLevel"/>
    <w:tmpl w:val="AFFC2DCC"/>
    <w:lvl w:ilvl="0" w:tentative="0">
      <w:start w:val="1"/>
      <w:numFmt w:val="chineseCounting"/>
      <w:suff w:val="nothing"/>
      <w:lvlText w:val="%1、"/>
      <w:lvlJc w:val="left"/>
      <w:rPr>
        <w:rFonts w:hint="eastAsia"/>
      </w:rPr>
    </w:lvl>
  </w:abstractNum>
  <w:abstractNum w:abstractNumId="1">
    <w:nsid w:val="670E25E6"/>
    <w:multiLevelType w:val="singleLevel"/>
    <w:tmpl w:val="670E25E6"/>
    <w:lvl w:ilvl="0" w:tentative="0">
      <w:start w:val="3"/>
      <w:numFmt w:val="decimal"/>
      <w:suff w:val="nothing"/>
      <w:lvlText w:val="%1."/>
      <w:lvlJc w:val="left"/>
    </w:lvl>
  </w:abstractNum>
  <w:abstractNum w:abstractNumId="2">
    <w:nsid w:val="68FEBC51"/>
    <w:multiLevelType w:val="singleLevel"/>
    <w:tmpl w:val="68FEBC51"/>
    <w:lvl w:ilvl="0" w:tentative="0">
      <w:start w:val="1"/>
      <w:numFmt w:val="chineseCounting"/>
      <w:suff w:val="nothing"/>
      <w:lvlText w:val="%1、"/>
      <w:lvlJc w:val="left"/>
    </w:lvl>
  </w:abstractNum>
  <w:abstractNum w:abstractNumId="3">
    <w:nsid w:val="68FEC2E4"/>
    <w:multiLevelType w:val="singleLevel"/>
    <w:tmpl w:val="68FEC2E4"/>
    <w:lvl w:ilvl="0" w:tentative="0">
      <w:start w:val="1"/>
      <w:numFmt w:val="chineseCounting"/>
      <w:suff w:val="nothing"/>
      <w:lvlText w:val="%1、"/>
      <w:lvlJc w:val="left"/>
    </w:lvl>
  </w:abstractNum>
  <w:abstractNum w:abstractNumId="4">
    <w:nsid w:val="72109F8D"/>
    <w:multiLevelType w:val="singleLevel"/>
    <w:tmpl w:val="72109F8D"/>
    <w:lvl w:ilvl="0" w:tentative="0">
      <w:start w:val="7"/>
      <w:numFmt w:val="chineseCounting"/>
      <w:suff w:val="nothing"/>
      <w:lvlText w:val="%1、"/>
      <w:lvlJc w:val="left"/>
      <w:rPr>
        <w:rFonts w:hint="eastAsia"/>
      </w:r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VlZThlZDk5ZTQ4MTFjNGY3MjIxNTdiOWMzZmQwMWMifQ=="/>
  </w:docVars>
  <w:rsids>
    <w:rsidRoot w:val="A7F73C99"/>
    <w:rsid w:val="00064A91"/>
    <w:rsid w:val="000718C4"/>
    <w:rsid w:val="000779B0"/>
    <w:rsid w:val="001E4E23"/>
    <w:rsid w:val="001E510D"/>
    <w:rsid w:val="001F28C1"/>
    <w:rsid w:val="001F4EC0"/>
    <w:rsid w:val="00213789"/>
    <w:rsid w:val="002A6E07"/>
    <w:rsid w:val="0034456B"/>
    <w:rsid w:val="003D2F77"/>
    <w:rsid w:val="004C755C"/>
    <w:rsid w:val="004D515A"/>
    <w:rsid w:val="004D5572"/>
    <w:rsid w:val="0050273F"/>
    <w:rsid w:val="00513897"/>
    <w:rsid w:val="00530C81"/>
    <w:rsid w:val="005C43A2"/>
    <w:rsid w:val="005E64FB"/>
    <w:rsid w:val="005F5987"/>
    <w:rsid w:val="00602EED"/>
    <w:rsid w:val="006B0D64"/>
    <w:rsid w:val="00731FC7"/>
    <w:rsid w:val="00740E64"/>
    <w:rsid w:val="00754F6E"/>
    <w:rsid w:val="007A4101"/>
    <w:rsid w:val="008232A9"/>
    <w:rsid w:val="00896ADB"/>
    <w:rsid w:val="009A2744"/>
    <w:rsid w:val="00A54A37"/>
    <w:rsid w:val="00A70448"/>
    <w:rsid w:val="00AA19F3"/>
    <w:rsid w:val="00AC28EE"/>
    <w:rsid w:val="00AC3F0E"/>
    <w:rsid w:val="00B36E61"/>
    <w:rsid w:val="00B409FF"/>
    <w:rsid w:val="00B4133E"/>
    <w:rsid w:val="00B54DE8"/>
    <w:rsid w:val="00B63E9E"/>
    <w:rsid w:val="00BC0439"/>
    <w:rsid w:val="00C04C21"/>
    <w:rsid w:val="00C7436A"/>
    <w:rsid w:val="00CA0F14"/>
    <w:rsid w:val="00CA536B"/>
    <w:rsid w:val="00CB0D1E"/>
    <w:rsid w:val="00CD6E49"/>
    <w:rsid w:val="00CD794A"/>
    <w:rsid w:val="00DB612B"/>
    <w:rsid w:val="00DC2A37"/>
    <w:rsid w:val="00E07782"/>
    <w:rsid w:val="00E70EA3"/>
    <w:rsid w:val="00F0336A"/>
    <w:rsid w:val="00F06DA9"/>
    <w:rsid w:val="00F103D6"/>
    <w:rsid w:val="00F25220"/>
    <w:rsid w:val="00FA2884"/>
    <w:rsid w:val="00FC03DC"/>
    <w:rsid w:val="00FC5708"/>
    <w:rsid w:val="06270C3D"/>
    <w:rsid w:val="076962DA"/>
    <w:rsid w:val="09201287"/>
    <w:rsid w:val="095070CF"/>
    <w:rsid w:val="0FC80124"/>
    <w:rsid w:val="105E5EEE"/>
    <w:rsid w:val="136F98C7"/>
    <w:rsid w:val="17427E68"/>
    <w:rsid w:val="1755065F"/>
    <w:rsid w:val="1AFC29C9"/>
    <w:rsid w:val="1CA52F2E"/>
    <w:rsid w:val="1D2F4963"/>
    <w:rsid w:val="1D642E8D"/>
    <w:rsid w:val="1E3630B9"/>
    <w:rsid w:val="224D00E2"/>
    <w:rsid w:val="26EEC2B5"/>
    <w:rsid w:val="28552C32"/>
    <w:rsid w:val="29472309"/>
    <w:rsid w:val="2AD90970"/>
    <w:rsid w:val="2B406E77"/>
    <w:rsid w:val="2B6600E5"/>
    <w:rsid w:val="2C2A0C43"/>
    <w:rsid w:val="2CBD59E6"/>
    <w:rsid w:val="2D1E73A5"/>
    <w:rsid w:val="31AB082F"/>
    <w:rsid w:val="32717154"/>
    <w:rsid w:val="34B63260"/>
    <w:rsid w:val="36A403A5"/>
    <w:rsid w:val="37FDA7E2"/>
    <w:rsid w:val="3A314D88"/>
    <w:rsid w:val="3A746883"/>
    <w:rsid w:val="3CA15DE9"/>
    <w:rsid w:val="3DAF5BCE"/>
    <w:rsid w:val="3FE61EE5"/>
    <w:rsid w:val="406508EE"/>
    <w:rsid w:val="408D6263"/>
    <w:rsid w:val="40AE5787"/>
    <w:rsid w:val="41B40CEE"/>
    <w:rsid w:val="48317291"/>
    <w:rsid w:val="485F7024"/>
    <w:rsid w:val="48E70666"/>
    <w:rsid w:val="490A49C2"/>
    <w:rsid w:val="4C6877E5"/>
    <w:rsid w:val="4D1541F3"/>
    <w:rsid w:val="4D6A468D"/>
    <w:rsid w:val="4EA86137"/>
    <w:rsid w:val="56CA7FD0"/>
    <w:rsid w:val="57FA38D1"/>
    <w:rsid w:val="5F7D3333"/>
    <w:rsid w:val="61385890"/>
    <w:rsid w:val="67CF473C"/>
    <w:rsid w:val="687436E1"/>
    <w:rsid w:val="69C26E0A"/>
    <w:rsid w:val="6DA45C50"/>
    <w:rsid w:val="6E9A7825"/>
    <w:rsid w:val="6F670F9B"/>
    <w:rsid w:val="71F616A5"/>
    <w:rsid w:val="737450E0"/>
    <w:rsid w:val="74054476"/>
    <w:rsid w:val="742F38C4"/>
    <w:rsid w:val="74AB66DC"/>
    <w:rsid w:val="74C4154C"/>
    <w:rsid w:val="75956FFF"/>
    <w:rsid w:val="76F1052D"/>
    <w:rsid w:val="77AA2D01"/>
    <w:rsid w:val="7CDE1DBD"/>
    <w:rsid w:val="7D943A85"/>
    <w:rsid w:val="7DB0448C"/>
    <w:rsid w:val="7E5F9AA4"/>
    <w:rsid w:val="8FFC8888"/>
    <w:rsid w:val="A7F73C99"/>
    <w:rsid w:val="BFFE3BF4"/>
    <w:rsid w:val="DFEBDA37"/>
    <w:rsid w:val="EF6FCA1D"/>
    <w:rsid w:val="EFFF57D6"/>
    <w:rsid w:val="FD33A2D0"/>
    <w:rsid w:val="FF7FA20F"/>
    <w:rsid w:val="FFFE81A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alloon Text"/>
    <w:basedOn w:val="1"/>
    <w:link w:val="12"/>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qFormat/>
    <w:uiPriority w:val="0"/>
    <w:rPr>
      <w:b/>
      <w:bCs/>
    </w:rPr>
  </w:style>
  <w:style w:type="character" w:styleId="9">
    <w:name w:val="page number"/>
    <w:qFormat/>
    <w:uiPriority w:val="0"/>
  </w:style>
  <w:style w:type="character" w:styleId="10">
    <w:name w:val="annotation reference"/>
    <w:qFormat/>
    <w:uiPriority w:val="0"/>
    <w:rPr>
      <w:sz w:val="21"/>
      <w:szCs w:val="21"/>
    </w:rPr>
  </w:style>
  <w:style w:type="character" w:customStyle="1" w:styleId="11">
    <w:name w:val="批注文字 Char"/>
    <w:link w:val="2"/>
    <w:qFormat/>
    <w:uiPriority w:val="0"/>
    <w:rPr>
      <w:kern w:val="2"/>
      <w:sz w:val="21"/>
      <w:szCs w:val="24"/>
    </w:rPr>
  </w:style>
  <w:style w:type="character" w:customStyle="1" w:styleId="12">
    <w:name w:val="批注框文本 Char"/>
    <w:link w:val="3"/>
    <w:qFormat/>
    <w:uiPriority w:val="0"/>
    <w:rPr>
      <w:kern w:val="2"/>
      <w:sz w:val="18"/>
      <w:szCs w:val="18"/>
    </w:rPr>
  </w:style>
  <w:style w:type="character" w:customStyle="1" w:styleId="13">
    <w:name w:val="页眉 Char"/>
    <w:link w:val="5"/>
    <w:qFormat/>
    <w:uiPriority w:val="0"/>
    <w:rPr>
      <w:kern w:val="2"/>
      <w:sz w:val="18"/>
      <w:szCs w:val="18"/>
    </w:rPr>
  </w:style>
  <w:style w:type="character" w:customStyle="1" w:styleId="14">
    <w:name w:val="批注主题 Char"/>
    <w:link w:val="6"/>
    <w:qFormat/>
    <w:uiPriority w:val="0"/>
    <w:rPr>
      <w:b/>
      <w:bCs/>
      <w:kern w:val="2"/>
      <w:sz w:val="21"/>
      <w:szCs w:val="24"/>
    </w:rPr>
  </w:style>
  <w:style w:type="paragraph" w:customStyle="1" w:styleId="15">
    <w:name w:val="WPSOffice手动目录 1"/>
    <w:qFormat/>
    <w:uiPriority w:val="0"/>
    <w:rPr>
      <w:rFonts w:ascii="Times New Roman" w:hAnsi="Times New Roman" w:eastAsia="宋体" w:cs="Times New Roman"/>
      <w:lang w:val="en-US" w:eastAsia="zh-CN" w:bidi="ar-SA"/>
    </w:rPr>
  </w:style>
  <w:style w:type="paragraph" w:customStyle="1" w:styleId="16">
    <w:name w:val="WPSOffice手动目录 2"/>
    <w:qFormat/>
    <w:uiPriority w:val="0"/>
    <w:pPr>
      <w:ind w:leftChars="200"/>
    </w:pPr>
    <w:rPr>
      <w:rFonts w:ascii="Times New Roman" w:hAnsi="Times New Roman" w:eastAsia="宋体" w:cs="Times New Roman"/>
      <w:lang w:val="en-US" w:eastAsia="zh-CN" w:bidi="ar-SA"/>
    </w:rPr>
  </w:style>
  <w:style w:type="paragraph" w:customStyle="1" w:styleId="17">
    <w:name w:val="正文1 Char Char Char"/>
    <w:basedOn w:val="1"/>
    <w:qFormat/>
    <w:uiPriority w:val="0"/>
    <w:pPr>
      <w:spacing w:line="360" w:lineRule="auto"/>
      <w:ind w:firstLine="20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1163</Words>
  <Characters>2480</Characters>
  <Lines>67</Lines>
  <Paragraphs>18</Paragraphs>
  <TotalTime>0</TotalTime>
  <ScaleCrop>false</ScaleCrop>
  <LinksUpToDate>false</LinksUpToDate>
  <CharactersWithSpaces>2528</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2024-07-24T03:26:00Z</dcterms:created>
  <dc:creator>uos</dc:creator>
  <cp:lastModifiedBy>子净</cp:lastModifiedBy>
  <cp:lastPrinted>2023-08-03T00:58:00Z</cp:lastPrinted>
  <dcterms:modified xsi:type="dcterms:W3CDTF">2025-10-27T03:29:17Z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03AE7F14E2DC4BACB053764200FF950D_13</vt:lpwstr>
  </property>
  <property fmtid="{D5CDD505-2E9C-101B-9397-08002B2CF9AE}" pid="4" name="KSOTemplateDocerSaveRecord">
    <vt:lpwstr>eyJoZGlkIjoiY2VlZThlZDk5ZTQ4MTFjNGY3MjIxNTdiOWMzZmQwMWMiLCJ1c2VySWQiOiIyMzQ5MTc1OTYifQ==</vt:lpwstr>
  </property>
</Properties>
</file>