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屯昌县屯昌中学2024年度</w:t>
      </w:r>
      <w:r>
        <w:rPr>
          <w:rFonts w:hint="eastAsia" w:ascii="方正小标宋_GBK" w:hAnsi="方正小标宋_GBK" w:eastAsia="方正小标宋_GBK" w:cs="方正小标宋_GBK"/>
          <w:b w:val="0"/>
          <w:bCs w:val="0"/>
          <w:color w:val="auto"/>
          <w:sz w:val="44"/>
          <w:szCs w:val="44"/>
          <w:lang w:val="en-US" w:eastAsia="zh-CN"/>
        </w:rPr>
        <w:t>单位</w:t>
      </w:r>
      <w:r>
        <w:rPr>
          <w:rFonts w:hint="eastAsia" w:ascii="方正小标宋_GBK" w:hAnsi="方正小标宋_GBK" w:eastAsia="方正小标宋_GBK" w:cs="方正小标宋_GBK"/>
          <w:b w:val="0"/>
          <w:bCs w:val="0"/>
          <w:color w:val="auto"/>
          <w:sz w:val="44"/>
          <w:szCs w:val="44"/>
        </w:rPr>
        <w:t>决</w:t>
      </w:r>
      <w:bookmarkStart w:id="119" w:name="_GoBack"/>
      <w:bookmarkEnd w:id="119"/>
      <w:r>
        <w:rPr>
          <w:rFonts w:hint="eastAsia" w:ascii="方正小标宋_GBK" w:hAnsi="方正小标宋_GBK" w:eastAsia="方正小标宋_GBK" w:cs="方正小标宋_GBK"/>
          <w:b w:val="0"/>
          <w:bCs w:val="0"/>
          <w:color w:val="auto"/>
          <w:sz w:val="44"/>
          <w:szCs w:val="44"/>
        </w:rPr>
        <w:t>算公开报告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6"/>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7"/>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一、单位职责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7"/>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6"/>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决算公开表</w:t>
      </w:r>
      <w:r>
        <w:rPr>
          <w:color w:val="auto"/>
          <w:sz w:val="32"/>
          <w:szCs w:val="32"/>
        </w:rPr>
        <w:tab/>
      </w:r>
      <w:r>
        <w:rPr>
          <w:color w:val="auto"/>
          <w:sz w:val="32"/>
          <w:szCs w:val="32"/>
        </w:rPr>
        <w:fldChar w:fldCharType="end"/>
      </w:r>
      <w:r>
        <w:rPr>
          <w:rFonts w:hint="eastAsia"/>
          <w:color w:val="auto"/>
          <w:sz w:val="32"/>
          <w:szCs w:val="32"/>
        </w:rPr>
        <w:t>2</w:t>
      </w:r>
    </w:p>
    <w:p>
      <w:pPr>
        <w:pStyle w:val="16"/>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决算情况说明</w:t>
      </w:r>
      <w:r>
        <w:rPr>
          <w:color w:val="auto"/>
          <w:sz w:val="32"/>
          <w:szCs w:val="32"/>
        </w:rPr>
        <w:tab/>
      </w:r>
      <w:r>
        <w:rPr>
          <w:color w:val="auto"/>
          <w:sz w:val="32"/>
          <w:szCs w:val="32"/>
        </w:rPr>
        <w:fldChar w:fldCharType="end"/>
      </w:r>
      <w:r>
        <w:rPr>
          <w:rFonts w:hint="eastAsia"/>
          <w:color w:val="auto"/>
          <w:sz w:val="32"/>
          <w:szCs w:val="32"/>
        </w:rPr>
        <w:t>3</w:t>
      </w:r>
    </w:p>
    <w:p>
      <w:pPr>
        <w:pStyle w:val="17"/>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7"/>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7"/>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7"/>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7"/>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7"/>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7"/>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7"/>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7"/>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7"/>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7"/>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6"/>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both"/>
        <w:rPr>
          <w:rFonts w:hint="eastAsia" w:ascii="黑体" w:hAnsi="ˎ̥" w:eastAsia="黑体"/>
          <w:color w:val="auto"/>
          <w:sz w:val="32"/>
          <w:szCs w:val="32"/>
        </w:rPr>
      </w:pPr>
      <w:bookmarkStart w:id="2" w:name="_Toc22941_WPSOffice_Level1"/>
      <w:bookmarkStart w:id="3" w:name="_Toc1704_WPSOffice_Level1"/>
      <w:bookmarkStart w:id="4" w:name="_Toc10049_WPSOffice_Level1"/>
      <w:bookmarkStart w:id="5" w:name="_Toc32433_WPSOffice_Level1"/>
      <w:bookmarkStart w:id="6" w:name="_Toc23465_WPSOffice_Level1"/>
      <w:bookmarkStart w:id="7" w:name="_Toc10720_WPSOffice_Level1"/>
      <w:bookmarkStart w:id="8" w:name="_Toc24238_WPSOffice_Level2"/>
      <w:bookmarkStart w:id="9" w:name="_Toc20205_WPSOffice_Level2"/>
      <w:bookmarkStart w:id="10" w:name="_Toc20274_WPSOffice_Level2"/>
      <w:bookmarkStart w:id="11" w:name="_Toc32622_WPSOffice_Level2"/>
      <w:bookmarkStart w:id="12" w:name="_Toc14159_WPSOffice_Level2"/>
      <w:bookmarkStart w:id="13" w:name="_Toc26580_WPSOffice_Level2"/>
    </w:p>
    <w:p>
      <w:pPr>
        <w:spacing w:line="578" w:lineRule="exact"/>
        <w:jc w:val="both"/>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bookmarkEnd w:id="8"/>
    <w:p>
      <w:pPr>
        <w:numPr>
          <w:ilvl w:val="0"/>
          <w:numId w:val="2"/>
        </w:num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单位职责</w:t>
      </w:r>
      <w:bookmarkEnd w:id="9"/>
      <w:bookmarkEnd w:id="10"/>
      <w:bookmarkEnd w:id="11"/>
      <w:bookmarkEnd w:id="12"/>
      <w:bookmarkEnd w:id="13"/>
    </w:p>
    <w:p>
      <w:pPr>
        <w:keepNext w:val="0"/>
        <w:keepLines w:val="0"/>
        <w:widowControl/>
        <w:suppressLineNumbers w:val="0"/>
        <w:ind w:left="0" w:firstLine="640" w:firstLineChars="200"/>
        <w:jc w:val="left"/>
        <w:rPr>
          <w:rFonts w:hint="eastAsia" w:ascii="黑体" w:hAnsi="黑体" w:eastAsia="黑体" w:cs="黑体"/>
          <w:color w:val="auto"/>
          <w:sz w:val="32"/>
          <w:szCs w:val="32"/>
        </w:rPr>
      </w:pPr>
      <w:r>
        <w:rPr>
          <w:rFonts w:hint="default" w:ascii="仿宋_GB2312" w:hAnsi="宋体" w:eastAsia="仿宋_GB2312" w:cs="仿宋_GB2312"/>
          <w:color w:val="auto"/>
          <w:kern w:val="0"/>
          <w:sz w:val="32"/>
          <w:szCs w:val="32"/>
        </w:rPr>
        <w:t>屯昌县屯昌中学是一所公办学校，主要承担初中教育和高中教育。校园总面积</w:t>
      </w:r>
      <w:r>
        <w:rPr>
          <w:rFonts w:hint="default" w:ascii="仿宋_GB2312" w:hAnsi="宋体" w:eastAsia="仿宋_GB2312" w:cs="宋体"/>
          <w:color w:val="auto"/>
          <w:kern w:val="0"/>
          <w:sz w:val="32"/>
          <w:szCs w:val="32"/>
        </w:rPr>
        <w:t>148亩，是国家</w:t>
      </w:r>
      <w:r>
        <w:rPr>
          <w:rFonts w:hint="default" w:ascii="仿宋_GB2312" w:hAnsi="宋体" w:eastAsia="仿宋_GB2312" w:cs="仿宋_GB2312"/>
          <w:color w:val="auto"/>
          <w:kern w:val="0"/>
          <w:sz w:val="32"/>
          <w:szCs w:val="32"/>
          <w:u w:val="none"/>
        </w:rPr>
        <w:t>级</w:t>
      </w:r>
      <w:r>
        <w:rPr>
          <w:color w:val="auto"/>
          <w:u w:val="none"/>
        </w:rPr>
        <w:fldChar w:fldCharType="begin"/>
      </w:r>
      <w:r>
        <w:rPr>
          <w:color w:val="auto"/>
          <w:u w:val="none"/>
        </w:rPr>
        <w:instrText xml:space="preserve"> HYPERLINK "http://baike.baidu.com/view/23550.htm" </w:instrText>
      </w:r>
      <w:r>
        <w:rPr>
          <w:color w:val="auto"/>
          <w:u w:val="none"/>
        </w:rPr>
        <w:fldChar w:fldCharType="separate"/>
      </w:r>
      <w:r>
        <w:rPr>
          <w:rStyle w:val="10"/>
          <w:rFonts w:hint="default" w:ascii="仿宋_GB2312" w:hAnsi="宋体" w:eastAsia="仿宋_GB2312" w:cs="仿宋_GB2312"/>
          <w:color w:val="auto"/>
          <w:kern w:val="0"/>
          <w:sz w:val="32"/>
          <w:szCs w:val="32"/>
          <w:u w:val="none"/>
        </w:rPr>
        <w:t>绿色</w:t>
      </w:r>
      <w:r>
        <w:rPr>
          <w:color w:val="auto"/>
          <w:u w:val="none"/>
        </w:rPr>
        <w:fldChar w:fldCharType="end"/>
      </w:r>
      <w:r>
        <w:rPr>
          <w:rFonts w:hint="default" w:ascii="仿宋_GB2312" w:hAnsi="宋体" w:eastAsia="仿宋_GB2312" w:cs="仿宋_GB2312"/>
          <w:color w:val="auto"/>
          <w:kern w:val="0"/>
          <w:sz w:val="32"/>
          <w:szCs w:val="32"/>
          <w:u w:val="none"/>
        </w:rPr>
        <w:t>校园。校园环境雅致，绿树成荫，芳草如茵，道路畅通，规划严谨，布局有序，教学设施较为齐全，有教学大楼三幢，科学馆，阶梯教室、图书馆、办公楼、综合楼各一幢，标准塑胶田径运动场一个，</w:t>
      </w:r>
      <w:r>
        <w:rPr>
          <w:color w:val="auto"/>
          <w:u w:val="none"/>
        </w:rPr>
        <w:fldChar w:fldCharType="begin"/>
      </w:r>
      <w:r>
        <w:rPr>
          <w:color w:val="auto"/>
          <w:u w:val="none"/>
        </w:rPr>
        <w:instrText xml:space="preserve"> HYPERLINK "http://baike.baidu.com/view/314711.htm" </w:instrText>
      </w:r>
      <w:r>
        <w:rPr>
          <w:color w:val="auto"/>
          <w:u w:val="none"/>
        </w:rPr>
        <w:fldChar w:fldCharType="separate"/>
      </w:r>
      <w:r>
        <w:rPr>
          <w:rStyle w:val="10"/>
          <w:rFonts w:hint="default" w:ascii="仿宋_GB2312" w:hAnsi="宋体" w:eastAsia="仿宋_GB2312" w:cs="仿宋_GB2312"/>
          <w:color w:val="auto"/>
          <w:kern w:val="0"/>
          <w:sz w:val="32"/>
          <w:szCs w:val="32"/>
          <w:u w:val="none"/>
        </w:rPr>
        <w:t>篮球场</w:t>
      </w:r>
      <w:r>
        <w:rPr>
          <w:color w:val="auto"/>
          <w:u w:val="none"/>
        </w:rPr>
        <w:fldChar w:fldCharType="end"/>
      </w:r>
      <w:r>
        <w:rPr>
          <w:rFonts w:hint="default" w:ascii="仿宋_GB2312" w:hAnsi="宋体" w:eastAsia="仿宋_GB2312" w:cs="仿宋_GB2312"/>
          <w:color w:val="auto"/>
          <w:kern w:val="0"/>
          <w:sz w:val="32"/>
          <w:szCs w:val="32"/>
          <w:u w:val="none"/>
        </w:rPr>
        <w:t>五个、排球场四个，实验室、电脑室、语音室、电化教室、舞蹈室、</w:t>
      </w:r>
      <w:r>
        <w:rPr>
          <w:rFonts w:hint="default" w:ascii="仿宋_GB2312" w:hAnsi="宋体" w:eastAsia="仿宋_GB2312" w:cs="仿宋_GB2312"/>
          <w:color w:val="auto"/>
          <w:kern w:val="0"/>
          <w:sz w:val="32"/>
          <w:szCs w:val="32"/>
        </w:rPr>
        <w:t>美术室、音乐器材室等多功能室</w:t>
      </w:r>
      <w:r>
        <w:rPr>
          <w:rFonts w:hint="default" w:ascii="仿宋_GB2312" w:hAnsi="宋体" w:eastAsia="仿宋_GB2312" w:cs="宋体"/>
          <w:color w:val="auto"/>
          <w:kern w:val="0"/>
          <w:sz w:val="32"/>
          <w:szCs w:val="32"/>
        </w:rPr>
        <w:t>33个。图书馆藏书3.6万册，阅览室报刊150多种。</w:t>
      </w:r>
    </w:p>
    <w:p>
      <w:pPr>
        <w:spacing w:line="578" w:lineRule="exact"/>
        <w:ind w:firstLine="640" w:firstLineChars="200"/>
        <w:rPr>
          <w:rFonts w:hint="eastAsia" w:ascii="黑体" w:hAnsi="黑体" w:eastAsia="黑体" w:cs="黑体"/>
          <w:color w:val="auto"/>
          <w:sz w:val="32"/>
          <w:szCs w:val="32"/>
        </w:rPr>
      </w:pPr>
      <w:bookmarkStart w:id="14" w:name="_Toc4833_WPSOffice_Level2"/>
      <w:bookmarkStart w:id="15" w:name="_Toc6572_WPSOffice_Level2"/>
      <w:bookmarkStart w:id="16" w:name="_Toc24059_WPSOffice_Level2"/>
      <w:bookmarkStart w:id="17" w:name="_Toc17796_WPSOffice_Level2"/>
      <w:bookmarkStart w:id="18" w:name="_Toc24474_WPSOffice_Level2"/>
      <w:r>
        <w:rPr>
          <w:rFonts w:hint="eastAsia" w:ascii="黑体" w:hAnsi="黑体" w:eastAsia="黑体" w:cs="黑体"/>
          <w:color w:val="auto"/>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纳入</w:t>
      </w:r>
      <w:r>
        <w:rPr>
          <w:rFonts w:hint="default" w:ascii="仿宋_GB2312" w:hAnsi="宋体" w:eastAsia="仿宋_GB2312" w:cs="仿宋_GB2312"/>
          <w:color w:val="auto"/>
          <w:kern w:val="0"/>
          <w:sz w:val="32"/>
          <w:szCs w:val="32"/>
        </w:rPr>
        <w:t>屯昌县屯昌中学</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单位</w:t>
      </w:r>
      <w:r>
        <w:rPr>
          <w:rFonts w:hint="eastAsia" w:ascii="仿宋_GB2312" w:hAnsi="ˎ̥" w:eastAsia="仿宋_GB2312"/>
          <w:color w:val="auto"/>
          <w:sz w:val="32"/>
          <w:szCs w:val="32"/>
        </w:rPr>
        <w:t>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个，包括：</w:t>
      </w:r>
    </w:p>
    <w:p>
      <w:pPr>
        <w:keepNext w:val="0"/>
        <w:keepLines w:val="0"/>
        <w:widowControl/>
        <w:numPr>
          <w:ilvl w:val="0"/>
          <w:numId w:val="3"/>
        </w:numPr>
        <w:suppressLineNumbers w:val="0"/>
        <w:spacing w:before="100" w:beforeAutospacing="1" w:after="100" w:afterAutospacing="1"/>
        <w:ind w:left="0" w:right="0" w:firstLine="640" w:firstLineChars="200"/>
        <w:rPr>
          <w:rFonts w:hint="eastAsia" w:ascii="楷体" w:hAnsi="楷体" w:eastAsia="楷体" w:cs="楷体"/>
          <w:color w:val="auto"/>
          <w:kern w:val="0"/>
          <w:sz w:val="32"/>
          <w:szCs w:val="32"/>
        </w:rPr>
      </w:pPr>
      <w:r>
        <w:rPr>
          <w:rFonts w:hint="default" w:ascii="仿宋_GB2312" w:hAnsi="ˎ̥" w:eastAsia="仿宋_GB2312" w:cs="仿宋_GB2312"/>
          <w:color w:val="auto"/>
          <w:kern w:val="0"/>
          <w:sz w:val="32"/>
          <w:szCs w:val="32"/>
          <w:shd w:val="clear" w:color="auto" w:fill="FFFFFF"/>
        </w:rPr>
        <w:t>屯昌县屯昌中学</w:t>
      </w:r>
      <w:r>
        <w:rPr>
          <w:rFonts w:hint="eastAsia" w:ascii="楷体" w:hAnsi="楷体" w:eastAsia="楷体" w:cs="楷体"/>
          <w:color w:val="auto"/>
          <w:kern w:val="0"/>
          <w:sz w:val="32"/>
          <w:szCs w:val="32"/>
        </w:rPr>
        <w:t>本级</w:t>
      </w:r>
    </w:p>
    <w:p>
      <w:pPr>
        <w:spacing w:line="578" w:lineRule="exact"/>
        <w:jc w:val="center"/>
        <w:rPr>
          <w:rFonts w:hint="eastAsia" w:ascii="黑体" w:hAnsi="ˎ̥" w:eastAsia="黑体"/>
          <w:color w:val="auto"/>
          <w:sz w:val="32"/>
          <w:szCs w:val="32"/>
        </w:rPr>
      </w:pPr>
      <w:bookmarkStart w:id="19" w:name="_Toc15521_WPSOffice_Level1"/>
      <w:bookmarkStart w:id="20" w:name="_Toc30690_WPSOffice_Level1"/>
      <w:bookmarkStart w:id="21" w:name="_Toc28253_WPSOffice_Level1"/>
      <w:bookmarkStart w:id="22" w:name="_Toc8164_WPSOffice_Level1"/>
      <w:bookmarkStart w:id="23" w:name="_Toc6234_WPSOffice_Level1"/>
      <w:bookmarkStart w:id="24" w:name="_Toc30451_WPSOffice_Level1"/>
      <w:bookmarkStart w:id="25" w:name="_Toc32695_WPSOffice_Level2"/>
      <w:bookmarkStart w:id="26" w:name="_Toc32472_WPSOffice_Level2"/>
      <w:bookmarkStart w:id="27" w:name="_Toc8867_WPSOffice_Level2"/>
      <w:bookmarkStart w:id="28" w:name="_Toc4029_WPSOffice_Level2"/>
      <w:bookmarkStart w:id="29" w:name="_Toc6211_WPSOffice_Level2"/>
      <w:bookmarkStart w:id="30" w:name="_Toc11518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color w:val="auto"/>
          <w:sz w:val="32"/>
          <w:szCs w:val="32"/>
        </w:rPr>
      </w:pPr>
      <w:bookmarkStart w:id="31" w:name="_Toc26621_WPSOffice_Level2"/>
      <w:bookmarkStart w:id="32" w:name="_Toc23139_WPSOffice_Level2"/>
      <w:bookmarkStart w:id="33" w:name="_Toc14349_WPSOffice_Level2"/>
      <w:bookmarkStart w:id="34" w:name="_Toc28622_WPSOffice_Level2"/>
      <w:bookmarkStart w:id="35" w:name="_Toc25608_WPSOffice_Level2"/>
      <w:bookmarkStart w:id="36" w:name="_Toc30334_WPSOffice_Level2"/>
      <w:r>
        <w:rPr>
          <w:rFonts w:hint="eastAsia" w:ascii="黑体" w:hAnsi="黑体" w:eastAsia="黑体" w:cs="黑体"/>
          <w:color w:val="auto"/>
          <w:sz w:val="32"/>
          <w:szCs w:val="32"/>
        </w:rPr>
        <w:t>二、收入决算公开表</w:t>
      </w:r>
      <w:bookmarkEnd w:id="31"/>
      <w:bookmarkEnd w:id="32"/>
      <w:bookmarkEnd w:id="33"/>
      <w:bookmarkEnd w:id="34"/>
      <w:bookmarkEnd w:id="35"/>
      <w:bookmarkEnd w:id="36"/>
      <w:bookmarkStart w:id="37" w:name="_Toc3262_WPSOffice_Level2"/>
      <w:bookmarkStart w:id="38" w:name="_Toc5489_WPSOffice_Level2"/>
      <w:bookmarkStart w:id="39" w:name="_Toc17626_WPSOffice_Level2"/>
      <w:bookmarkStart w:id="40" w:name="_Toc17858_WPSOffice_Level2"/>
      <w:bookmarkStart w:id="41" w:name="_Toc13854_WPSOffice_Level2"/>
      <w:bookmarkStart w:id="42" w:name="_Toc14658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7"/>
      <w:bookmarkEnd w:id="38"/>
      <w:bookmarkEnd w:id="39"/>
      <w:bookmarkEnd w:id="40"/>
      <w:bookmarkEnd w:id="41"/>
      <w:bookmarkEnd w:id="42"/>
      <w:bookmarkStart w:id="43" w:name="_Toc23591_WPSOffice_Level2"/>
      <w:bookmarkStart w:id="44" w:name="_Toc7988_WPSOffice_Level2"/>
      <w:bookmarkStart w:id="45" w:name="_Toc21415_WPSOffice_Level2"/>
      <w:bookmarkStart w:id="46" w:name="_Toc4265_WPSOffice_Level2"/>
      <w:bookmarkStart w:id="47" w:name="_Toc13701_WPSOffice_Level2"/>
      <w:bookmarkStart w:id="48" w:name="_Toc2349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color w:val="auto"/>
          <w:sz w:val="32"/>
          <w:szCs w:val="32"/>
        </w:rPr>
      </w:pPr>
      <w:bookmarkStart w:id="49" w:name="_Toc23829_WPSOffice_Level2"/>
      <w:bookmarkStart w:id="50" w:name="_Toc7879_WPSOffice_Level2"/>
      <w:bookmarkStart w:id="51" w:name="_Toc22783_WPSOffice_Level2"/>
      <w:bookmarkStart w:id="52" w:name="_Toc25166_WPSOffice_Level2"/>
      <w:bookmarkStart w:id="53" w:name="_Toc13516_WPSOffice_Level2"/>
      <w:bookmarkStart w:id="54" w:name="_Toc2158_WPSOffice_Level2"/>
      <w:r>
        <w:rPr>
          <w:rFonts w:hint="eastAsia" w:ascii="黑体" w:hAnsi="黑体" w:eastAsia="黑体" w:cs="黑体"/>
          <w:color w:val="auto"/>
          <w:sz w:val="32"/>
          <w:szCs w:val="32"/>
        </w:rPr>
        <w:t>五、一般公共预算财政拨款收入支出决算</w:t>
      </w:r>
      <w:bookmarkEnd w:id="49"/>
      <w:bookmarkEnd w:id="50"/>
      <w:bookmarkEnd w:id="51"/>
      <w:bookmarkEnd w:id="52"/>
      <w:r>
        <w:rPr>
          <w:rFonts w:hint="eastAsia" w:ascii="黑体" w:hAnsi="黑体" w:eastAsia="黑体" w:cs="黑体"/>
          <w:color w:val="auto"/>
          <w:sz w:val="32"/>
          <w:szCs w:val="32"/>
        </w:rPr>
        <w:t>公开表</w:t>
      </w:r>
      <w:bookmarkEnd w:id="53"/>
      <w:bookmarkEnd w:id="54"/>
      <w:bookmarkStart w:id="55" w:name="_Toc17283_WPSOffice_Level2"/>
      <w:bookmarkStart w:id="56" w:name="_Toc5343_WPSOffice_Level2"/>
      <w:bookmarkStart w:id="57" w:name="_Toc2632_WPSOffice_Level2"/>
      <w:bookmarkStart w:id="58" w:name="_Toc17833_WPSOffice_Level2"/>
      <w:bookmarkStart w:id="59" w:name="_Toc8373_WPSOffice_Level2"/>
      <w:bookmarkStart w:id="60" w:name="_Toc25362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1" w:name="_Toc1533_WPSOffice_Level2"/>
      <w:bookmarkStart w:id="62" w:name="_Toc6020_WPSOffice_Level2"/>
      <w:bookmarkStart w:id="63" w:name="_Toc13345_WPSOffice_Level2"/>
      <w:bookmarkStart w:id="64" w:name="_Toc21310_WPSOffice_Level2"/>
      <w:bookmarkStart w:id="65" w:name="_Toc11799_WPSOffice_Level2"/>
      <w:bookmarkStart w:id="66" w:name="_Toc5594_WPSOffice_Level2"/>
      <w:r>
        <w:rPr>
          <w:rFonts w:hint="eastAsia" w:ascii="黑体" w:hAnsi="黑体" w:eastAsia="黑体" w:cs="黑体"/>
          <w:color w:val="auto"/>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7" w:name="_Toc29886_WPSOffice_Level2"/>
      <w:bookmarkStart w:id="68" w:name="_Toc19961_WPSOffice_Level2"/>
      <w:bookmarkStart w:id="69" w:name="_Toc1820_WPSOffice_Level2"/>
      <w:bookmarkStart w:id="70" w:name="_Toc9377_WPSOffice_Level2"/>
      <w:r>
        <w:rPr>
          <w:rFonts w:hint="eastAsia" w:ascii="黑体" w:hAnsi="黑体" w:eastAsia="黑体" w:cs="黑体"/>
          <w:color w:val="auto"/>
          <w:sz w:val="32"/>
          <w:szCs w:val="32"/>
        </w:rPr>
        <w:t>九、财政拨款“三公”经费支出决算</w:t>
      </w:r>
      <w:bookmarkEnd w:id="67"/>
      <w:bookmarkEnd w:id="68"/>
      <w:bookmarkEnd w:id="69"/>
      <w:bookmarkEnd w:id="70"/>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1" w:name="_Toc29683_WPSOffice_Level1"/>
      <w:bookmarkStart w:id="72" w:name="_Toc27590_WPSOffice_Level1"/>
      <w:bookmarkStart w:id="73" w:name="_Toc16686_WPSOffice_Level1"/>
      <w:bookmarkStart w:id="74" w:name="_Toc4402_WPSOffice_Level1"/>
      <w:bookmarkStart w:id="75" w:name="_Toc31264_WPSOffice_Level1"/>
      <w:bookmarkStart w:id="76" w:name="_Toc28629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color w:val="auto"/>
          <w:sz w:val="32"/>
          <w:szCs w:val="32"/>
        </w:rPr>
      </w:pPr>
    </w:p>
    <w:p>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6,733.34</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6,733.34</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年度相比，收入、支出总计各增加</w:t>
      </w:r>
      <w:r>
        <w:rPr>
          <w:rFonts w:hint="eastAsia" w:ascii="仿宋_GB2312" w:hAnsi="ˎ̥" w:eastAsia="仿宋_GB2312"/>
          <w:color w:val="auto"/>
          <w:sz w:val="32"/>
          <w:szCs w:val="32"/>
          <w:lang w:val="en-US" w:eastAsia="zh-CN"/>
        </w:rPr>
        <w:t>20.29</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0.30</w:t>
      </w:r>
      <w:r>
        <w:rPr>
          <w:rFonts w:hint="eastAsia" w:ascii="仿宋_GB2312" w:hAnsi="ˎ̥" w:eastAsia="仿宋_GB2312"/>
          <w:color w:val="auto"/>
          <w:sz w:val="32"/>
          <w:szCs w:val="32"/>
        </w:rPr>
        <w:t>%。主要原因：</w:t>
      </w:r>
      <w:r>
        <w:rPr>
          <w:rFonts w:hint="default" w:ascii="仿宋_GB2312" w:hAnsi="ˎ̥" w:eastAsia="仿宋_GB2312"/>
          <w:color w:val="auto"/>
          <w:sz w:val="32"/>
          <w:szCs w:val="32"/>
        </w:rPr>
        <w:t>一</w:t>
      </w:r>
      <w:r>
        <w:rPr>
          <w:rFonts w:hint="eastAsia" w:ascii="仿宋_GB2312" w:hAnsi="ˎ̥" w:eastAsia="仿宋_GB2312"/>
          <w:color w:val="auto"/>
          <w:sz w:val="32"/>
          <w:szCs w:val="32"/>
          <w:lang w:eastAsia="zh-CN"/>
        </w:rPr>
        <w:t>是</w:t>
      </w:r>
      <w:r>
        <w:rPr>
          <w:rFonts w:hint="default" w:ascii="仿宋_GB2312" w:hAnsi="ˎ̥" w:eastAsia="仿宋_GB2312"/>
          <w:color w:val="auto"/>
          <w:sz w:val="32"/>
          <w:szCs w:val="32"/>
        </w:rPr>
        <w:t>教育支出减少</w:t>
      </w:r>
      <w:r>
        <w:rPr>
          <w:rFonts w:hint="eastAsia" w:ascii="仿宋_GB2312" w:hAnsi="ˎ̥" w:eastAsia="仿宋_GB2312"/>
          <w:color w:val="auto"/>
          <w:sz w:val="32"/>
          <w:szCs w:val="32"/>
          <w:lang w:val="en-US" w:eastAsia="zh-CN"/>
        </w:rPr>
        <w:t>64.84</w:t>
      </w:r>
      <w:r>
        <w:rPr>
          <w:rFonts w:hint="default" w:ascii="仿宋_GB2312" w:hAnsi="ˎ̥" w:eastAsia="仿宋_GB2312"/>
          <w:color w:val="auto"/>
          <w:sz w:val="32"/>
          <w:szCs w:val="32"/>
        </w:rPr>
        <w:t>万元；</w:t>
      </w:r>
      <w:r>
        <w:rPr>
          <w:rFonts w:hint="eastAsia" w:ascii="仿宋_GB2312" w:hAnsi="ˎ̥" w:eastAsia="仿宋_GB2312"/>
          <w:color w:val="auto"/>
          <w:sz w:val="32"/>
          <w:szCs w:val="32"/>
          <w:lang w:eastAsia="zh-CN"/>
        </w:rPr>
        <w:t>二</w:t>
      </w:r>
      <w:r>
        <w:rPr>
          <w:rFonts w:hint="default" w:ascii="仿宋_GB2312" w:hAnsi="ˎ̥" w:eastAsia="仿宋_GB2312"/>
          <w:color w:val="auto"/>
          <w:sz w:val="32"/>
          <w:szCs w:val="32"/>
        </w:rPr>
        <w:t>是社会保障和就业支出</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lang w:val="en-US" w:eastAsia="zh-CN"/>
        </w:rPr>
        <w:t>58.68</w:t>
      </w:r>
      <w:r>
        <w:rPr>
          <w:rFonts w:hint="default" w:ascii="仿宋_GB2312" w:hAnsi="ˎ̥" w:eastAsia="仿宋_GB2312"/>
          <w:color w:val="auto"/>
          <w:sz w:val="32"/>
          <w:szCs w:val="32"/>
        </w:rPr>
        <w:t>万元；</w:t>
      </w:r>
      <w:r>
        <w:rPr>
          <w:rFonts w:hint="eastAsia" w:ascii="仿宋_GB2312" w:hAnsi="ˎ̥" w:eastAsia="仿宋_GB2312"/>
          <w:color w:val="auto"/>
          <w:sz w:val="32"/>
          <w:szCs w:val="32"/>
          <w:lang w:eastAsia="zh-CN"/>
        </w:rPr>
        <w:t>三</w:t>
      </w:r>
      <w:r>
        <w:rPr>
          <w:rFonts w:hint="default" w:ascii="仿宋_GB2312" w:hAnsi="ˎ̥" w:eastAsia="仿宋_GB2312"/>
          <w:color w:val="auto"/>
          <w:sz w:val="32"/>
          <w:szCs w:val="32"/>
        </w:rPr>
        <w:t>是卫生健康支出增加</w:t>
      </w:r>
      <w:r>
        <w:rPr>
          <w:rFonts w:hint="eastAsia" w:ascii="仿宋_GB2312" w:hAnsi="ˎ̥" w:eastAsia="仿宋_GB2312"/>
          <w:color w:val="auto"/>
          <w:sz w:val="32"/>
          <w:szCs w:val="32"/>
          <w:lang w:val="en-US" w:eastAsia="zh-CN"/>
        </w:rPr>
        <w:t>17.49</w:t>
      </w:r>
      <w:r>
        <w:rPr>
          <w:rFonts w:hint="default" w:ascii="仿宋_GB2312" w:hAnsi="ˎ̥" w:eastAsia="仿宋_GB2312"/>
          <w:color w:val="auto"/>
          <w:sz w:val="32"/>
          <w:szCs w:val="32"/>
        </w:rPr>
        <w:t>万元；</w:t>
      </w:r>
      <w:r>
        <w:rPr>
          <w:rFonts w:hint="eastAsia" w:ascii="仿宋_GB2312" w:hAnsi="ˎ̥" w:eastAsia="仿宋_GB2312"/>
          <w:color w:val="auto"/>
          <w:sz w:val="32"/>
          <w:szCs w:val="32"/>
          <w:lang w:eastAsia="zh-CN"/>
        </w:rPr>
        <w:t>四</w:t>
      </w:r>
      <w:r>
        <w:rPr>
          <w:rFonts w:hint="default" w:ascii="仿宋_GB2312" w:hAnsi="ˎ̥" w:eastAsia="仿宋_GB2312"/>
          <w:color w:val="auto"/>
          <w:sz w:val="32"/>
          <w:szCs w:val="32"/>
        </w:rPr>
        <w:t>是住房保障支出增加</w:t>
      </w:r>
      <w:r>
        <w:rPr>
          <w:rFonts w:hint="eastAsia" w:ascii="仿宋_GB2312" w:hAnsi="ˎ̥" w:eastAsia="仿宋_GB2312"/>
          <w:color w:val="auto"/>
          <w:sz w:val="32"/>
          <w:szCs w:val="32"/>
          <w:lang w:val="en-US" w:eastAsia="zh-CN"/>
        </w:rPr>
        <w:t>11.5</w:t>
      </w:r>
      <w:r>
        <w:rPr>
          <w:rFonts w:hint="default"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6,676.40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56.94</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课后服务（单位资金）</w:t>
      </w:r>
      <w:r>
        <w:rPr>
          <w:rFonts w:hint="eastAsia" w:ascii="仿宋_GB2312" w:hAnsi="ˎ̥" w:eastAsia="仿宋_GB2312"/>
          <w:color w:val="auto"/>
          <w:sz w:val="32"/>
          <w:szCs w:val="32"/>
          <w:lang w:val="en-US" w:eastAsia="zh-CN"/>
        </w:rPr>
        <w:t>17.66万元，学费、住宿费（屯中单位资金）36.55万元等项目经费</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6.38</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12.62</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学费、住宿费（屯中单位资金）项目经费结转结余增加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6,677.16</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0.68</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年末无结余分配</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56.18</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课后服务（单位资金）</w:t>
      </w:r>
      <w:r>
        <w:rPr>
          <w:rFonts w:hint="eastAsia" w:ascii="仿宋_GB2312" w:hAnsi="ˎ̥" w:eastAsia="仿宋_GB2312"/>
          <w:color w:val="auto"/>
          <w:sz w:val="32"/>
          <w:szCs w:val="32"/>
          <w:lang w:val="en-US" w:eastAsia="zh-CN"/>
        </w:rPr>
        <w:t>17.66万元，学费、住宿费（屯中单位资金）36.55万元等项目经费</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0.76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1.33</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项目经费结转结余支出增减变动。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6,676.40</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6,406.86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95.99</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172.39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2.58</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97.15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1.46</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6,677.16</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5,561.61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83.29</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1,115.55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16.71</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6,406.86</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6,406.86</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30.13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0.47</w:t>
      </w:r>
      <w:r>
        <w:rPr>
          <w:rFonts w:hint="eastAsia" w:ascii="仿宋_GB2312" w:hAnsi="ˎ̥" w:eastAsia="仿宋_GB2312"/>
          <w:color w:val="auto"/>
          <w:sz w:val="32"/>
          <w:szCs w:val="32"/>
        </w:rPr>
        <w:t>%，主要原因：一是一般公共预算财政拨款</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lang w:val="en-US" w:eastAsia="zh-CN"/>
        </w:rPr>
        <w:t>30.13万元</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30.13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0.47</w:t>
      </w:r>
      <w:r>
        <w:rPr>
          <w:rFonts w:hint="eastAsia" w:ascii="仿宋_GB2312" w:hAnsi="ˎ̥" w:eastAsia="仿宋_GB2312"/>
          <w:color w:val="auto"/>
          <w:sz w:val="32"/>
          <w:szCs w:val="32"/>
        </w:rPr>
        <w:t>%，主要原因：</w:t>
      </w:r>
      <w:r>
        <w:rPr>
          <w:rFonts w:hint="default" w:ascii="仿宋_GB2312" w:hAnsi="ˎ̥" w:eastAsia="仿宋_GB2312" w:cs="仿宋_GB2312"/>
          <w:color w:val="auto"/>
          <w:kern w:val="0"/>
          <w:sz w:val="32"/>
          <w:szCs w:val="32"/>
        </w:rPr>
        <w:t>一</w:t>
      </w:r>
      <w:r>
        <w:rPr>
          <w:rFonts w:hint="eastAsia" w:ascii="仿宋_GB2312" w:hAnsi="ˎ̥" w:eastAsia="仿宋_GB2312" w:cs="仿宋_GB2312"/>
          <w:color w:val="auto"/>
          <w:kern w:val="0"/>
          <w:sz w:val="32"/>
          <w:szCs w:val="32"/>
          <w:lang w:eastAsia="zh-CN"/>
        </w:rPr>
        <w:t>是</w:t>
      </w:r>
      <w:r>
        <w:rPr>
          <w:rFonts w:hint="default" w:ascii="仿宋_GB2312" w:hAnsi="ˎ̥" w:eastAsia="仿宋_GB2312" w:cs="仿宋_GB2312"/>
          <w:color w:val="auto"/>
          <w:kern w:val="0"/>
          <w:sz w:val="32"/>
          <w:szCs w:val="32"/>
        </w:rPr>
        <w:t>教育支出减少</w:t>
      </w:r>
      <w:r>
        <w:rPr>
          <w:rFonts w:hint="eastAsia" w:ascii="仿宋_GB2312" w:hAnsi="ˎ̥" w:eastAsia="仿宋_GB2312" w:cs="仿宋_GB2312"/>
          <w:color w:val="auto"/>
          <w:kern w:val="0"/>
          <w:sz w:val="32"/>
          <w:szCs w:val="32"/>
          <w:lang w:val="en-US" w:eastAsia="zh-CN"/>
        </w:rPr>
        <w:t>116.68</w:t>
      </w:r>
      <w:r>
        <w:rPr>
          <w:rFonts w:hint="default" w:ascii="仿宋_GB2312" w:hAnsi="ˎ̥" w:eastAsia="仿宋_GB2312" w:cs="仿宋_GB2312"/>
          <w:color w:val="auto"/>
          <w:kern w:val="0"/>
          <w:sz w:val="32"/>
          <w:szCs w:val="32"/>
        </w:rPr>
        <w:t>万元；</w:t>
      </w:r>
      <w:r>
        <w:rPr>
          <w:rFonts w:hint="eastAsia" w:ascii="仿宋_GB2312" w:hAnsi="ˎ̥" w:eastAsia="仿宋_GB2312" w:cs="仿宋_GB2312"/>
          <w:color w:val="auto"/>
          <w:kern w:val="0"/>
          <w:sz w:val="32"/>
          <w:szCs w:val="32"/>
          <w:lang w:eastAsia="zh-CN"/>
        </w:rPr>
        <w:t>二</w:t>
      </w:r>
      <w:r>
        <w:rPr>
          <w:rFonts w:hint="default" w:ascii="仿宋_GB2312" w:hAnsi="ˎ̥" w:eastAsia="仿宋_GB2312" w:cs="仿宋_GB2312"/>
          <w:color w:val="auto"/>
          <w:kern w:val="0"/>
          <w:sz w:val="32"/>
          <w:szCs w:val="32"/>
        </w:rPr>
        <w:t>是社会保障和就业支出</w:t>
      </w:r>
      <w:r>
        <w:rPr>
          <w:rFonts w:hint="eastAsia" w:ascii="仿宋_GB2312" w:hAnsi="ˎ̥" w:eastAsia="仿宋_GB2312" w:cs="仿宋_GB2312"/>
          <w:color w:val="auto"/>
          <w:kern w:val="0"/>
          <w:sz w:val="32"/>
          <w:szCs w:val="32"/>
          <w:lang w:eastAsia="zh-CN"/>
        </w:rPr>
        <w:t>增加</w:t>
      </w:r>
      <w:r>
        <w:rPr>
          <w:rFonts w:hint="eastAsia" w:ascii="仿宋_GB2312" w:hAnsi="ˎ̥" w:eastAsia="仿宋_GB2312" w:cs="仿宋_GB2312"/>
          <w:color w:val="auto"/>
          <w:kern w:val="0"/>
          <w:sz w:val="32"/>
          <w:szCs w:val="32"/>
          <w:lang w:val="en-US" w:eastAsia="zh-CN"/>
        </w:rPr>
        <w:t>58.68</w:t>
      </w:r>
      <w:r>
        <w:rPr>
          <w:rFonts w:hint="default" w:ascii="仿宋_GB2312" w:hAnsi="ˎ̥" w:eastAsia="仿宋_GB2312" w:cs="仿宋_GB2312"/>
          <w:color w:val="auto"/>
          <w:kern w:val="0"/>
          <w:sz w:val="32"/>
          <w:szCs w:val="32"/>
        </w:rPr>
        <w:t>万元；</w:t>
      </w:r>
      <w:r>
        <w:rPr>
          <w:rFonts w:hint="eastAsia" w:ascii="仿宋_GB2312" w:hAnsi="ˎ̥" w:eastAsia="仿宋_GB2312" w:cs="仿宋_GB2312"/>
          <w:color w:val="auto"/>
          <w:kern w:val="0"/>
          <w:sz w:val="32"/>
          <w:szCs w:val="32"/>
          <w:lang w:eastAsia="zh-CN"/>
        </w:rPr>
        <w:t>三</w:t>
      </w:r>
      <w:r>
        <w:rPr>
          <w:rFonts w:hint="default" w:ascii="仿宋_GB2312" w:hAnsi="ˎ̥" w:eastAsia="仿宋_GB2312" w:cs="仿宋_GB2312"/>
          <w:color w:val="auto"/>
          <w:kern w:val="0"/>
          <w:sz w:val="32"/>
          <w:szCs w:val="32"/>
        </w:rPr>
        <w:t>是卫生健康支出增加</w:t>
      </w:r>
      <w:r>
        <w:rPr>
          <w:rFonts w:hint="eastAsia" w:ascii="仿宋_GB2312" w:hAnsi="ˎ̥" w:eastAsia="仿宋_GB2312" w:cs="仿宋_GB2312"/>
          <w:color w:val="auto"/>
          <w:kern w:val="0"/>
          <w:sz w:val="32"/>
          <w:szCs w:val="32"/>
          <w:lang w:val="en-US" w:eastAsia="zh-CN"/>
        </w:rPr>
        <w:t>17.49</w:t>
      </w:r>
      <w:r>
        <w:rPr>
          <w:rFonts w:hint="default" w:ascii="仿宋_GB2312" w:hAnsi="ˎ̥" w:eastAsia="仿宋_GB2312" w:cs="仿宋_GB2312"/>
          <w:color w:val="auto"/>
          <w:kern w:val="0"/>
          <w:sz w:val="32"/>
          <w:szCs w:val="32"/>
        </w:rPr>
        <w:t>万元；</w:t>
      </w:r>
      <w:r>
        <w:rPr>
          <w:rFonts w:hint="eastAsia" w:ascii="仿宋_GB2312" w:hAnsi="ˎ̥" w:eastAsia="仿宋_GB2312" w:cs="仿宋_GB2312"/>
          <w:color w:val="auto"/>
          <w:kern w:val="0"/>
          <w:sz w:val="32"/>
          <w:szCs w:val="32"/>
          <w:lang w:eastAsia="zh-CN"/>
        </w:rPr>
        <w:t>四</w:t>
      </w:r>
      <w:r>
        <w:rPr>
          <w:rFonts w:hint="default" w:ascii="仿宋_GB2312" w:hAnsi="ˎ̥" w:eastAsia="仿宋_GB2312" w:cs="仿宋_GB2312"/>
          <w:color w:val="auto"/>
          <w:kern w:val="0"/>
          <w:sz w:val="32"/>
          <w:szCs w:val="32"/>
        </w:rPr>
        <w:t>是住房保障支出增加</w:t>
      </w:r>
      <w:r>
        <w:rPr>
          <w:rFonts w:hint="eastAsia" w:ascii="仿宋_GB2312" w:hAnsi="ˎ̥" w:eastAsia="仿宋_GB2312" w:cs="仿宋_GB2312"/>
          <w:color w:val="auto"/>
          <w:kern w:val="0"/>
          <w:sz w:val="32"/>
          <w:szCs w:val="32"/>
          <w:lang w:val="en-US" w:eastAsia="zh-CN"/>
        </w:rPr>
        <w:t>11.50</w:t>
      </w:r>
      <w:r>
        <w:rPr>
          <w:rFonts w:hint="default" w:ascii="仿宋_GB2312" w:hAnsi="ˎ̥" w:eastAsia="仿宋_GB2312" w:cs="仿宋_GB2312"/>
          <w:color w:val="auto"/>
          <w:kern w:val="0"/>
          <w:sz w:val="32"/>
          <w:szCs w:val="32"/>
        </w:rPr>
        <w:t>万元</w:t>
      </w:r>
      <w:r>
        <w:rPr>
          <w:rFonts w:hint="eastAsia" w:ascii="仿宋_GB2312" w:hAnsi="ˎ̥" w:eastAsia="仿宋_GB2312" w:cs="仿宋_GB2312"/>
          <w:color w:val="auto"/>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17398_WPSOffice_Level2"/>
      <w:bookmarkStart w:id="78" w:name="_Toc13694_WPSOffice_Level2"/>
      <w:bookmarkStart w:id="79" w:name="_Toc21737_WPSOffice_Level2"/>
      <w:bookmarkStart w:id="80" w:name="_Toc19665_WPSOffice_Level2"/>
      <w:bookmarkStart w:id="81" w:name="_Toc9989_WPSOffice_Level2"/>
      <w:bookmarkStart w:id="82" w:name="_Toc23005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6,406.86</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95.95</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30.13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0.47</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基本支出增加</w:t>
      </w:r>
      <w:r>
        <w:rPr>
          <w:rFonts w:hint="eastAsia" w:ascii="仿宋_GB2312" w:hAnsi="ˎ̥" w:eastAsia="仿宋_GB2312"/>
          <w:color w:val="auto"/>
          <w:sz w:val="32"/>
          <w:szCs w:val="32"/>
          <w:lang w:val="en-US" w:eastAsia="zh-CN"/>
        </w:rPr>
        <w:t>117.26万元；二是项目支出减少147.4万元</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18793_WPSOffice_Level2"/>
      <w:bookmarkStart w:id="84" w:name="_Toc19075_WPSOffice_Level2"/>
      <w:bookmarkStart w:id="85" w:name="_Toc2711_WPSOffice_Level2"/>
      <w:bookmarkStart w:id="86" w:name="_Toc19535_WPSOffice_Level2"/>
      <w:bookmarkStart w:id="87" w:name="_Toc27767_WPSOffice_Level2"/>
      <w:bookmarkStart w:id="88" w:name="_Toc23864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6,406.86</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3.85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0.06</w:t>
      </w:r>
      <w:r>
        <w:rPr>
          <w:rFonts w:hint="eastAsia" w:ascii="仿宋_GB2312" w:hAnsi="ˎ̥" w:eastAsia="仿宋_GB2312"/>
          <w:color w:val="auto"/>
          <w:sz w:val="32"/>
          <w:szCs w:val="32"/>
        </w:rPr>
        <w:t>%；</w:t>
      </w:r>
      <w:r>
        <w:rPr>
          <w:rFonts w:hint="eastAsia" w:ascii="仿宋_GB2312" w:hAnsi="ˎ̥" w:eastAsia="仿宋_GB2312"/>
          <w:b/>
          <w:color w:val="auto"/>
          <w:sz w:val="32"/>
          <w:szCs w:val="32"/>
        </w:rPr>
        <w:t>教育支出（类）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4,556.97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71.13</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837.00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13.06</w:t>
      </w:r>
      <w:r>
        <w:rPr>
          <w:rFonts w:hint="eastAsia" w:ascii="仿宋_GB2312" w:hAnsi="ˎ̥" w:eastAsia="仿宋_GB2312"/>
          <w:color w:val="auto"/>
          <w:sz w:val="32"/>
          <w:szCs w:val="32"/>
        </w:rPr>
        <w:t>%；</w:t>
      </w:r>
      <w:r>
        <w:rPr>
          <w:rFonts w:hint="eastAsia" w:ascii="仿宋_GB2312" w:hAnsi="ˎ̥" w:eastAsia="仿宋_GB2312"/>
          <w:b/>
          <w:color w:val="auto"/>
          <w:sz w:val="32"/>
          <w:szCs w:val="32"/>
        </w:rPr>
        <w:t>卫生健康支出（类）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619.31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9.67</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389.72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6.08</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9" w:name="_Toc9502_WPSOffice_Level2"/>
      <w:bookmarkStart w:id="90" w:name="_Toc29364_WPSOffice_Level2"/>
      <w:bookmarkStart w:id="91" w:name="_Toc15415_WPSOffice_Level2"/>
      <w:bookmarkStart w:id="92" w:name="_Toc21701_WPSOffice_Level2"/>
      <w:bookmarkStart w:id="93" w:name="_Toc22318_WPSOffice_Level2"/>
      <w:bookmarkStart w:id="94" w:name="_Toc25136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default" w:ascii="仿宋_GB2312" w:hAnsi="ˎ̥" w:eastAsia="仿宋_GB2312"/>
          <w:color w:val="auto"/>
          <w:sz w:val="32"/>
          <w:szCs w:val="32"/>
          <w:lang w:val="en-US"/>
        </w:rPr>
        <w:t>5,844.56</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6,406.86</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109.62</w:t>
      </w:r>
      <w:r>
        <w:rPr>
          <w:rFonts w:hint="eastAsia" w:ascii="仿宋_GB2312" w:hAnsi="ˎ̥" w:eastAsia="仿宋_GB2312"/>
          <w:color w:val="auto"/>
          <w:sz w:val="32"/>
          <w:szCs w:val="32"/>
        </w:rPr>
        <w:t>%。其中：</w:t>
      </w:r>
    </w:p>
    <w:p>
      <w:pPr>
        <w:spacing w:line="578" w:lineRule="exact"/>
        <w:ind w:firstLine="643" w:firstLineChars="200"/>
        <w:rPr>
          <w:rFonts w:hint="eastAsia" w:ascii="仿宋_GB2312" w:hAnsi="ˎ̥" w:eastAsia="仿宋_GB2312"/>
          <w:b/>
          <w:color w:val="auto"/>
          <w:sz w:val="32"/>
          <w:szCs w:val="32"/>
        </w:rPr>
      </w:pPr>
      <w:r>
        <w:rPr>
          <w:rFonts w:hint="eastAsia" w:ascii="仿宋_GB2312" w:hAnsi="ˎ̥" w:eastAsia="仿宋_GB2312"/>
          <w:b/>
          <w:bCs/>
          <w:color w:val="auto"/>
          <w:sz w:val="32"/>
          <w:szCs w:val="32"/>
        </w:rPr>
        <w:t>1</w:t>
      </w:r>
      <w:r>
        <w:rPr>
          <w:rFonts w:hint="eastAsia" w:ascii="仿宋_GB2312" w:hAnsi="ˎ̥" w:eastAsia="仿宋_GB2312"/>
          <w:color w:val="auto"/>
          <w:sz w:val="32"/>
          <w:szCs w:val="32"/>
        </w:rPr>
        <w:t>.</w:t>
      </w:r>
      <w:r>
        <w:rPr>
          <w:rFonts w:hint="eastAsia" w:ascii="仿宋_GB2312" w:hAnsi="ˎ̥" w:eastAsia="仿宋_GB2312"/>
          <w:b/>
          <w:color w:val="auto"/>
          <w:sz w:val="32"/>
          <w:szCs w:val="32"/>
        </w:rPr>
        <w:t>一般公共服务（类）组织事务（款）其他组织事务支出（项）。</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2.72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%。决算数大于预算数的主要原因：</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rPr>
        <w:t>人才住房补贴</w:t>
      </w:r>
      <w:r>
        <w:rPr>
          <w:rFonts w:hint="eastAsia" w:ascii="仿宋_GB2312" w:hAnsi="ˎ̥" w:eastAsia="仿宋_GB2312"/>
          <w:color w:val="auto"/>
          <w:sz w:val="32"/>
          <w:szCs w:val="32"/>
          <w:lang w:eastAsia="zh-CN"/>
        </w:rPr>
        <w:t>经费</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2</w:t>
      </w:r>
      <w:r>
        <w:rPr>
          <w:rFonts w:hint="eastAsia" w:ascii="仿宋_GB2312" w:hAnsi="ˎ̥" w:eastAsia="仿宋_GB2312"/>
          <w:color w:val="auto"/>
          <w:sz w:val="32"/>
          <w:szCs w:val="32"/>
        </w:rPr>
        <w:t>.</w:t>
      </w:r>
      <w:r>
        <w:rPr>
          <w:rFonts w:hint="eastAsia" w:ascii="仿宋_GB2312" w:hAnsi="ˎ̥" w:eastAsia="仿宋_GB2312"/>
          <w:b/>
          <w:color w:val="auto"/>
          <w:sz w:val="32"/>
          <w:szCs w:val="32"/>
        </w:rPr>
        <w:t>一般公共服务（类）其他共产党事务支出（款）</w:t>
      </w:r>
      <w:r>
        <w:rPr>
          <w:rFonts w:hint="eastAsia" w:ascii="仿宋_GB2312" w:hAnsi="ˎ̥" w:eastAsia="仿宋_GB2312"/>
          <w:b/>
          <w:color w:val="auto"/>
          <w:sz w:val="32"/>
          <w:szCs w:val="32"/>
          <w:lang w:eastAsia="zh-CN"/>
        </w:rPr>
        <w:t>其他共产党事务支出</w:t>
      </w:r>
      <w:r>
        <w:rPr>
          <w:rFonts w:hint="eastAsia" w:ascii="仿宋_GB2312" w:hAnsi="ˎ̥" w:eastAsia="仿宋_GB2312"/>
          <w:b/>
          <w:color w:val="auto"/>
          <w:sz w:val="32"/>
          <w:szCs w:val="32"/>
        </w:rPr>
        <w:t>（项）。</w:t>
      </w:r>
    </w:p>
    <w:p>
      <w:pPr>
        <w:spacing w:line="578" w:lineRule="exact"/>
        <w:ind w:firstLine="640" w:firstLineChars="200"/>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1.13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%。决算数大于预算数的主要原因：</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rPr>
        <w:t>党建经费</w:t>
      </w:r>
      <w:r>
        <w:rPr>
          <w:rFonts w:hint="eastAsia" w:ascii="仿宋_GB2312" w:hAnsi="ˎ̥" w:eastAsia="仿宋_GB2312"/>
          <w:color w:val="auto"/>
          <w:sz w:val="32"/>
          <w:szCs w:val="32"/>
          <w:lang w:eastAsia="zh-CN"/>
        </w:rPr>
        <w:t>。</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3</w:t>
      </w:r>
      <w:r>
        <w:rPr>
          <w:rFonts w:hint="default" w:ascii="仿宋_GB2312" w:hAnsi="ˎ̥" w:eastAsia="仿宋_GB2312"/>
          <w:b/>
          <w:bCs/>
          <w:color w:val="auto"/>
          <w:sz w:val="32"/>
          <w:szCs w:val="32"/>
          <w:lang w:val="en-US" w:eastAsia="zh-CN"/>
        </w:rPr>
        <w:t>.教育支出（类）普通教育（款）初中教育（项）</w:t>
      </w:r>
    </w:p>
    <w:p>
      <w:pPr>
        <w:spacing w:line="578" w:lineRule="exact"/>
        <w:ind w:firstLine="640" w:firstLineChars="200"/>
        <w:rPr>
          <w:rFonts w:hint="default"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年初预算为3,873.72万元，支出决算为4,248.29万元，完成年初预算的</w:t>
      </w:r>
      <w:r>
        <w:rPr>
          <w:rFonts w:hint="eastAsia" w:ascii="仿宋_GB2312" w:hAnsi="ˎ̥" w:eastAsia="仿宋_GB2312"/>
          <w:b w:val="0"/>
          <w:bCs w:val="0"/>
          <w:color w:val="auto"/>
          <w:sz w:val="32"/>
          <w:szCs w:val="32"/>
          <w:lang w:val="en-US" w:eastAsia="zh-CN"/>
        </w:rPr>
        <w:t>109.67</w:t>
      </w:r>
      <w:r>
        <w:rPr>
          <w:rFonts w:hint="default" w:ascii="仿宋_GB2312" w:hAnsi="ˎ̥" w:eastAsia="仿宋_GB2312"/>
          <w:b w:val="0"/>
          <w:bCs w:val="0"/>
          <w:color w:val="auto"/>
          <w:sz w:val="32"/>
          <w:szCs w:val="32"/>
          <w:lang w:val="en-US" w:eastAsia="zh-CN"/>
        </w:rPr>
        <w:t>%。决算数大于预算数的主要原因：</w:t>
      </w:r>
      <w:r>
        <w:rPr>
          <w:rFonts w:hint="eastAsia" w:ascii="仿宋_GB2312" w:hAnsi="ˎ̥" w:eastAsia="仿宋_GB2312"/>
          <w:b w:val="0"/>
          <w:bCs w:val="0"/>
          <w:color w:val="auto"/>
          <w:sz w:val="32"/>
          <w:szCs w:val="32"/>
          <w:lang w:val="en-US" w:eastAsia="zh-CN"/>
        </w:rPr>
        <w:t>一是</w:t>
      </w:r>
      <w:r>
        <w:rPr>
          <w:rFonts w:hint="default" w:ascii="仿宋_GB2312" w:hAnsi="ˎ̥" w:eastAsia="仿宋_GB2312"/>
          <w:b w:val="0"/>
          <w:bCs w:val="0"/>
          <w:color w:val="auto"/>
          <w:sz w:val="32"/>
          <w:szCs w:val="32"/>
          <w:lang w:val="en-US" w:eastAsia="zh-CN"/>
        </w:rPr>
        <w:t>城乡义务教育补助经费（公用经费补助）</w:t>
      </w:r>
      <w:r>
        <w:rPr>
          <w:rFonts w:hint="eastAsia" w:ascii="仿宋_GB2312" w:hAnsi="ˎ̥" w:eastAsia="仿宋_GB2312"/>
          <w:b w:val="0"/>
          <w:bCs w:val="0"/>
          <w:color w:val="auto"/>
          <w:sz w:val="32"/>
          <w:szCs w:val="32"/>
          <w:lang w:val="en-US" w:eastAsia="zh-CN"/>
        </w:rPr>
        <w:t>增加143.33万元；二是临聘中小学教师工资增加71.57万元；三是教育发展专项资金增加19.98万元</w:t>
      </w:r>
      <w:r>
        <w:rPr>
          <w:rFonts w:hint="default" w:ascii="仿宋_GB2312" w:hAnsi="ˎ̥" w:eastAsia="仿宋_GB2312"/>
          <w:b w:val="0"/>
          <w:bCs w:val="0"/>
          <w:color w:val="auto"/>
          <w:sz w:val="32"/>
          <w:szCs w:val="32"/>
          <w:lang w:val="en-US" w:eastAsia="zh-CN"/>
        </w:rPr>
        <w:t>。</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4</w:t>
      </w:r>
      <w:r>
        <w:rPr>
          <w:rFonts w:hint="default" w:ascii="仿宋_GB2312" w:hAnsi="ˎ̥" w:eastAsia="仿宋_GB2312"/>
          <w:b/>
          <w:bCs/>
          <w:color w:val="auto"/>
          <w:sz w:val="32"/>
          <w:szCs w:val="32"/>
          <w:lang w:val="en-US" w:eastAsia="zh-CN"/>
        </w:rPr>
        <w:t>.教育支出（类）普通教育（款）</w:t>
      </w:r>
      <w:r>
        <w:rPr>
          <w:rFonts w:hint="default" w:ascii="仿宋_GB2312" w:hAnsi="ˎ̥" w:eastAsia="仿宋_GB2312" w:cs="仿宋_GB2312"/>
          <w:b/>
          <w:color w:val="auto"/>
          <w:kern w:val="0"/>
          <w:sz w:val="32"/>
          <w:szCs w:val="32"/>
        </w:rPr>
        <w:t>高中教育</w:t>
      </w:r>
      <w:r>
        <w:rPr>
          <w:rFonts w:hint="default" w:ascii="仿宋_GB2312" w:hAnsi="ˎ̥" w:eastAsia="仿宋_GB2312"/>
          <w:b/>
          <w:bCs/>
          <w:color w:val="auto"/>
          <w:sz w:val="32"/>
          <w:szCs w:val="32"/>
          <w:lang w:val="en-US" w:eastAsia="zh-CN"/>
        </w:rPr>
        <w:t>（项）</w:t>
      </w:r>
    </w:p>
    <w:p>
      <w:pPr>
        <w:spacing w:line="578" w:lineRule="exact"/>
        <w:ind w:firstLine="640" w:firstLineChars="200"/>
        <w:rPr>
          <w:rFonts w:hint="default"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w:t>
      </w:r>
      <w:r>
        <w:rPr>
          <w:rFonts w:hint="eastAsia" w:ascii="仿宋_GB2312" w:hAnsi="ˎ̥" w:eastAsia="仿宋_GB2312"/>
          <w:b w:val="0"/>
          <w:bCs w:val="0"/>
          <w:color w:val="auto"/>
          <w:sz w:val="32"/>
          <w:szCs w:val="32"/>
          <w:lang w:val="en-US" w:eastAsia="zh-CN"/>
        </w:rPr>
        <w:t>0.00</w:t>
      </w:r>
      <w:r>
        <w:rPr>
          <w:rFonts w:hint="default" w:ascii="仿宋_GB2312" w:hAnsi="ˎ̥" w:eastAsia="仿宋_GB2312"/>
          <w:b w:val="0"/>
          <w:bCs w:val="0"/>
          <w:color w:val="auto"/>
          <w:sz w:val="32"/>
          <w:szCs w:val="32"/>
          <w:lang w:val="en-US" w:eastAsia="zh-CN"/>
        </w:rPr>
        <w:t>万元，支出决算为308.33万元，完成年初预算的</w:t>
      </w:r>
      <w:r>
        <w:rPr>
          <w:rFonts w:hint="eastAsia" w:ascii="仿宋_GB2312" w:hAnsi="ˎ̥" w:eastAsia="仿宋_GB2312"/>
          <w:b w:val="0"/>
          <w:bCs w:val="0"/>
          <w:color w:val="auto"/>
          <w:sz w:val="32"/>
          <w:szCs w:val="32"/>
          <w:lang w:val="en-US" w:eastAsia="zh-CN"/>
        </w:rPr>
        <w:t>0.00</w:t>
      </w:r>
      <w:r>
        <w:rPr>
          <w:rFonts w:hint="default" w:ascii="仿宋_GB2312" w:hAnsi="ˎ̥" w:eastAsia="仿宋_GB2312"/>
          <w:b w:val="0"/>
          <w:bCs w:val="0"/>
          <w:color w:val="auto"/>
          <w:sz w:val="32"/>
          <w:szCs w:val="32"/>
          <w:lang w:val="en-US" w:eastAsia="zh-CN"/>
        </w:rPr>
        <w:t>%。决算数大于预算数的主要原因是</w:t>
      </w:r>
      <w:r>
        <w:rPr>
          <w:rFonts w:hint="eastAsia" w:ascii="仿宋_GB2312" w:hAnsi="ˎ̥" w:eastAsia="仿宋_GB2312"/>
          <w:b w:val="0"/>
          <w:bCs w:val="0"/>
          <w:color w:val="auto"/>
          <w:sz w:val="32"/>
          <w:szCs w:val="32"/>
          <w:lang w:val="en-US" w:eastAsia="zh-CN"/>
        </w:rPr>
        <w:t>增加</w:t>
      </w:r>
      <w:r>
        <w:rPr>
          <w:rFonts w:hint="default" w:ascii="仿宋_GB2312" w:hAnsi="ˎ̥" w:eastAsia="仿宋_GB2312"/>
          <w:b w:val="0"/>
          <w:bCs w:val="0"/>
          <w:color w:val="auto"/>
          <w:sz w:val="32"/>
          <w:szCs w:val="32"/>
          <w:lang w:val="en-US" w:eastAsia="zh-CN"/>
        </w:rPr>
        <w:t>2024年改善普通高中学校办学条件补助资金</w:t>
      </w:r>
      <w:r>
        <w:rPr>
          <w:rFonts w:hint="eastAsia" w:ascii="仿宋_GB2312" w:hAnsi="ˎ̥" w:eastAsia="仿宋_GB2312"/>
          <w:b w:val="0"/>
          <w:bCs w:val="0"/>
          <w:color w:val="auto"/>
          <w:sz w:val="32"/>
          <w:szCs w:val="32"/>
          <w:lang w:val="en-US" w:eastAsia="zh-CN"/>
        </w:rPr>
        <w:t>138.51万元；2024年教育发展专项资金（第二批）（普通高中生均公用经费补助）51.7万元；2024年秋季普通高中生均公用经费县级配套资金52.86万元等各项项目资金。</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5</w:t>
      </w:r>
      <w:r>
        <w:rPr>
          <w:rFonts w:hint="default" w:ascii="仿宋_GB2312" w:hAnsi="ˎ̥" w:eastAsia="仿宋_GB2312"/>
          <w:b/>
          <w:bCs/>
          <w:color w:val="auto"/>
          <w:sz w:val="32"/>
          <w:szCs w:val="32"/>
          <w:lang w:val="en-US" w:eastAsia="zh-CN"/>
        </w:rPr>
        <w:t>.教育支出（类）特殊教育（款）</w:t>
      </w:r>
      <w:r>
        <w:rPr>
          <w:rFonts w:hint="default" w:ascii="仿宋_GB2312" w:hAnsi="ˎ̥" w:eastAsia="仿宋_GB2312" w:cs="仿宋_GB2312"/>
          <w:b/>
          <w:color w:val="auto"/>
          <w:kern w:val="0"/>
          <w:sz w:val="32"/>
          <w:szCs w:val="32"/>
        </w:rPr>
        <w:t>其他特殊教育支出</w:t>
      </w:r>
      <w:r>
        <w:rPr>
          <w:rFonts w:hint="default" w:ascii="仿宋_GB2312" w:hAnsi="ˎ̥" w:eastAsia="仿宋_GB2312"/>
          <w:b/>
          <w:bCs/>
          <w:color w:val="auto"/>
          <w:sz w:val="32"/>
          <w:szCs w:val="32"/>
          <w:lang w:val="en-US" w:eastAsia="zh-CN"/>
        </w:rPr>
        <w:t>（项）</w:t>
      </w:r>
    </w:p>
    <w:p>
      <w:pPr>
        <w:spacing w:line="578" w:lineRule="exact"/>
        <w:ind w:firstLine="640" w:firstLineChars="200"/>
        <w:rPr>
          <w:rFonts w:hint="default"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w:t>
      </w:r>
      <w:r>
        <w:rPr>
          <w:rFonts w:hint="eastAsia" w:ascii="仿宋_GB2312" w:hAnsi="ˎ̥" w:eastAsia="仿宋_GB2312"/>
          <w:b w:val="0"/>
          <w:bCs w:val="0"/>
          <w:color w:val="auto"/>
          <w:sz w:val="32"/>
          <w:szCs w:val="32"/>
          <w:lang w:val="en-US" w:eastAsia="zh-CN"/>
        </w:rPr>
        <w:t>0.00</w:t>
      </w:r>
      <w:r>
        <w:rPr>
          <w:rFonts w:hint="default" w:ascii="仿宋_GB2312" w:hAnsi="ˎ̥" w:eastAsia="仿宋_GB2312"/>
          <w:b w:val="0"/>
          <w:bCs w:val="0"/>
          <w:color w:val="auto"/>
          <w:sz w:val="32"/>
          <w:szCs w:val="32"/>
          <w:lang w:val="en-US" w:eastAsia="zh-CN"/>
        </w:rPr>
        <w:t>万元，支出决算为0.35万元，完成年初预算的</w:t>
      </w:r>
      <w:r>
        <w:rPr>
          <w:rFonts w:hint="eastAsia" w:ascii="仿宋_GB2312" w:hAnsi="ˎ̥" w:eastAsia="仿宋_GB2312"/>
          <w:b w:val="0"/>
          <w:bCs w:val="0"/>
          <w:color w:val="auto"/>
          <w:sz w:val="32"/>
          <w:szCs w:val="32"/>
          <w:lang w:val="en-US" w:eastAsia="zh-CN"/>
        </w:rPr>
        <w:t>0.00</w:t>
      </w:r>
      <w:r>
        <w:rPr>
          <w:rFonts w:hint="default" w:ascii="仿宋_GB2312" w:hAnsi="ˎ̥" w:eastAsia="仿宋_GB2312"/>
          <w:b w:val="0"/>
          <w:bCs w:val="0"/>
          <w:color w:val="auto"/>
          <w:sz w:val="32"/>
          <w:szCs w:val="32"/>
          <w:lang w:val="en-US" w:eastAsia="zh-CN"/>
        </w:rPr>
        <w:t>%。决算数大于预算数的主要原因是</w:t>
      </w:r>
      <w:r>
        <w:rPr>
          <w:rFonts w:hint="eastAsia" w:ascii="仿宋_GB2312" w:hAnsi="ˎ̥" w:eastAsia="仿宋_GB2312"/>
          <w:b w:val="0"/>
          <w:bCs w:val="0"/>
          <w:color w:val="auto"/>
          <w:sz w:val="32"/>
          <w:szCs w:val="32"/>
          <w:lang w:val="en-US" w:eastAsia="zh-CN"/>
        </w:rPr>
        <w:t>增加</w:t>
      </w:r>
      <w:r>
        <w:rPr>
          <w:rFonts w:hint="default" w:ascii="仿宋_GB2312" w:hAnsi="ˎ̥" w:eastAsia="仿宋_GB2312"/>
          <w:b w:val="0"/>
          <w:bCs w:val="0"/>
          <w:color w:val="auto"/>
          <w:sz w:val="32"/>
          <w:szCs w:val="32"/>
          <w:lang w:val="en-US" w:eastAsia="zh-CN"/>
        </w:rPr>
        <w:t>2024年秋季义务教育阶段残疾学生公用经费</w:t>
      </w:r>
      <w:r>
        <w:rPr>
          <w:rFonts w:hint="eastAsia" w:ascii="仿宋_GB2312" w:hAnsi="ˎ̥" w:eastAsia="仿宋_GB2312"/>
          <w:b w:val="0"/>
          <w:bCs w:val="0"/>
          <w:color w:val="auto"/>
          <w:sz w:val="32"/>
          <w:szCs w:val="32"/>
          <w:lang w:val="en-US" w:eastAsia="zh-CN"/>
        </w:rPr>
        <w:t>0.35万元。</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6</w:t>
      </w:r>
      <w:r>
        <w:rPr>
          <w:rFonts w:hint="default" w:ascii="仿宋_GB2312" w:hAnsi="ˎ̥" w:eastAsia="仿宋_GB2312"/>
          <w:b/>
          <w:bCs/>
          <w:color w:val="auto"/>
          <w:sz w:val="32"/>
          <w:szCs w:val="32"/>
          <w:lang w:val="en-US" w:eastAsia="zh-CN"/>
        </w:rPr>
        <w:t>.社会保障和就业支出（类）行政事业单位养老支出（款）机关事业单位基本养老保险缴费支出（项）</w:t>
      </w:r>
    </w:p>
    <w:p>
      <w:pPr>
        <w:spacing w:line="578" w:lineRule="exact"/>
        <w:ind w:firstLine="640" w:firstLineChars="200"/>
        <w:rPr>
          <w:rFonts w:hint="eastAsia"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年初预算为530.74万元，支出决算为483.57万元，完成年初预算的</w:t>
      </w:r>
      <w:r>
        <w:rPr>
          <w:rFonts w:hint="eastAsia" w:ascii="仿宋_GB2312" w:hAnsi="ˎ̥" w:eastAsia="仿宋_GB2312"/>
          <w:b w:val="0"/>
          <w:bCs w:val="0"/>
          <w:color w:val="auto"/>
          <w:sz w:val="32"/>
          <w:szCs w:val="32"/>
          <w:lang w:val="en-US" w:eastAsia="zh-CN"/>
        </w:rPr>
        <w:t>91.11</w:t>
      </w:r>
      <w:r>
        <w:rPr>
          <w:rFonts w:hint="default" w:ascii="仿宋_GB2312" w:hAnsi="ˎ̥" w:eastAsia="仿宋_GB2312"/>
          <w:b w:val="0"/>
          <w:bCs w:val="0"/>
          <w:color w:val="auto"/>
          <w:sz w:val="32"/>
          <w:szCs w:val="32"/>
          <w:lang w:val="en-US" w:eastAsia="zh-CN"/>
        </w:rPr>
        <w:t>%。决算数</w:t>
      </w:r>
      <w:r>
        <w:rPr>
          <w:rFonts w:hint="eastAsia" w:ascii="仿宋_GB2312" w:hAnsi="ˎ̥" w:eastAsia="仿宋_GB2312"/>
          <w:b w:val="0"/>
          <w:bCs w:val="0"/>
          <w:color w:val="auto"/>
          <w:sz w:val="32"/>
          <w:szCs w:val="32"/>
          <w:lang w:val="en-US" w:eastAsia="zh-CN"/>
        </w:rPr>
        <w:t>小</w:t>
      </w:r>
      <w:r>
        <w:rPr>
          <w:rFonts w:hint="default" w:ascii="仿宋_GB2312" w:hAnsi="ˎ̥" w:eastAsia="仿宋_GB2312"/>
          <w:b w:val="0"/>
          <w:bCs w:val="0"/>
          <w:color w:val="auto"/>
          <w:sz w:val="32"/>
          <w:szCs w:val="32"/>
          <w:lang w:val="en-US" w:eastAsia="zh-CN"/>
        </w:rPr>
        <w:t>于预算数的主要原因</w:t>
      </w:r>
      <w:r>
        <w:rPr>
          <w:rFonts w:hint="eastAsia" w:ascii="仿宋_GB2312" w:hAnsi="ˎ̥" w:eastAsia="仿宋_GB2312"/>
          <w:b w:val="0"/>
          <w:bCs w:val="0"/>
          <w:color w:val="auto"/>
          <w:sz w:val="32"/>
          <w:szCs w:val="32"/>
          <w:lang w:val="en-US" w:eastAsia="zh-CN"/>
        </w:rPr>
        <w:t>人员减少，1人退休。</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7</w:t>
      </w:r>
      <w:r>
        <w:rPr>
          <w:rFonts w:hint="default" w:ascii="仿宋_GB2312" w:hAnsi="ˎ̥" w:eastAsia="仿宋_GB2312"/>
          <w:b/>
          <w:bCs/>
          <w:color w:val="auto"/>
          <w:sz w:val="32"/>
          <w:szCs w:val="32"/>
          <w:lang w:val="en-US" w:eastAsia="zh-CN"/>
        </w:rPr>
        <w:t>.社会保障和就业支出（类）行政事业单位养老支出（款）机关事业单位职业年金缴费支出（项）</w:t>
      </w:r>
    </w:p>
    <w:p>
      <w:pPr>
        <w:spacing w:line="578" w:lineRule="exact"/>
        <w:ind w:firstLine="640" w:firstLineChars="200"/>
        <w:rPr>
          <w:rFonts w:hint="default"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年初预算为265.37万元，支出决算为350.58万元，完成年初预算的</w:t>
      </w:r>
      <w:r>
        <w:rPr>
          <w:rFonts w:hint="eastAsia" w:ascii="仿宋_GB2312" w:hAnsi="ˎ̥" w:eastAsia="仿宋_GB2312"/>
          <w:b w:val="0"/>
          <w:bCs w:val="0"/>
          <w:color w:val="auto"/>
          <w:sz w:val="32"/>
          <w:szCs w:val="32"/>
          <w:lang w:val="en-US" w:eastAsia="zh-CN"/>
        </w:rPr>
        <w:t>132.11</w:t>
      </w:r>
      <w:r>
        <w:rPr>
          <w:rFonts w:hint="default" w:ascii="仿宋_GB2312" w:hAnsi="ˎ̥" w:eastAsia="仿宋_GB2312"/>
          <w:b w:val="0"/>
          <w:bCs w:val="0"/>
          <w:color w:val="auto"/>
          <w:sz w:val="32"/>
          <w:szCs w:val="32"/>
          <w:lang w:val="en-US" w:eastAsia="zh-CN"/>
        </w:rPr>
        <w:t>%。</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8</w:t>
      </w:r>
      <w:r>
        <w:rPr>
          <w:rFonts w:hint="default" w:ascii="仿宋_GB2312" w:hAnsi="ˎ̥" w:eastAsia="仿宋_GB2312"/>
          <w:b/>
          <w:bCs/>
          <w:color w:val="auto"/>
          <w:sz w:val="32"/>
          <w:szCs w:val="32"/>
          <w:lang w:val="en-US" w:eastAsia="zh-CN"/>
        </w:rPr>
        <w:t>.社会保障和就业支出（类）抚恤（款）其他优抚支出（项）</w:t>
      </w:r>
    </w:p>
    <w:p>
      <w:pPr>
        <w:spacing w:line="578" w:lineRule="exact"/>
        <w:ind w:firstLine="640" w:firstLineChars="200"/>
        <w:rPr>
          <w:rFonts w:hint="default"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年初预算为3.32万元，支出决算为2.85万元，完成年初预算的</w:t>
      </w:r>
      <w:r>
        <w:rPr>
          <w:rFonts w:hint="eastAsia" w:ascii="仿宋_GB2312" w:hAnsi="ˎ̥" w:eastAsia="仿宋_GB2312"/>
          <w:b w:val="0"/>
          <w:bCs w:val="0"/>
          <w:color w:val="auto"/>
          <w:sz w:val="32"/>
          <w:szCs w:val="32"/>
          <w:lang w:val="en-US" w:eastAsia="zh-CN"/>
        </w:rPr>
        <w:t>85.84</w:t>
      </w:r>
      <w:r>
        <w:rPr>
          <w:rFonts w:hint="default" w:ascii="仿宋_GB2312" w:hAnsi="ˎ̥" w:eastAsia="仿宋_GB2312"/>
          <w:b w:val="0"/>
          <w:bCs w:val="0"/>
          <w:color w:val="auto"/>
          <w:sz w:val="32"/>
          <w:szCs w:val="32"/>
          <w:lang w:val="en-US" w:eastAsia="zh-CN"/>
        </w:rPr>
        <w:t>%。决算数</w:t>
      </w:r>
      <w:r>
        <w:rPr>
          <w:rFonts w:hint="eastAsia" w:ascii="仿宋_GB2312" w:hAnsi="ˎ̥" w:eastAsia="仿宋_GB2312"/>
          <w:b w:val="0"/>
          <w:bCs w:val="0"/>
          <w:color w:val="auto"/>
          <w:sz w:val="32"/>
          <w:szCs w:val="32"/>
          <w:lang w:val="en-US" w:eastAsia="zh-CN"/>
        </w:rPr>
        <w:t>小</w:t>
      </w:r>
      <w:r>
        <w:rPr>
          <w:rFonts w:hint="default" w:ascii="仿宋_GB2312" w:hAnsi="ˎ̥" w:eastAsia="仿宋_GB2312"/>
          <w:b w:val="0"/>
          <w:bCs w:val="0"/>
          <w:color w:val="auto"/>
          <w:sz w:val="32"/>
          <w:szCs w:val="32"/>
          <w:lang w:val="en-US" w:eastAsia="zh-CN"/>
        </w:rPr>
        <w:t>于预算数的主要原因现有遗属抚养人员补贴</w:t>
      </w:r>
      <w:r>
        <w:rPr>
          <w:rFonts w:hint="eastAsia" w:ascii="仿宋_GB2312" w:hAnsi="ˎ̥" w:eastAsia="仿宋_GB2312"/>
          <w:b w:val="0"/>
          <w:bCs w:val="0"/>
          <w:color w:val="auto"/>
          <w:sz w:val="32"/>
          <w:szCs w:val="32"/>
          <w:lang w:val="en-US" w:eastAsia="zh-CN"/>
        </w:rPr>
        <w:t>支出减少0.47万元。</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9</w:t>
      </w:r>
      <w:r>
        <w:rPr>
          <w:rFonts w:hint="default" w:ascii="仿宋_GB2312" w:hAnsi="ˎ̥" w:eastAsia="仿宋_GB2312"/>
          <w:b/>
          <w:bCs/>
          <w:color w:val="auto"/>
          <w:sz w:val="32"/>
          <w:szCs w:val="32"/>
          <w:lang w:val="en-US" w:eastAsia="zh-CN"/>
        </w:rPr>
        <w:t>.卫生健康支出（类）行政事业单位医疗（款）事业单位医疗（项）</w:t>
      </w:r>
    </w:p>
    <w:p>
      <w:pPr>
        <w:spacing w:line="578" w:lineRule="exact"/>
        <w:ind w:firstLine="640" w:firstLineChars="200"/>
        <w:rPr>
          <w:rFonts w:hint="default"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年初预算为247.88万元，支出决算为</w:t>
      </w:r>
      <w:r>
        <w:rPr>
          <w:rFonts w:hint="eastAsia" w:ascii="仿宋_GB2312" w:hAnsi="ˎ̥" w:eastAsia="仿宋_GB2312"/>
          <w:b w:val="0"/>
          <w:bCs w:val="0"/>
          <w:color w:val="auto"/>
          <w:sz w:val="32"/>
          <w:szCs w:val="32"/>
          <w:lang w:val="en-US" w:eastAsia="zh-CN"/>
        </w:rPr>
        <w:t>202.01</w:t>
      </w:r>
      <w:r>
        <w:rPr>
          <w:rFonts w:hint="default" w:ascii="仿宋_GB2312" w:hAnsi="ˎ̥" w:eastAsia="仿宋_GB2312"/>
          <w:b w:val="0"/>
          <w:bCs w:val="0"/>
          <w:color w:val="auto"/>
          <w:sz w:val="32"/>
          <w:szCs w:val="32"/>
          <w:lang w:val="en-US" w:eastAsia="zh-CN"/>
        </w:rPr>
        <w:t>万元，完成年初预算的</w:t>
      </w:r>
      <w:r>
        <w:rPr>
          <w:rFonts w:hint="eastAsia" w:ascii="仿宋_GB2312" w:hAnsi="ˎ̥" w:eastAsia="仿宋_GB2312"/>
          <w:b w:val="0"/>
          <w:bCs w:val="0"/>
          <w:color w:val="auto"/>
          <w:sz w:val="32"/>
          <w:szCs w:val="32"/>
          <w:lang w:val="en-US" w:eastAsia="zh-CN"/>
        </w:rPr>
        <w:t>81.5</w:t>
      </w:r>
      <w:r>
        <w:rPr>
          <w:rFonts w:hint="default" w:ascii="仿宋_GB2312" w:hAnsi="ˎ̥" w:eastAsia="仿宋_GB2312"/>
          <w:b w:val="0"/>
          <w:bCs w:val="0"/>
          <w:color w:val="auto"/>
          <w:sz w:val="32"/>
          <w:szCs w:val="32"/>
          <w:lang w:val="en-US" w:eastAsia="zh-CN"/>
        </w:rPr>
        <w:t>%。决算数</w:t>
      </w:r>
      <w:r>
        <w:rPr>
          <w:rFonts w:hint="eastAsia" w:ascii="仿宋_GB2312" w:hAnsi="ˎ̥" w:eastAsia="仿宋_GB2312"/>
          <w:b w:val="0"/>
          <w:bCs w:val="0"/>
          <w:color w:val="auto"/>
          <w:sz w:val="32"/>
          <w:szCs w:val="32"/>
          <w:lang w:val="en-US" w:eastAsia="zh-CN"/>
        </w:rPr>
        <w:t>小</w:t>
      </w:r>
      <w:r>
        <w:rPr>
          <w:rFonts w:hint="default" w:ascii="仿宋_GB2312" w:hAnsi="ˎ̥" w:eastAsia="仿宋_GB2312"/>
          <w:b w:val="0"/>
          <w:bCs w:val="0"/>
          <w:color w:val="auto"/>
          <w:sz w:val="32"/>
          <w:szCs w:val="32"/>
          <w:lang w:val="en-US" w:eastAsia="zh-CN"/>
        </w:rPr>
        <w:t>于预算数的主要原因</w:t>
      </w:r>
      <w:r>
        <w:rPr>
          <w:rFonts w:hint="eastAsia" w:ascii="仿宋_GB2312" w:hAnsi="ˎ̥" w:eastAsia="仿宋_GB2312"/>
          <w:b w:val="0"/>
          <w:bCs w:val="0"/>
          <w:color w:val="auto"/>
          <w:sz w:val="32"/>
          <w:szCs w:val="32"/>
          <w:lang w:val="en-US" w:eastAsia="zh-CN"/>
        </w:rPr>
        <w:t>是人员减少，1人退休。</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10</w:t>
      </w:r>
      <w:r>
        <w:rPr>
          <w:rFonts w:hint="default" w:ascii="仿宋_GB2312" w:hAnsi="ˎ̥" w:eastAsia="仿宋_GB2312"/>
          <w:b/>
          <w:bCs/>
          <w:color w:val="auto"/>
          <w:sz w:val="32"/>
          <w:szCs w:val="32"/>
          <w:lang w:val="en-US" w:eastAsia="zh-CN"/>
        </w:rPr>
        <w:t>.卫生健康支出（类）行政事业单位医疗（款）</w:t>
      </w:r>
      <w:r>
        <w:rPr>
          <w:rFonts w:hint="default" w:ascii="仿宋_GB2312" w:hAnsi="ˎ̥" w:eastAsia="仿宋_GB2312" w:cs="仿宋_GB2312"/>
          <w:b/>
          <w:color w:val="auto"/>
          <w:kern w:val="0"/>
          <w:sz w:val="32"/>
          <w:szCs w:val="32"/>
        </w:rPr>
        <w:t>公务员医疗补助</w:t>
      </w:r>
      <w:r>
        <w:rPr>
          <w:rFonts w:hint="default" w:ascii="仿宋_GB2312" w:hAnsi="ˎ̥" w:eastAsia="仿宋_GB2312"/>
          <w:b/>
          <w:bCs/>
          <w:color w:val="auto"/>
          <w:sz w:val="32"/>
          <w:szCs w:val="32"/>
          <w:lang w:val="en-US" w:eastAsia="zh-CN"/>
        </w:rPr>
        <w:t>（项）</w:t>
      </w:r>
    </w:p>
    <w:p>
      <w:pPr>
        <w:spacing w:line="578" w:lineRule="exact"/>
        <w:ind w:firstLine="640" w:firstLineChars="200"/>
        <w:rPr>
          <w:rFonts w:hint="default"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年初预算为460.84万元，支出决算为402.56万元，完成年初预算的</w:t>
      </w:r>
      <w:r>
        <w:rPr>
          <w:rFonts w:hint="eastAsia" w:ascii="仿宋_GB2312" w:hAnsi="ˎ̥" w:eastAsia="仿宋_GB2312"/>
          <w:b w:val="0"/>
          <w:bCs w:val="0"/>
          <w:color w:val="auto"/>
          <w:sz w:val="32"/>
          <w:szCs w:val="32"/>
          <w:lang w:val="en-US" w:eastAsia="zh-CN"/>
        </w:rPr>
        <w:t>87.35</w:t>
      </w:r>
      <w:r>
        <w:rPr>
          <w:rFonts w:hint="default" w:ascii="仿宋_GB2312" w:hAnsi="ˎ̥" w:eastAsia="仿宋_GB2312"/>
          <w:b w:val="0"/>
          <w:bCs w:val="0"/>
          <w:color w:val="auto"/>
          <w:sz w:val="32"/>
          <w:szCs w:val="32"/>
          <w:lang w:val="en-US" w:eastAsia="zh-CN"/>
        </w:rPr>
        <w:t>%。决算数</w:t>
      </w:r>
      <w:r>
        <w:rPr>
          <w:rFonts w:hint="eastAsia" w:ascii="仿宋_GB2312" w:hAnsi="ˎ̥" w:eastAsia="仿宋_GB2312"/>
          <w:b w:val="0"/>
          <w:bCs w:val="0"/>
          <w:color w:val="auto"/>
          <w:sz w:val="32"/>
          <w:szCs w:val="32"/>
          <w:lang w:val="en-US" w:eastAsia="zh-CN"/>
        </w:rPr>
        <w:t>小</w:t>
      </w:r>
      <w:r>
        <w:rPr>
          <w:rFonts w:hint="default" w:ascii="仿宋_GB2312" w:hAnsi="ˎ̥" w:eastAsia="仿宋_GB2312"/>
          <w:b w:val="0"/>
          <w:bCs w:val="0"/>
          <w:color w:val="auto"/>
          <w:sz w:val="32"/>
          <w:szCs w:val="32"/>
          <w:lang w:val="en-US" w:eastAsia="zh-CN"/>
        </w:rPr>
        <w:t>于预算数的主要原因</w:t>
      </w:r>
      <w:r>
        <w:rPr>
          <w:rFonts w:hint="eastAsia" w:ascii="仿宋_GB2312" w:hAnsi="ˎ̥" w:eastAsia="仿宋_GB2312"/>
          <w:b w:val="0"/>
          <w:bCs w:val="0"/>
          <w:color w:val="auto"/>
          <w:sz w:val="32"/>
          <w:szCs w:val="32"/>
          <w:lang w:val="en-US" w:eastAsia="zh-CN"/>
        </w:rPr>
        <w:t>是人员减少，1人退休。</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11</w:t>
      </w:r>
      <w:r>
        <w:rPr>
          <w:rFonts w:hint="default" w:ascii="仿宋_GB2312" w:hAnsi="ˎ̥" w:eastAsia="仿宋_GB2312"/>
          <w:b/>
          <w:bCs/>
          <w:color w:val="auto"/>
          <w:sz w:val="32"/>
          <w:szCs w:val="32"/>
          <w:lang w:val="en-US" w:eastAsia="zh-CN"/>
        </w:rPr>
        <w:t>.卫生健康支出（类）行政事业单位医疗（款）其他行政事业单位医疗支出（项）</w:t>
      </w:r>
    </w:p>
    <w:p>
      <w:pPr>
        <w:spacing w:line="578" w:lineRule="exact"/>
        <w:ind w:firstLine="640" w:firstLineChars="200"/>
        <w:rPr>
          <w:rFonts w:hint="default"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年初预算为17.22万元，支出决算为14.74万元，完成年初预算的</w:t>
      </w:r>
      <w:r>
        <w:rPr>
          <w:rFonts w:hint="eastAsia" w:ascii="仿宋_GB2312" w:hAnsi="ˎ̥" w:eastAsia="仿宋_GB2312"/>
          <w:b w:val="0"/>
          <w:bCs w:val="0"/>
          <w:color w:val="auto"/>
          <w:sz w:val="32"/>
          <w:szCs w:val="32"/>
          <w:lang w:val="en-US" w:eastAsia="zh-CN"/>
        </w:rPr>
        <w:t>85.6</w:t>
      </w:r>
      <w:r>
        <w:rPr>
          <w:rFonts w:hint="default" w:ascii="仿宋_GB2312" w:hAnsi="ˎ̥" w:eastAsia="仿宋_GB2312"/>
          <w:b w:val="0"/>
          <w:bCs w:val="0"/>
          <w:color w:val="auto"/>
          <w:sz w:val="32"/>
          <w:szCs w:val="32"/>
          <w:lang w:val="en-US" w:eastAsia="zh-CN"/>
        </w:rPr>
        <w:t>%。决算数小于预算数的主要原因</w:t>
      </w:r>
      <w:r>
        <w:rPr>
          <w:rFonts w:hint="eastAsia" w:ascii="仿宋_GB2312" w:hAnsi="ˎ̥" w:eastAsia="仿宋_GB2312"/>
          <w:b w:val="0"/>
          <w:bCs w:val="0"/>
          <w:color w:val="auto"/>
          <w:sz w:val="32"/>
          <w:szCs w:val="32"/>
          <w:lang w:val="en-US" w:eastAsia="zh-CN"/>
        </w:rPr>
        <w:t>医疗费支出</w:t>
      </w:r>
      <w:r>
        <w:rPr>
          <w:rFonts w:hint="default" w:ascii="仿宋_GB2312" w:hAnsi="ˎ̥" w:eastAsia="仿宋_GB2312"/>
          <w:b w:val="0"/>
          <w:bCs w:val="0"/>
          <w:color w:val="auto"/>
          <w:sz w:val="32"/>
          <w:szCs w:val="32"/>
          <w:lang w:val="en-US" w:eastAsia="zh-CN"/>
        </w:rPr>
        <w:t>减少。</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12</w:t>
      </w:r>
      <w:r>
        <w:rPr>
          <w:rFonts w:hint="default" w:ascii="仿宋_GB2312" w:hAnsi="ˎ̥" w:eastAsia="仿宋_GB2312"/>
          <w:b/>
          <w:bCs/>
          <w:color w:val="auto"/>
          <w:sz w:val="32"/>
          <w:szCs w:val="32"/>
          <w:lang w:val="en-US" w:eastAsia="zh-CN"/>
        </w:rPr>
        <w:t>.住房保障支出（类）住房改革支出（款）住房公积金（项）</w:t>
      </w:r>
    </w:p>
    <w:p>
      <w:pPr>
        <w:spacing w:line="578" w:lineRule="exact"/>
        <w:ind w:firstLine="640" w:firstLineChars="200"/>
        <w:rPr>
          <w:rFonts w:hint="eastAsia" w:ascii="仿宋_GB2312" w:hAnsi="ˎ̥" w:eastAsia="仿宋_GB2312"/>
          <w:color w:val="auto"/>
          <w:sz w:val="32"/>
          <w:szCs w:val="32"/>
          <w:lang w:eastAsia="zh-CN"/>
        </w:rPr>
      </w:pPr>
      <w:r>
        <w:rPr>
          <w:rFonts w:hint="default" w:ascii="仿宋_GB2312" w:hAnsi="ˎ̥" w:eastAsia="仿宋_GB2312"/>
          <w:b w:val="0"/>
          <w:bCs w:val="0"/>
          <w:color w:val="auto"/>
          <w:sz w:val="32"/>
          <w:szCs w:val="32"/>
          <w:lang w:val="en-US" w:eastAsia="zh-CN"/>
        </w:rPr>
        <w:t>年初预算为445.48万元，支出决算为389.72万元，完成年初预算的</w:t>
      </w:r>
      <w:r>
        <w:rPr>
          <w:rFonts w:hint="eastAsia" w:ascii="仿宋_GB2312" w:hAnsi="ˎ̥" w:eastAsia="仿宋_GB2312"/>
          <w:b w:val="0"/>
          <w:bCs w:val="0"/>
          <w:color w:val="auto"/>
          <w:sz w:val="32"/>
          <w:szCs w:val="32"/>
          <w:lang w:val="en-US" w:eastAsia="zh-CN"/>
        </w:rPr>
        <w:t>87.48</w:t>
      </w:r>
      <w:r>
        <w:rPr>
          <w:rFonts w:hint="default" w:ascii="仿宋_GB2312" w:hAnsi="ˎ̥" w:eastAsia="仿宋_GB2312"/>
          <w:b w:val="0"/>
          <w:bCs w:val="0"/>
          <w:color w:val="auto"/>
          <w:sz w:val="32"/>
          <w:szCs w:val="32"/>
          <w:lang w:val="en-US" w:eastAsia="zh-CN"/>
        </w:rPr>
        <w:t>%。决算数</w:t>
      </w:r>
      <w:r>
        <w:rPr>
          <w:rFonts w:hint="eastAsia" w:ascii="仿宋_GB2312" w:hAnsi="ˎ̥" w:eastAsia="仿宋_GB2312"/>
          <w:b w:val="0"/>
          <w:bCs w:val="0"/>
          <w:color w:val="auto"/>
          <w:sz w:val="32"/>
          <w:szCs w:val="32"/>
          <w:lang w:val="en-US" w:eastAsia="zh-CN"/>
        </w:rPr>
        <w:t>小</w:t>
      </w:r>
      <w:r>
        <w:rPr>
          <w:rFonts w:hint="default" w:ascii="仿宋_GB2312" w:hAnsi="ˎ̥" w:eastAsia="仿宋_GB2312"/>
          <w:b w:val="0"/>
          <w:bCs w:val="0"/>
          <w:color w:val="auto"/>
          <w:sz w:val="32"/>
          <w:szCs w:val="32"/>
          <w:lang w:val="en-US" w:eastAsia="zh-CN"/>
        </w:rPr>
        <w:t>于预算数的主要原因</w:t>
      </w:r>
      <w:r>
        <w:rPr>
          <w:rFonts w:hint="eastAsia" w:ascii="仿宋_GB2312" w:hAnsi="ˎ̥" w:eastAsia="仿宋_GB2312"/>
          <w:b w:val="0"/>
          <w:bCs w:val="0"/>
          <w:color w:val="auto"/>
          <w:sz w:val="32"/>
          <w:szCs w:val="32"/>
          <w:lang w:val="en-US" w:eastAsia="zh-CN"/>
        </w:rPr>
        <w:t>人员减少，1人退休。</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5,561.61</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5,481.83</w:t>
      </w:r>
      <w:r>
        <w:rPr>
          <w:rFonts w:hint="eastAsia" w:ascii="仿宋_GB2312" w:hAnsi="ˎ̥" w:eastAsia="仿宋_GB2312"/>
          <w:color w:val="auto"/>
          <w:sz w:val="32"/>
          <w:szCs w:val="32"/>
        </w:rPr>
        <w:t>万元，主要包括：工资福利支出中的基本工资、津贴补贴、绩效工资、机关事业单位基本养老保险缴费、职业年金缴费、职工基本医疗保险缴费、公务员医疗补助缴费、其他社会保障缴费、住房公积金、医疗费。公用经费</w:t>
      </w:r>
      <w:r>
        <w:rPr>
          <w:rFonts w:ascii="仿宋_GB2312" w:hAnsi="ˎ̥" w:eastAsia="仿宋_GB2312"/>
          <w:color w:val="auto"/>
          <w:sz w:val="32"/>
          <w:szCs w:val="32"/>
          <w:lang w:val="en-US"/>
        </w:rPr>
        <w:t>79.78</w:t>
      </w:r>
      <w:r>
        <w:rPr>
          <w:rFonts w:hint="eastAsia" w:ascii="仿宋_GB2312" w:hAnsi="ˎ̥" w:eastAsia="仿宋_GB2312"/>
          <w:color w:val="auto"/>
          <w:sz w:val="32"/>
          <w:szCs w:val="32"/>
        </w:rPr>
        <w:t>万元，主要包括：商品和服务支出中的邮电费、工会经费。</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完成预算的0.00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完成预算的0.00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根据财政预算绩效管理要求，可按照如下格式说明：根据预算管理要求，我单位组织对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共涉及资金5844.56万元，占一般公共预算项目支出总额的100%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（二）部门决算中项目绩效自评结果（</w:t>
      </w:r>
      <w:r>
        <w:rPr>
          <w:rFonts w:hint="eastAsia" w:ascii="楷体" w:hAnsi="楷体" w:eastAsia="楷体" w:cs="楷体"/>
          <w:bCs/>
          <w:color w:val="auto"/>
          <w:sz w:val="32"/>
          <w:szCs w:val="32"/>
          <w:lang w:eastAsia="zh-CN"/>
        </w:rPr>
        <w:t>无</w:t>
      </w:r>
      <w:r>
        <w:rPr>
          <w:rFonts w:hint="eastAsia" w:ascii="楷体" w:hAnsi="楷体" w:eastAsia="楷体" w:cs="楷体"/>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（三）部门评价结果（</w:t>
      </w:r>
      <w:r>
        <w:rPr>
          <w:rFonts w:hint="eastAsia" w:ascii="楷体" w:hAnsi="楷体" w:eastAsia="楷体" w:cs="楷体"/>
          <w:bCs/>
          <w:color w:val="auto"/>
          <w:sz w:val="32"/>
          <w:szCs w:val="32"/>
          <w:lang w:eastAsia="zh-CN"/>
        </w:rPr>
        <w:t>无</w:t>
      </w:r>
      <w:r>
        <w:rPr>
          <w:rFonts w:hint="eastAsia" w:ascii="楷体" w:hAnsi="楷体" w:eastAsia="楷体" w:cs="楷体"/>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楷体" w:hAnsi="楷体" w:eastAsia="楷体" w:cs="楷体"/>
          <w:bCs/>
          <w:color w:val="auto"/>
          <w:sz w:val="32"/>
          <w:szCs w:val="32"/>
        </w:rPr>
        <w:t>（四）财政评价结果（</w:t>
      </w:r>
      <w:r>
        <w:rPr>
          <w:rFonts w:hint="eastAsia" w:ascii="楷体" w:hAnsi="楷体" w:eastAsia="楷体" w:cs="楷体"/>
          <w:bCs/>
          <w:color w:val="auto"/>
          <w:sz w:val="32"/>
          <w:szCs w:val="32"/>
          <w:lang w:eastAsia="zh-CN"/>
        </w:rPr>
        <w:t>无</w:t>
      </w:r>
      <w:r>
        <w:rPr>
          <w:rFonts w:hint="eastAsia" w:ascii="楷体" w:hAnsi="楷体" w:eastAsia="楷体" w:cs="楷体"/>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5" w:name="_Toc32639_WPSOffice_Level2"/>
      <w:bookmarkStart w:id="96" w:name="_Toc23598_WPSOffice_Level2"/>
      <w:bookmarkStart w:id="97" w:name="_Toc15262_WPSOffice_Level2"/>
      <w:bookmarkStart w:id="98" w:name="_Toc15565_WPSOffice_Level2"/>
      <w:bookmarkStart w:id="99" w:name="_Toc18325_WPSOffice_Level2"/>
      <w:bookmarkStart w:id="100" w:name="_Toc5978_WPSOffice_Level2"/>
      <w:r>
        <w:rPr>
          <w:rFonts w:hint="eastAsia" w:ascii="楷体" w:hAnsi="楷体" w:eastAsia="楷体" w:cs="楷体"/>
          <w:bCs/>
          <w:color w:val="auto"/>
          <w:sz w:val="32"/>
          <w:szCs w:val="32"/>
        </w:rPr>
        <w:t>（一）机关运行经费支出情况</w:t>
      </w:r>
      <w:bookmarkEnd w:id="95"/>
      <w:bookmarkEnd w:id="96"/>
      <w:bookmarkEnd w:id="97"/>
      <w:bookmarkEnd w:id="98"/>
      <w:bookmarkEnd w:id="99"/>
      <w:bookmarkEnd w:id="100"/>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屯昌县屯昌中学</w:t>
      </w:r>
      <w:r>
        <w:rPr>
          <w:rFonts w:hint="eastAsia" w:ascii="仿宋_GB2312" w:hAnsi="ˎ̥" w:eastAsia="仿宋_GB2312"/>
          <w:color w:val="auto"/>
          <w:sz w:val="32"/>
          <w:szCs w:val="32"/>
        </w:rPr>
        <w:t>机关运行经费</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1" w:name="_Toc25333_WPSOffice_Level2"/>
      <w:bookmarkStart w:id="102" w:name="_Toc23966_WPSOffice_Level2"/>
      <w:bookmarkStart w:id="103" w:name="_Toc13084_WPSOffice_Level2"/>
      <w:bookmarkStart w:id="104" w:name="_Toc3131_WPSOffice_Level2"/>
      <w:bookmarkStart w:id="105" w:name="_Toc32689_WPSOffice_Level2"/>
      <w:bookmarkStart w:id="106" w:name="_Toc30383_WPSOffice_Level2"/>
      <w:r>
        <w:rPr>
          <w:rFonts w:hint="eastAsia" w:ascii="楷体" w:hAnsi="楷体" w:eastAsia="楷体" w:cs="楷体"/>
          <w:bCs/>
          <w:color w:val="auto"/>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屯昌县屯昌中学</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7" w:name="_Toc15129_WPSOffice_Level2"/>
      <w:bookmarkStart w:id="108" w:name="_Toc29584_WPSOffice_Level2"/>
      <w:bookmarkStart w:id="109" w:name="_Toc6016_WPSOffice_Level2"/>
      <w:bookmarkStart w:id="110" w:name="_Toc10902_WPSOffice_Level2"/>
      <w:bookmarkStart w:id="111" w:name="_Toc19989_WPSOffice_Level2"/>
      <w:bookmarkStart w:id="112" w:name="_Toc527_WPSOffice_Level2"/>
      <w:r>
        <w:rPr>
          <w:rFonts w:hint="eastAsia" w:ascii="楷体" w:hAnsi="楷体" w:eastAsia="楷体" w:cs="楷体"/>
          <w:bCs/>
          <w:color w:val="auto"/>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val="en-US"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29904.16</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w:t>
      </w:r>
      <w:r>
        <w:rPr>
          <w:rFonts w:hint="eastAsia" w:ascii="仿宋_GB2312" w:hAnsi="ˎ̥" w:eastAsia="仿宋_GB2312"/>
          <w:color w:val="auto"/>
          <w:sz w:val="32"/>
          <w:szCs w:val="32"/>
          <w:lang w:val="en-US"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3" w:name="_Toc11039_WPSOffice_Level1"/>
      <w:bookmarkStart w:id="114" w:name="_Toc8874_WPSOffice_Level1"/>
      <w:bookmarkStart w:id="115" w:name="_Toc4398_WPSOffice_Level1"/>
      <w:bookmarkStart w:id="116" w:name="_Toc15425_WPSOffice_Level1"/>
      <w:bookmarkStart w:id="117" w:name="_Toc17580_WPSOffice_Level1"/>
      <w:bookmarkStart w:id="118" w:name="_Toc880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2FE7A2C1"/>
    <w:multiLevelType w:val="singleLevel"/>
    <w:tmpl w:val="2FE7A2C1"/>
    <w:lvl w:ilvl="0" w:tentative="0">
      <w:start w:val="1"/>
      <w:numFmt w:val="chineseCounting"/>
      <w:suff w:val="nothing"/>
      <w:lvlText w:val="%1、"/>
      <w:lvlJc w:val="left"/>
      <w:rPr>
        <w:rFonts w:hint="eastAsia"/>
      </w:rPr>
    </w:lvl>
  </w:abstractNum>
  <w:abstractNum w:abstractNumId="2">
    <w:nsid w:val="693EF79D"/>
    <w:multiLevelType w:val="multilevel"/>
    <w:tmpl w:val="693EF79D"/>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95461B8"/>
    <w:rsid w:val="0FC80124"/>
    <w:rsid w:val="136F98C7"/>
    <w:rsid w:val="17427E68"/>
    <w:rsid w:val="1755065F"/>
    <w:rsid w:val="1AFC29C9"/>
    <w:rsid w:val="1B393307"/>
    <w:rsid w:val="1CA52F2E"/>
    <w:rsid w:val="1E3630B9"/>
    <w:rsid w:val="26EEC2B5"/>
    <w:rsid w:val="29472309"/>
    <w:rsid w:val="2B406E77"/>
    <w:rsid w:val="2C2A0C43"/>
    <w:rsid w:val="2D1E73A5"/>
    <w:rsid w:val="32717154"/>
    <w:rsid w:val="34B63260"/>
    <w:rsid w:val="353041DD"/>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qFormat/>
    <w:uiPriority w:val="0"/>
    <w:rPr>
      <w:b/>
      <w:bCs/>
    </w:rPr>
  </w:style>
  <w:style w:type="character" w:styleId="9">
    <w:name w:val="page number"/>
    <w:qFormat/>
    <w:uiPriority w:val="0"/>
  </w:style>
  <w:style w:type="character" w:styleId="10">
    <w:name w:val="Hyperlink"/>
    <w:basedOn w:val="8"/>
    <w:qFormat/>
    <w:uiPriority w:val="0"/>
    <w:rPr>
      <w:color w:val="0000FF"/>
      <w:u w:val="single"/>
    </w:rPr>
  </w:style>
  <w:style w:type="character" w:styleId="11">
    <w:name w:val="annotation reference"/>
    <w:qFormat/>
    <w:uiPriority w:val="0"/>
    <w:rPr>
      <w:sz w:val="21"/>
      <w:szCs w:val="21"/>
    </w:rPr>
  </w:style>
  <w:style w:type="character" w:customStyle="1" w:styleId="12">
    <w:name w:val="批注文字 Char"/>
    <w:link w:val="2"/>
    <w:qFormat/>
    <w:uiPriority w:val="0"/>
    <w:rPr>
      <w:kern w:val="2"/>
      <w:sz w:val="21"/>
      <w:szCs w:val="24"/>
    </w:rPr>
  </w:style>
  <w:style w:type="character" w:customStyle="1" w:styleId="13">
    <w:name w:val="批注框文本 Char"/>
    <w:link w:val="3"/>
    <w:qFormat/>
    <w:uiPriority w:val="0"/>
    <w:rPr>
      <w:kern w:val="2"/>
      <w:sz w:val="18"/>
      <w:szCs w:val="18"/>
    </w:rPr>
  </w:style>
  <w:style w:type="character" w:customStyle="1" w:styleId="14">
    <w:name w:val="页眉 Char"/>
    <w:link w:val="5"/>
    <w:qFormat/>
    <w:uiPriority w:val="0"/>
    <w:rPr>
      <w:kern w:val="2"/>
      <w:sz w:val="18"/>
      <w:szCs w:val="18"/>
    </w:rPr>
  </w:style>
  <w:style w:type="character" w:customStyle="1" w:styleId="15">
    <w:name w:val="批注主题 Char"/>
    <w:link w:val="6"/>
    <w:qFormat/>
    <w:uiPriority w:val="0"/>
    <w:rPr>
      <w:b/>
      <w:bCs/>
      <w:kern w:val="2"/>
      <w:sz w:val="21"/>
      <w:szCs w:val="24"/>
    </w:rPr>
  </w:style>
  <w:style w:type="paragraph" w:customStyle="1" w:styleId="16">
    <w:name w:val="WPSOffice手动目录 1"/>
    <w:qFormat/>
    <w:uiPriority w:val="0"/>
    <w:rPr>
      <w:rFonts w:ascii="Times New Roman" w:hAnsi="Times New Roman" w:eastAsia="宋体" w:cs="Times New Roman"/>
      <w:lang w:val="en-US" w:eastAsia="zh-CN" w:bidi="ar-SA"/>
    </w:rPr>
  </w:style>
  <w:style w:type="paragraph" w:customStyle="1" w:styleId="17">
    <w:name w:val="WPSOffice手动目录 2"/>
    <w:qFormat/>
    <w:uiPriority w:val="0"/>
    <w:pPr>
      <w:ind w:leftChars="200"/>
    </w:pPr>
    <w:rPr>
      <w:rFonts w:ascii="Times New Roman" w:hAnsi="Times New Roman" w:eastAsia="宋体" w:cs="Times New Roman"/>
      <w:lang w:val="en-US" w:eastAsia="zh-CN" w:bidi="ar-SA"/>
    </w:rPr>
  </w:style>
  <w:style w:type="paragraph" w:customStyle="1" w:styleId="18">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2</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2025-10-27T08:07:25Z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