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rPr>
        <w:t>屯昌县坡心镇中建学校2024年度</w:t>
      </w:r>
    </w:p>
    <w:p>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sz w:val="44"/>
          <w:szCs w:val="44"/>
          <w:lang w:eastAsia="zh-CN"/>
        </w:rPr>
        <w:t>单位</w:t>
      </w:r>
      <w:r>
        <w:rPr>
          <w:rFonts w:hint="eastAsia" w:ascii="方正小标宋_GBK" w:hAnsi="方正小标宋_GBK" w:eastAsia="方正小标宋_GBK" w:cs="方正小标宋_GBK"/>
          <w:b w:val="0"/>
          <w:bCs w:val="0"/>
          <w:sz w:val="44"/>
          <w:szCs w:val="44"/>
        </w:rPr>
        <w:t>决算公开报告</w:t>
      </w:r>
    </w:p>
    <w:p>
      <w:pPr>
        <w:spacing w:line="578" w:lineRule="exact"/>
        <w:jc w:val="center"/>
        <w:rPr>
          <w:rFonts w:hint="eastAsia" w:ascii="黑体" w:hAnsi="ˎ̥" w:eastAsia="黑体"/>
          <w:b/>
          <w:sz w:val="32"/>
          <w:szCs w:val="32"/>
        </w:rPr>
      </w:pPr>
    </w:p>
    <w:p>
      <w:pPr>
        <w:spacing w:line="578" w:lineRule="exact"/>
        <w:jc w:val="center"/>
        <w:rPr>
          <w:rFonts w:hint="eastAsia" w:ascii="黑体" w:hAnsi="黑体" w:eastAsia="黑体" w:cs="黑体"/>
          <w:sz w:val="44"/>
          <w:szCs w:val="44"/>
        </w:rPr>
      </w:pPr>
      <w:bookmarkStart w:id="0" w:name="_Toc11440_WPSOffice_Type2"/>
      <w:r>
        <w:rPr>
          <w:rFonts w:hint="eastAsia" w:ascii="黑体" w:hAnsi="黑体" w:eastAsia="黑体" w:cs="黑体"/>
          <w:sz w:val="44"/>
          <w:szCs w:val="44"/>
        </w:rPr>
        <w:t>目  录</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_Toc1704_WPSOffice_Level1 </w:instrText>
      </w:r>
      <w:r>
        <w:rPr>
          <w:sz w:val="32"/>
          <w:szCs w:val="32"/>
        </w:rPr>
        <w:fldChar w:fldCharType="separate"/>
      </w:r>
      <w:r>
        <w:rPr>
          <w:rFonts w:hint="eastAsia" w:ascii="黑体" w:hAnsi="ˎ̥" w:eastAsia="黑体"/>
          <w:sz w:val="32"/>
          <w:szCs w:val="32"/>
        </w:rPr>
        <w:t>第一部分 基本情况</w:t>
      </w:r>
      <w:r>
        <w:rPr>
          <w:sz w:val="32"/>
          <w:szCs w:val="32"/>
        </w:rPr>
        <w:tab/>
      </w:r>
      <w:r>
        <w:rPr>
          <w:sz w:val="32"/>
          <w:szCs w:val="32"/>
        </w:rPr>
        <w:fldChar w:fldCharType="end"/>
      </w:r>
      <w:r>
        <w:rPr>
          <w:rFonts w:hint="eastAsia"/>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_Toc20274_WPSOffice_Level2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bookmarkStart w:id="121" w:name="_GoBack"/>
      <w:bookmarkEnd w:id="121"/>
      <w:r>
        <w:rPr>
          <w:rFonts w:hint="eastAsia" w:ascii="仿宋" w:hAnsi="仿宋" w:eastAsia="仿宋" w:cs="仿宋"/>
          <w:sz w:val="32"/>
          <w:szCs w:val="32"/>
          <w:lang w:eastAsia="zh-CN"/>
        </w:rPr>
        <w:t>单位</w:t>
      </w:r>
      <w:r>
        <w:rPr>
          <w:rFonts w:hint="eastAsia" w:ascii="仿宋" w:hAnsi="仿宋" w:eastAsia="仿宋" w:cs="仿宋"/>
          <w:sz w:val="32"/>
          <w:szCs w:val="32"/>
        </w:rPr>
        <w:t>职责</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_Toc4833_WPSOffice_Level2 </w:instrText>
      </w:r>
      <w:r>
        <w:rPr>
          <w:rFonts w:hint="eastAsia" w:ascii="仿宋" w:hAnsi="仿宋" w:eastAsia="仿宋" w:cs="仿宋"/>
          <w:sz w:val="32"/>
          <w:szCs w:val="32"/>
        </w:rPr>
        <w:fldChar w:fldCharType="separate"/>
      </w:r>
      <w:r>
        <w:rPr>
          <w:rFonts w:hint="eastAsia" w:ascii="仿宋" w:hAnsi="仿宋" w:eastAsia="仿宋" w:cs="仿宋"/>
          <w:sz w:val="32"/>
          <w:szCs w:val="32"/>
        </w:rPr>
        <w:t>二、机构设置</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_Toc28253_WPSOffice_Level1 </w:instrText>
      </w:r>
      <w:r>
        <w:rPr>
          <w:sz w:val="32"/>
          <w:szCs w:val="32"/>
        </w:rPr>
        <w:fldChar w:fldCharType="separate"/>
      </w: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决算公开表</w:t>
      </w:r>
      <w:r>
        <w:rPr>
          <w:sz w:val="32"/>
          <w:szCs w:val="32"/>
        </w:rPr>
        <w:tab/>
      </w:r>
      <w:r>
        <w:rPr>
          <w:sz w:val="32"/>
          <w:szCs w:val="32"/>
        </w:rPr>
        <w:fldChar w:fldCharType="end"/>
      </w:r>
      <w:r>
        <w:rPr>
          <w:rFonts w:hint="eastAsia"/>
          <w:sz w:val="32"/>
          <w:szCs w:val="32"/>
        </w:rPr>
        <w:t>2</w:t>
      </w:r>
    </w:p>
    <w:p>
      <w:pPr>
        <w:pStyle w:val="15"/>
        <w:tabs>
          <w:tab w:val="right" w:leader="dot" w:pos="8306"/>
        </w:tabs>
        <w:spacing w:line="578" w:lineRule="exact"/>
        <w:rPr>
          <w:rFonts w:hint="eastAsia"/>
          <w:sz w:val="32"/>
          <w:szCs w:val="32"/>
        </w:rPr>
      </w:pPr>
      <w:r>
        <w:rPr>
          <w:sz w:val="32"/>
          <w:szCs w:val="32"/>
        </w:rPr>
        <w:fldChar w:fldCharType="begin"/>
      </w:r>
      <w:r>
        <w:rPr>
          <w:sz w:val="32"/>
          <w:szCs w:val="32"/>
        </w:rPr>
        <w:instrText xml:space="preserve"> HYPERLINK \l _Toc27590_WPSOffice_Level1 </w:instrText>
      </w:r>
      <w:r>
        <w:rPr>
          <w:sz w:val="32"/>
          <w:szCs w:val="32"/>
        </w:rPr>
        <w:fldChar w:fldCharType="separate"/>
      </w:r>
      <w:r>
        <w:rPr>
          <w:rFonts w:hint="eastAsia" w:ascii="黑体" w:hAnsi="黑体" w:eastAsia="黑体" w:cs="黑体"/>
          <w:sz w:val="32"/>
          <w:szCs w:val="32"/>
        </w:rPr>
        <w:t>第三部分</w:t>
      </w:r>
      <w:r>
        <w:rPr>
          <w:rFonts w:hint="eastAsia"/>
          <w:sz w:val="32"/>
          <w:szCs w:val="32"/>
        </w:rPr>
        <w:t xml:space="preserve">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r>
        <w:rPr>
          <w:sz w:val="32"/>
          <w:szCs w:val="32"/>
        </w:rPr>
        <w:tab/>
      </w:r>
      <w:r>
        <w:rPr>
          <w:sz w:val="32"/>
          <w:szCs w:val="32"/>
        </w:rPr>
        <w:fldChar w:fldCharType="end"/>
      </w:r>
      <w:r>
        <w:rPr>
          <w:rFonts w:hint="eastAsia"/>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_Toc21737_WPSOffice_Level2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一、收入支出总体情况说明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3</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二、收入决算情况说明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三、支出决算情况说明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四、财政拨款收入支出决算</w:t>
      </w:r>
      <w:r>
        <w:rPr>
          <w:rFonts w:hint="eastAsia" w:ascii="仿宋" w:hAnsi="仿宋" w:eastAsia="仿宋" w:cs="仿宋"/>
          <w:bCs/>
          <w:sz w:val="32"/>
          <w:szCs w:val="32"/>
          <w:lang w:val="en-US" w:eastAsia="zh-CN"/>
        </w:rPr>
        <w:t>总体</w:t>
      </w:r>
      <w:r>
        <w:rPr>
          <w:rFonts w:hint="eastAsia" w:ascii="仿宋" w:hAnsi="仿宋" w:eastAsia="仿宋" w:cs="仿宋"/>
          <w:bCs/>
          <w:sz w:val="32"/>
          <w:szCs w:val="32"/>
        </w:rPr>
        <w:t>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4</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五、一般公共预算财政拨款支出决算情况说明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5</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sz w:val="32"/>
          <w:szCs w:val="32"/>
        </w:rPr>
        <w:fldChar w:fldCharType="end"/>
      </w:r>
      <w:r>
        <w:rPr>
          <w:rFonts w:hint="eastAsia" w:ascii="仿宋" w:hAnsi="仿宋" w:eastAsia="仿宋" w:cs="仿宋"/>
          <w:sz w:val="32"/>
          <w:szCs w:val="32"/>
        </w:rPr>
        <w:tab/>
      </w:r>
      <w:r>
        <w:rPr>
          <w:rFonts w:hint="eastAsia" w:ascii="仿宋" w:hAnsi="仿宋" w:eastAsia="仿宋" w:cs="仿宋"/>
          <w:sz w:val="32"/>
          <w:szCs w:val="32"/>
        </w:rPr>
        <w:t>6</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政府性基金预算财政拨款支出决算情况说明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7</w:t>
      </w:r>
    </w:p>
    <w:p>
      <w:pPr>
        <w:pStyle w:val="16"/>
        <w:numPr>
          <w:ilvl w:val="0"/>
          <w:numId w:val="1"/>
        </w:numPr>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国有资本经营预算财政拨款支出决算情况说明</w:t>
      </w:r>
      <w:r>
        <w:rPr>
          <w:rFonts w:hint="eastAsia" w:ascii="仿宋" w:hAnsi="仿宋" w:eastAsia="仿宋" w:cs="仿宋"/>
          <w:sz w:val="32"/>
          <w:szCs w:val="32"/>
        </w:rPr>
        <w:tab/>
      </w:r>
      <w:r>
        <w:rPr>
          <w:rFonts w:hint="eastAsia" w:ascii="仿宋" w:hAnsi="仿宋" w:eastAsia="仿宋" w:cs="仿宋"/>
          <w:sz w:val="32"/>
          <w:szCs w:val="32"/>
        </w:rPr>
        <w:t>8</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九、财政拨款“三公”经费支出决算情况说明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9</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_Toc19535_WPSOffice_Level2 </w:instrText>
      </w:r>
      <w:r>
        <w:rPr>
          <w:rFonts w:hint="eastAsia" w:ascii="仿宋" w:hAnsi="仿宋" w:eastAsia="仿宋" w:cs="仿宋"/>
          <w:sz w:val="32"/>
          <w:szCs w:val="32"/>
        </w:rPr>
        <w:fldChar w:fldCharType="separate"/>
      </w:r>
      <w:r>
        <w:rPr>
          <w:rFonts w:hint="eastAsia" w:ascii="仿宋" w:hAnsi="仿宋" w:eastAsia="仿宋" w:cs="仿宋"/>
          <w:bCs/>
          <w:sz w:val="32"/>
          <w:szCs w:val="32"/>
        </w:rPr>
        <w:t>十、预算绩效情况说明</w:t>
      </w:r>
      <w:r>
        <w:rPr>
          <w:rFonts w:hint="eastAsia" w:ascii="仿宋" w:hAnsi="仿宋" w:eastAsia="仿宋" w:cs="仿宋"/>
          <w:sz w:val="32"/>
          <w:szCs w:val="32"/>
        </w:rPr>
        <w:tab/>
      </w:r>
      <w:r>
        <w:rPr>
          <w:rFonts w:hint="eastAsia" w:ascii="仿宋" w:hAnsi="仿宋" w:eastAsia="仿宋" w:cs="仿宋"/>
          <w:sz w:val="32"/>
          <w:szCs w:val="32"/>
        </w:rPr>
        <w:fldChar w:fldCharType="end"/>
      </w:r>
      <w:r>
        <w:rPr>
          <w:rFonts w:hint="eastAsia" w:ascii="仿宋" w:hAnsi="仿宋" w:eastAsia="仿宋" w:cs="仿宋"/>
          <w:sz w:val="32"/>
          <w:szCs w:val="32"/>
        </w:rPr>
        <w:t>11</w:t>
      </w:r>
    </w:p>
    <w:p>
      <w:pPr>
        <w:pStyle w:val="16"/>
        <w:tabs>
          <w:tab w:val="right" w:leader="dot" w:pos="8306"/>
        </w:tabs>
        <w:spacing w:line="578" w:lineRule="exact"/>
        <w:ind w:leftChars="0"/>
        <w:rPr>
          <w:rFonts w:hint="eastAsia" w:ascii="仿宋" w:hAnsi="仿宋" w:eastAsia="仿宋" w:cs="仿宋"/>
          <w:sz w:val="32"/>
          <w:szCs w:val="32"/>
        </w:rPr>
      </w:pPr>
      <w:r>
        <w:rPr>
          <w:rFonts w:hint="eastAsia" w:ascii="仿宋" w:hAnsi="仿宋" w:eastAsia="仿宋" w:cs="仿宋"/>
          <w:bCs/>
          <w:sz w:val="32"/>
          <w:szCs w:val="32"/>
        </w:rPr>
        <w:t>十一、其他重要事项情况说明</w:t>
      </w:r>
      <w:r>
        <w:rPr>
          <w:rFonts w:hint="eastAsia" w:ascii="仿宋" w:hAnsi="仿宋" w:eastAsia="仿宋" w:cs="仿宋"/>
          <w:sz w:val="32"/>
          <w:szCs w:val="32"/>
        </w:rPr>
        <w:tab/>
      </w:r>
      <w:r>
        <w:rPr>
          <w:rFonts w:hint="eastAsia" w:ascii="仿宋" w:hAnsi="仿宋" w:eastAsia="仿宋" w:cs="仿宋"/>
          <w:sz w:val="32"/>
          <w:szCs w:val="32"/>
        </w:rPr>
        <w:t>13</w:t>
      </w:r>
    </w:p>
    <w:p>
      <w:pPr>
        <w:pStyle w:val="15"/>
        <w:tabs>
          <w:tab w:val="right" w:leader="dot" w:pos="8306"/>
        </w:tabs>
        <w:spacing w:line="578" w:lineRule="exact"/>
        <w:rPr>
          <w:rFonts w:hint="eastAsia" w:ascii="黑体" w:hAnsi="ˎ̥"/>
          <w:b/>
          <w:sz w:val="32"/>
          <w:szCs w:val="32"/>
        </w:rPr>
      </w:pPr>
      <w:r>
        <w:rPr>
          <w:sz w:val="32"/>
          <w:szCs w:val="32"/>
        </w:rPr>
        <w:fldChar w:fldCharType="begin"/>
      </w:r>
      <w:r>
        <w:rPr>
          <w:sz w:val="32"/>
          <w:szCs w:val="32"/>
        </w:rPr>
        <w:instrText xml:space="preserve"> HYPERLINK \l _Toc15425_WPSOffice_Level1 </w:instrText>
      </w:r>
      <w:r>
        <w:rPr>
          <w:sz w:val="32"/>
          <w:szCs w:val="32"/>
        </w:rPr>
        <w:fldChar w:fldCharType="separate"/>
      </w:r>
      <w:r>
        <w:rPr>
          <w:rFonts w:hint="eastAsia" w:ascii="黑体" w:hAnsi="ˎ̥" w:eastAsia="黑体"/>
          <w:sz w:val="32"/>
          <w:szCs w:val="32"/>
        </w:rPr>
        <w:t>第四部分  名词解释</w:t>
      </w:r>
      <w:r>
        <w:rPr>
          <w:sz w:val="32"/>
          <w:szCs w:val="32"/>
        </w:rPr>
        <w:tab/>
      </w:r>
      <w:bookmarkStart w:id="1" w:name="_Toc15425_WPSOffice_Level1Page"/>
      <w:r>
        <w:rPr>
          <w:sz w:val="32"/>
          <w:szCs w:val="32"/>
        </w:rPr>
        <w:t>1</w:t>
      </w:r>
      <w:bookmarkEnd w:id="1"/>
      <w:r>
        <w:rPr>
          <w:sz w:val="32"/>
          <w:szCs w:val="32"/>
        </w:rPr>
        <w:fldChar w:fldCharType="end"/>
      </w:r>
      <w:bookmarkEnd w:id="0"/>
      <w:r>
        <w:rPr>
          <w:rFonts w:hint="eastAsia"/>
          <w:sz w:val="32"/>
          <w:szCs w:val="32"/>
        </w:rPr>
        <w:t>5</w:t>
      </w:r>
    </w:p>
    <w:p>
      <w:pPr>
        <w:spacing w:line="578" w:lineRule="exact"/>
        <w:jc w:val="both"/>
        <w:rPr>
          <w:rFonts w:hint="eastAsia" w:ascii="黑体" w:hAnsi="ˎ̥" w:eastAsia="黑体"/>
          <w:sz w:val="32"/>
          <w:szCs w:val="32"/>
        </w:rPr>
      </w:pPr>
      <w:bookmarkStart w:id="2" w:name="_Toc10720_WPSOffice_Level1"/>
      <w:bookmarkStart w:id="3" w:name="_Toc23465_WPSOffice_Level1"/>
      <w:bookmarkStart w:id="4" w:name="_Toc22941_WPSOffice_Level1"/>
      <w:bookmarkStart w:id="5" w:name="_Toc10049_WPSOffice_Level1"/>
      <w:bookmarkStart w:id="6" w:name="_Toc32433_WPSOffice_Level1"/>
      <w:bookmarkStart w:id="7" w:name="_Toc1704_WPSOffice_Level1"/>
      <w:bookmarkStart w:id="8" w:name="_Toc24238_WPSOffice_Level2"/>
      <w:bookmarkStart w:id="9" w:name="_Toc26580_WPSOffice_Level2"/>
      <w:bookmarkStart w:id="10" w:name="_Toc20205_WPSOffice_Level2"/>
      <w:bookmarkStart w:id="11" w:name="_Toc20274_WPSOffice_Level2"/>
      <w:bookmarkStart w:id="12" w:name="_Toc14159_WPSOffice_Level2"/>
      <w:bookmarkStart w:id="13" w:name="_Toc3262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第一部分  </w:t>
      </w:r>
      <w:bookmarkEnd w:id="2"/>
      <w:bookmarkEnd w:id="3"/>
      <w:bookmarkEnd w:id="4"/>
      <w:bookmarkEnd w:id="5"/>
      <w:bookmarkEnd w:id="6"/>
      <w:bookmarkEnd w:id="7"/>
      <w:r>
        <w:rPr>
          <w:rFonts w:hint="eastAsia" w:ascii="黑体" w:hAnsi="ˎ̥" w:eastAsia="黑体"/>
          <w:sz w:val="32"/>
          <w:szCs w:val="32"/>
        </w:rPr>
        <w:t>基本情况</w:t>
      </w:r>
    </w:p>
    <w:p>
      <w:pPr>
        <w:spacing w:line="578" w:lineRule="exact"/>
        <w:ind w:firstLine="640" w:firstLineChars="200"/>
        <w:rPr>
          <w:rFonts w:hint="eastAsia" w:ascii="楷体" w:hAnsi="楷体" w:eastAsia="楷体" w:cs="楷体"/>
          <w:sz w:val="32"/>
          <w:szCs w:val="32"/>
        </w:rPr>
      </w:pPr>
    </w:p>
    <w:bookmarkEnd w:id="8"/>
    <w:p>
      <w:pPr>
        <w:numPr>
          <w:ilvl w:val="0"/>
          <w:numId w:val="2"/>
        </w:numPr>
        <w:spacing w:line="578" w:lineRule="exact"/>
        <w:ind w:firstLine="640" w:firstLineChars="200"/>
        <w:rPr>
          <w:rFonts w:hint="eastAsia" w:ascii="黑体" w:hAnsi="黑体" w:eastAsia="黑体" w:cs="黑体"/>
          <w:sz w:val="32"/>
          <w:szCs w:val="32"/>
        </w:rPr>
      </w:pPr>
      <w:r>
        <w:rPr>
          <w:rFonts w:hint="eastAsia" w:ascii="黑体" w:hAnsi="黑体" w:eastAsia="黑体" w:cs="黑体"/>
          <w:sz w:val="32"/>
          <w:szCs w:val="32"/>
          <w:lang w:eastAsia="zh-CN"/>
        </w:rPr>
        <w:t>单位</w:t>
      </w:r>
      <w:r>
        <w:rPr>
          <w:rFonts w:hint="eastAsia" w:ascii="黑体" w:hAnsi="黑体" w:eastAsia="黑体" w:cs="黑体"/>
          <w:sz w:val="32"/>
          <w:szCs w:val="32"/>
        </w:rPr>
        <w:t>职责</w:t>
      </w:r>
      <w:bookmarkEnd w:id="9"/>
      <w:bookmarkEnd w:id="10"/>
      <w:bookmarkEnd w:id="11"/>
      <w:bookmarkEnd w:id="12"/>
      <w:bookmarkEnd w:id="13"/>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1. 教育教学核心职责：贯彻落实国家教育方针，承担乡镇义务教育阶段教学任务，负责学生文化知识传授、综合素质培养及安全教育管理，保障教育教学秩序有序开展。</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2. 经费管理职责：严格执行财政预算管理规定，统筹安排年度教育经费（含财政拨款、事业收入等），规范经费收支核算，确保经费用于教学设施购置、师资培训、公用开支等指定用途。</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3. 资产监管职责：负责学校固定资产（校舍、设备、图书等）的登记、管理与维护，定期开展资产清查，保障国有资产安全完整且高效利用。</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b w:val="0"/>
          <w:bCs w:val="0"/>
          <w:sz w:val="32"/>
          <w:szCs w:val="32"/>
        </w:rPr>
        <w:t>4. 师资建设职责：制定教师队伍建设计划，组织开展教职工招聘、培训及绩效考核，提升师资专业素养，维护教职工合法权益。</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sz w:val="32"/>
          <w:szCs w:val="32"/>
        </w:rPr>
        <w:t>5. 社会协同职责：加强与家长、乡镇政府及相关</w:t>
      </w:r>
      <w:r>
        <w:rPr>
          <w:rFonts w:hint="eastAsia" w:ascii="仿宋_GB2312" w:hAnsi="仿宋_GB2312" w:eastAsia="仿宋_GB2312" w:cs="仿宋_GB2312"/>
          <w:b w:val="0"/>
          <w:bCs w:val="0"/>
          <w:sz w:val="32"/>
          <w:szCs w:val="32"/>
          <w:lang w:eastAsia="zh-CN"/>
        </w:rPr>
        <w:t>单位</w:t>
      </w:r>
      <w:r>
        <w:rPr>
          <w:rFonts w:hint="eastAsia" w:ascii="仿宋_GB2312" w:hAnsi="仿宋_GB2312" w:eastAsia="仿宋_GB2312" w:cs="仿宋_GB2312"/>
          <w:b w:val="0"/>
          <w:bCs w:val="0"/>
          <w:sz w:val="32"/>
          <w:szCs w:val="32"/>
        </w:rPr>
        <w:t>的沟通协作，推进家校共育，落实教育惠民政策，接受社会监督，提升教育服务质量</w:t>
      </w:r>
      <w:r>
        <w:rPr>
          <w:rFonts w:hint="eastAsia" w:ascii="黑体" w:hAnsi="黑体" w:eastAsia="黑体" w:cs="黑体"/>
          <w:sz w:val="32"/>
          <w:szCs w:val="32"/>
        </w:rPr>
        <w:t>。</w:t>
      </w:r>
    </w:p>
    <w:p>
      <w:pPr>
        <w:spacing w:line="578" w:lineRule="exact"/>
        <w:ind w:firstLine="640" w:firstLineChars="200"/>
        <w:rPr>
          <w:rFonts w:hint="eastAsia" w:ascii="黑体" w:hAnsi="黑体" w:eastAsia="黑体" w:cs="黑体"/>
          <w:sz w:val="32"/>
          <w:szCs w:val="32"/>
        </w:rPr>
      </w:pPr>
      <w:bookmarkStart w:id="14" w:name="_Toc4833_WPSOffice_Level2"/>
      <w:bookmarkStart w:id="15" w:name="_Toc24059_WPSOffice_Level2"/>
      <w:bookmarkStart w:id="16" w:name="_Toc6572_WPSOffice_Level2"/>
      <w:bookmarkStart w:id="17" w:name="_Toc17796_WPSOffice_Level2"/>
      <w:bookmarkStart w:id="18" w:name="_Toc24474_WPSOffice_Level2"/>
      <w:r>
        <w:rPr>
          <w:rFonts w:hint="eastAsia" w:ascii="黑体" w:hAnsi="黑体" w:eastAsia="黑体" w:cs="黑体"/>
          <w:sz w:val="32"/>
          <w:szCs w:val="32"/>
        </w:rPr>
        <w:t>二、机构设置</w:t>
      </w:r>
      <w:bookmarkEnd w:id="14"/>
      <w:bookmarkEnd w:id="15"/>
      <w:bookmarkEnd w:id="16"/>
      <w:bookmarkEnd w:id="17"/>
      <w:bookmarkEnd w:id="18"/>
    </w:p>
    <w:p>
      <w:pPr>
        <w:keepNext w:val="0"/>
        <w:keepLines w:val="0"/>
        <w:widowControl/>
        <w:suppressLineNumbers w:val="0"/>
        <w:ind w:left="0" w:firstLine="640" w:firstLineChars="200"/>
        <w:rPr>
          <w:rFonts w:hint="eastAsia" w:ascii="黑体" w:hAnsi="ˎ̥" w:eastAsia="黑体"/>
          <w:sz w:val="32"/>
          <w:szCs w:val="32"/>
        </w:rPr>
      </w:pPr>
      <w:bookmarkStart w:id="19" w:name="_Toc24421_WPSOffice_Level2"/>
      <w:bookmarkStart w:id="20" w:name="_Toc25738_WPSOffice_Level2"/>
      <w:r>
        <w:rPr>
          <w:rFonts w:hint="eastAsia" w:ascii="仿宋_GB2312" w:hAnsi="ˎ̥" w:eastAsia="仿宋_GB2312"/>
          <w:color w:val="auto"/>
          <w:sz w:val="32"/>
          <w:szCs w:val="32"/>
        </w:rPr>
        <w:t>纳入</w:t>
      </w:r>
      <w:r>
        <w:rPr>
          <w:rFonts w:hint="eastAsia" w:ascii="仿宋_GB2312" w:hAnsi="ˎ̥" w:eastAsia="仿宋_GB2312"/>
          <w:color w:val="auto"/>
          <w:sz w:val="32"/>
          <w:szCs w:val="32"/>
          <w:lang w:val="en-US" w:eastAsia="zh-CN"/>
        </w:rPr>
        <w:t>屯昌县坡心镇中建学校</w:t>
      </w:r>
      <w:r>
        <w:rPr>
          <w:rFonts w:hint="eastAsia" w:ascii="仿宋_GB2312" w:hAnsi="ˎ̥" w:eastAsia="仿宋_GB2312"/>
          <w:color w:val="auto"/>
          <w:sz w:val="32"/>
          <w:szCs w:val="32"/>
        </w:rPr>
        <w:t>202</w:t>
      </w:r>
      <w:r>
        <w:rPr>
          <w:rFonts w:hint="eastAsia" w:ascii="仿宋_GB2312" w:hAnsi="ˎ̥" w:eastAsia="仿宋_GB2312"/>
          <w:color w:val="auto"/>
          <w:sz w:val="32"/>
          <w:szCs w:val="32"/>
          <w:lang w:val="en-US" w:eastAsia="zh-CN"/>
        </w:rPr>
        <w:t>4</w:t>
      </w:r>
      <w:r>
        <w:rPr>
          <w:rFonts w:hint="eastAsia" w:ascii="仿宋_GB2312" w:hAnsi="ˎ̥" w:eastAsia="仿宋_GB2312"/>
          <w:color w:val="auto"/>
          <w:sz w:val="32"/>
          <w:szCs w:val="32"/>
        </w:rPr>
        <w:t>年度</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决算编制范围的单位共</w:t>
      </w: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个，包括：</w:t>
      </w:r>
      <w:r>
        <w:rPr>
          <w:rFonts w:hint="default" w:ascii="仿宋_GB2312" w:hAnsi="宋体" w:eastAsia="仿宋_GB2312" w:cs="仿宋_GB2312"/>
          <w:color w:val="auto"/>
          <w:kern w:val="0"/>
          <w:sz w:val="32"/>
          <w:szCs w:val="32"/>
        </w:rPr>
        <w:t>管</w:t>
      </w:r>
      <w:r>
        <w:rPr>
          <w:rFonts w:hint="default" w:ascii="仿宋_GB2312" w:hAnsi="宋体" w:eastAsia="仿宋_GB2312" w:cs="仿宋_GB2312"/>
          <w:kern w:val="0"/>
          <w:sz w:val="32"/>
          <w:szCs w:val="32"/>
        </w:rPr>
        <w:t>辖区内共有</w:t>
      </w:r>
      <w:r>
        <w:rPr>
          <w:rFonts w:hint="eastAsia" w:ascii="仿宋_GB2312" w:hAnsi="宋体" w:eastAsia="仿宋_GB2312" w:cs="宋体"/>
          <w:kern w:val="0"/>
          <w:sz w:val="32"/>
          <w:szCs w:val="32"/>
          <w:lang w:val="en-US" w:eastAsia="zh-CN"/>
        </w:rPr>
        <w:t>1</w:t>
      </w:r>
      <w:r>
        <w:rPr>
          <w:rFonts w:hint="default" w:ascii="仿宋_GB2312" w:hAnsi="宋体" w:eastAsia="仿宋_GB2312" w:cs="仿宋_GB2312"/>
          <w:kern w:val="0"/>
          <w:sz w:val="32"/>
          <w:szCs w:val="32"/>
        </w:rPr>
        <w:t>所完小。</w:t>
      </w:r>
      <w:bookmarkEnd w:id="19"/>
      <w:bookmarkEnd w:id="20"/>
      <w:bookmarkStart w:id="21" w:name="_Toc28253_WPSOffice_Level1"/>
      <w:bookmarkStart w:id="22" w:name="_Toc8164_WPSOffice_Level1"/>
      <w:bookmarkStart w:id="23" w:name="_Toc30690_WPSOffice_Level1"/>
      <w:bookmarkStart w:id="24" w:name="_Toc6234_WPSOffice_Level1"/>
      <w:bookmarkStart w:id="25" w:name="_Toc30451_WPSOffice_Level1"/>
      <w:bookmarkStart w:id="26" w:name="_Toc15521_WPSOffice_Level1"/>
      <w:bookmarkStart w:id="27" w:name="_Toc4029_WPSOffice_Level2"/>
      <w:bookmarkStart w:id="28" w:name="_Toc8867_WPSOffice_Level2"/>
      <w:bookmarkStart w:id="29" w:name="_Toc6211_WPSOffice_Level2"/>
      <w:bookmarkStart w:id="30" w:name="_Toc32695_WPSOffice_Level2"/>
      <w:bookmarkStart w:id="31" w:name="_Toc11518_WPSOffice_Level2"/>
      <w:bookmarkStart w:id="32" w:name="_Toc32472_WPSOffice_Level2"/>
    </w:p>
    <w:p>
      <w:pPr>
        <w:spacing w:line="578" w:lineRule="exact"/>
        <w:jc w:val="center"/>
        <w:rPr>
          <w:rFonts w:hint="eastAsia" w:ascii="黑体" w:hAnsi="ˎ̥" w:eastAsia="黑体"/>
          <w:sz w:val="32"/>
          <w:szCs w:val="32"/>
        </w:rPr>
      </w:pPr>
      <w:r>
        <w:rPr>
          <w:rFonts w:hint="eastAsia" w:ascii="黑体" w:hAnsi="ˎ̥" w:eastAsia="黑体"/>
          <w:sz w:val="32"/>
          <w:szCs w:val="32"/>
        </w:rPr>
        <w:t xml:space="preserve">第二部分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决算公开报表</w:t>
      </w:r>
      <w:bookmarkEnd w:id="21"/>
      <w:bookmarkEnd w:id="22"/>
      <w:bookmarkEnd w:id="23"/>
      <w:bookmarkEnd w:id="24"/>
      <w:bookmarkEnd w:id="25"/>
      <w:bookmarkEnd w:id="26"/>
    </w:p>
    <w:p>
      <w:pPr>
        <w:spacing w:line="578" w:lineRule="exact"/>
        <w:ind w:firstLine="645"/>
        <w:rPr>
          <w:rFonts w:hint="eastAsia" w:ascii="黑体" w:hAnsi="黑体" w:eastAsia="黑体" w:cs="黑体"/>
          <w:sz w:val="32"/>
          <w:szCs w:val="32"/>
        </w:rPr>
      </w:pPr>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一、收入支出决算公开表</w:t>
      </w:r>
      <w:bookmarkEnd w:id="27"/>
      <w:bookmarkEnd w:id="28"/>
      <w:bookmarkEnd w:id="29"/>
      <w:bookmarkEnd w:id="30"/>
      <w:bookmarkEnd w:id="31"/>
      <w:bookmarkEnd w:id="32"/>
    </w:p>
    <w:p>
      <w:pPr>
        <w:spacing w:line="578" w:lineRule="exact"/>
        <w:ind w:firstLine="645"/>
        <w:rPr>
          <w:rFonts w:hint="eastAsia" w:ascii="黑体" w:hAnsi="黑体" w:eastAsia="黑体" w:cs="黑体"/>
          <w:sz w:val="32"/>
          <w:szCs w:val="32"/>
        </w:rPr>
      </w:pPr>
      <w:bookmarkStart w:id="33" w:name="_Toc23139_WPSOffice_Level2"/>
      <w:bookmarkStart w:id="34" w:name="_Toc26621_WPSOffice_Level2"/>
      <w:bookmarkStart w:id="35" w:name="_Toc25608_WPSOffice_Level2"/>
      <w:bookmarkStart w:id="36" w:name="_Toc28622_WPSOffice_Level2"/>
      <w:bookmarkStart w:id="37" w:name="_Toc14349_WPSOffice_Level2"/>
      <w:bookmarkStart w:id="38" w:name="_Toc30334_WPSOffice_Level2"/>
      <w:r>
        <w:rPr>
          <w:rFonts w:hint="eastAsia" w:ascii="黑体" w:hAnsi="黑体" w:eastAsia="黑体" w:cs="黑体"/>
          <w:sz w:val="32"/>
          <w:szCs w:val="32"/>
        </w:rPr>
        <w:t>二、收入决算公开表</w:t>
      </w:r>
      <w:bookmarkEnd w:id="33"/>
      <w:bookmarkEnd w:id="34"/>
      <w:bookmarkEnd w:id="35"/>
      <w:bookmarkEnd w:id="36"/>
      <w:bookmarkEnd w:id="37"/>
      <w:bookmarkEnd w:id="38"/>
      <w:bookmarkStart w:id="39" w:name="_Toc14658_WPSOffice_Level2"/>
      <w:bookmarkStart w:id="40" w:name="_Toc5489_WPSOffice_Level2"/>
      <w:bookmarkStart w:id="41" w:name="_Toc3262_WPSOffice_Level2"/>
      <w:bookmarkStart w:id="42" w:name="_Toc17626_WPSOffice_Level2"/>
      <w:bookmarkStart w:id="43" w:name="_Toc17858_WPSOffice_Level2"/>
      <w:bookmarkStart w:id="44" w:name="_Toc13854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三、支出决算公开表</w:t>
      </w:r>
      <w:bookmarkEnd w:id="39"/>
      <w:bookmarkEnd w:id="40"/>
      <w:bookmarkEnd w:id="41"/>
      <w:bookmarkEnd w:id="42"/>
      <w:bookmarkEnd w:id="43"/>
      <w:bookmarkEnd w:id="44"/>
      <w:bookmarkStart w:id="45" w:name="_Toc21415_WPSOffice_Level2"/>
      <w:bookmarkStart w:id="46" w:name="_Toc23493_WPSOffice_Level2"/>
      <w:bookmarkStart w:id="47" w:name="_Toc7988_WPSOffice_Level2"/>
      <w:bookmarkStart w:id="48" w:name="_Toc4265_WPSOffice_Level2"/>
      <w:bookmarkStart w:id="49" w:name="_Toc13701_WPSOffice_Level2"/>
      <w:bookmarkStart w:id="50" w:name="_Toc23591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四、财政拨款收入支出决算公开表</w:t>
      </w:r>
      <w:bookmarkEnd w:id="45"/>
      <w:bookmarkEnd w:id="46"/>
      <w:bookmarkEnd w:id="47"/>
      <w:bookmarkEnd w:id="48"/>
      <w:bookmarkEnd w:id="49"/>
      <w:bookmarkEnd w:id="50"/>
    </w:p>
    <w:p>
      <w:pPr>
        <w:spacing w:line="578" w:lineRule="exact"/>
        <w:ind w:firstLine="645"/>
        <w:rPr>
          <w:rFonts w:hint="eastAsia" w:ascii="黑体" w:hAnsi="黑体" w:eastAsia="黑体" w:cs="黑体"/>
          <w:sz w:val="32"/>
          <w:szCs w:val="32"/>
        </w:rPr>
      </w:pPr>
      <w:bookmarkStart w:id="51" w:name="_Toc7879_WPSOffice_Level2"/>
      <w:bookmarkStart w:id="52" w:name="_Toc22783_WPSOffice_Level2"/>
      <w:bookmarkStart w:id="53" w:name="_Toc25166_WPSOffice_Level2"/>
      <w:bookmarkStart w:id="54" w:name="_Toc23829_WPSOffice_Level2"/>
      <w:bookmarkStart w:id="55" w:name="_Toc2158_WPSOffice_Level2"/>
      <w:bookmarkStart w:id="56" w:name="_Toc13516_WPSOffice_Level2"/>
      <w:r>
        <w:rPr>
          <w:rFonts w:hint="eastAsia" w:ascii="黑体" w:hAnsi="黑体" w:eastAsia="黑体" w:cs="黑体"/>
          <w:sz w:val="32"/>
          <w:szCs w:val="32"/>
        </w:rPr>
        <w:t>五、一般公共预算财政拨款收入支出决算</w:t>
      </w:r>
      <w:bookmarkEnd w:id="51"/>
      <w:bookmarkEnd w:id="52"/>
      <w:bookmarkEnd w:id="53"/>
      <w:bookmarkEnd w:id="54"/>
      <w:r>
        <w:rPr>
          <w:rFonts w:hint="eastAsia" w:ascii="黑体" w:hAnsi="黑体" w:eastAsia="黑体" w:cs="黑体"/>
          <w:sz w:val="32"/>
          <w:szCs w:val="32"/>
        </w:rPr>
        <w:t>公开表</w:t>
      </w:r>
      <w:bookmarkEnd w:id="55"/>
      <w:bookmarkEnd w:id="56"/>
      <w:bookmarkStart w:id="57" w:name="_Toc17283_WPSOffice_Level2"/>
      <w:bookmarkStart w:id="58" w:name="_Toc5343_WPSOffice_Level2"/>
      <w:bookmarkStart w:id="59" w:name="_Toc8373_WPSOffice_Level2"/>
      <w:bookmarkStart w:id="60" w:name="_Toc17833_WPSOffice_Level2"/>
      <w:bookmarkStart w:id="61" w:name="_Toc25362_WPSOffice_Level2"/>
      <w:bookmarkStart w:id="62" w:name="_Toc2632_WPSOffice_Level2"/>
    </w:p>
    <w:p>
      <w:pPr>
        <w:spacing w:line="578" w:lineRule="exact"/>
        <w:ind w:firstLine="645"/>
        <w:rPr>
          <w:rFonts w:hint="eastAsia" w:ascii="黑体" w:hAnsi="黑体" w:eastAsia="黑体" w:cs="黑体"/>
          <w:sz w:val="32"/>
          <w:szCs w:val="32"/>
        </w:rPr>
      </w:pPr>
      <w:r>
        <w:rPr>
          <w:rFonts w:hint="eastAsia" w:ascii="黑体" w:hAnsi="黑体" w:eastAsia="黑体" w:cs="黑体"/>
          <w:sz w:val="32"/>
          <w:szCs w:val="32"/>
        </w:rPr>
        <w:t>六、一般公共预算财政拨款基本支出决算</w:t>
      </w:r>
      <w:bookmarkEnd w:id="57"/>
      <w:bookmarkEnd w:id="58"/>
      <w:bookmarkEnd w:id="59"/>
      <w:bookmarkEnd w:id="60"/>
      <w:bookmarkEnd w:id="61"/>
      <w:bookmarkEnd w:id="62"/>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bookmarkStart w:id="63" w:name="_Toc11799_WPSOffice_Level2"/>
      <w:bookmarkStart w:id="64" w:name="_Toc13345_WPSOffice_Level2"/>
      <w:bookmarkStart w:id="65" w:name="_Toc1533_WPSOffice_Level2"/>
      <w:bookmarkStart w:id="66" w:name="_Toc5594_WPSOffice_Level2"/>
      <w:bookmarkStart w:id="67" w:name="_Toc21310_WPSOffice_Level2"/>
      <w:bookmarkStart w:id="68" w:name="_Toc6020_WPSOffice_Level2"/>
      <w:r>
        <w:rPr>
          <w:rFonts w:hint="eastAsia" w:ascii="黑体" w:hAnsi="黑体" w:eastAsia="黑体" w:cs="黑体"/>
          <w:sz w:val="32"/>
          <w:szCs w:val="32"/>
        </w:rPr>
        <w:t>七、政府性基金预算财政拨款收入支出决算</w:t>
      </w:r>
      <w:bookmarkEnd w:id="63"/>
      <w:bookmarkEnd w:id="64"/>
      <w:bookmarkEnd w:id="65"/>
      <w:bookmarkEnd w:id="66"/>
      <w:bookmarkEnd w:id="67"/>
      <w:bookmarkEnd w:id="68"/>
      <w:r>
        <w:rPr>
          <w:rFonts w:hint="eastAsia" w:ascii="黑体" w:hAnsi="黑体" w:eastAsia="黑体" w:cs="黑体"/>
          <w:sz w:val="32"/>
          <w:szCs w:val="32"/>
        </w:rPr>
        <w:t>公开表</w:t>
      </w:r>
    </w:p>
    <w:p>
      <w:pPr>
        <w:spacing w:line="578" w:lineRule="exact"/>
        <w:ind w:left="1118" w:leftChars="304" w:hanging="480" w:hangingChars="150"/>
        <w:rPr>
          <w:rFonts w:hint="eastAsia"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spacing w:line="578" w:lineRule="exact"/>
        <w:ind w:firstLine="640"/>
        <w:rPr>
          <w:rFonts w:hint="eastAsia" w:ascii="黑体" w:hAnsi="黑体" w:eastAsia="黑体" w:cs="黑体"/>
          <w:sz w:val="32"/>
          <w:szCs w:val="32"/>
        </w:rPr>
      </w:pPr>
      <w:bookmarkStart w:id="69" w:name="_Toc29886_WPSOffice_Level2"/>
      <w:bookmarkStart w:id="70" w:name="_Toc19961_WPSOffice_Level2"/>
      <w:bookmarkStart w:id="71" w:name="_Toc1820_WPSOffice_Level2"/>
      <w:bookmarkStart w:id="72" w:name="_Toc9377_WPSOffice_Level2"/>
      <w:r>
        <w:rPr>
          <w:rFonts w:hint="eastAsia" w:ascii="黑体" w:hAnsi="黑体" w:eastAsia="黑体" w:cs="黑体"/>
          <w:sz w:val="32"/>
          <w:szCs w:val="32"/>
        </w:rPr>
        <w:t>九、财政拨款“三公”经费支出决算</w:t>
      </w:r>
      <w:bookmarkEnd w:id="69"/>
      <w:bookmarkEnd w:id="70"/>
      <w:bookmarkEnd w:id="71"/>
      <w:bookmarkEnd w:id="72"/>
      <w:r>
        <w:rPr>
          <w:rFonts w:hint="eastAsia" w:ascii="黑体" w:hAnsi="黑体" w:eastAsia="黑体" w:cs="黑体"/>
          <w:sz w:val="32"/>
          <w:szCs w:val="32"/>
        </w:rPr>
        <w:t>公开表</w:t>
      </w:r>
    </w:p>
    <w:p>
      <w:pPr>
        <w:spacing w:line="578" w:lineRule="exact"/>
        <w:ind w:firstLine="640"/>
        <w:rPr>
          <w:rFonts w:hint="eastAsia" w:ascii="仿宋" w:hAnsi="仿宋" w:eastAsia="仿宋" w:cs="仿宋"/>
          <w:w w:val="100"/>
          <w:sz w:val="32"/>
          <w:szCs w:val="32"/>
        </w:rPr>
      </w:pPr>
      <w:r>
        <w:rPr>
          <w:rFonts w:hint="eastAsia" w:ascii="仿宋" w:hAnsi="仿宋" w:eastAsia="仿宋" w:cs="仿宋"/>
          <w:w w:val="100"/>
          <w:sz w:val="32"/>
          <w:szCs w:val="32"/>
        </w:rPr>
        <w:t xml:space="preserve">以上报表见附件1。   </w:t>
      </w:r>
    </w:p>
    <w:p>
      <w:pPr>
        <w:spacing w:line="578" w:lineRule="exact"/>
        <w:rPr>
          <w:rFonts w:hint="eastAsia" w:ascii="黑体" w:hAnsi="黑体" w:eastAsia="黑体" w:cs="黑体"/>
          <w:sz w:val="32"/>
          <w:szCs w:val="32"/>
        </w:rPr>
      </w:pPr>
    </w:p>
    <w:p>
      <w:pPr>
        <w:spacing w:line="578" w:lineRule="exact"/>
        <w:jc w:val="center"/>
        <w:rPr>
          <w:rFonts w:hint="eastAsia" w:ascii="黑体" w:hAnsi="ˎ̥" w:eastAsia="黑体"/>
          <w:sz w:val="32"/>
          <w:szCs w:val="32"/>
        </w:rPr>
      </w:pPr>
      <w:bookmarkStart w:id="73" w:name="_Toc27590_WPSOffice_Level1"/>
      <w:bookmarkStart w:id="74" w:name="_Toc16686_WPSOffice_Level1"/>
      <w:bookmarkStart w:id="75" w:name="_Toc31264_WPSOffice_Level1"/>
      <w:bookmarkStart w:id="76" w:name="_Toc4402_WPSOffice_Level1"/>
      <w:bookmarkStart w:id="77" w:name="_Toc28629_WPSOffice_Level1"/>
      <w:bookmarkStart w:id="78" w:name="_Toc29683_WPSOffice_Level1"/>
      <w:r>
        <w:rPr>
          <w:rFonts w:hint="eastAsia" w:ascii="黑体" w:hAnsi="ˎ̥" w:eastAsia="黑体"/>
          <w:sz w:val="32"/>
          <w:szCs w:val="32"/>
        </w:rPr>
        <w:t xml:space="preserve">第三部分  </w:t>
      </w:r>
      <w:r>
        <w:rPr>
          <w:rFonts w:hint="default" w:ascii="黑体" w:hAnsi="ˎ̥" w:eastAsia="黑体"/>
          <w:sz w:val="32"/>
          <w:szCs w:val="32"/>
          <w:lang w:val="en-US"/>
        </w:rPr>
        <w:t>2024</w:t>
      </w:r>
      <w:r>
        <w:rPr>
          <w:rFonts w:hint="eastAsia" w:ascii="黑体" w:hAnsi="ˎ̥" w:eastAsia="黑体"/>
          <w:sz w:val="32"/>
          <w:szCs w:val="32"/>
        </w:rPr>
        <w:t>年度</w:t>
      </w:r>
      <w:r>
        <w:rPr>
          <w:rFonts w:hint="eastAsia" w:ascii="黑体" w:hAnsi="ˎ̥" w:eastAsia="黑体"/>
          <w:sz w:val="32"/>
          <w:szCs w:val="32"/>
          <w:lang w:eastAsia="zh-CN"/>
        </w:rPr>
        <w:t>单位</w:t>
      </w:r>
      <w:r>
        <w:rPr>
          <w:rFonts w:hint="eastAsia" w:ascii="黑体" w:hAnsi="ˎ̥" w:eastAsia="黑体"/>
          <w:sz w:val="32"/>
          <w:szCs w:val="32"/>
        </w:rPr>
        <w:t>决算情况说明</w:t>
      </w:r>
      <w:bookmarkEnd w:id="73"/>
      <w:bookmarkEnd w:id="74"/>
      <w:bookmarkEnd w:id="75"/>
      <w:bookmarkEnd w:id="76"/>
      <w:bookmarkEnd w:id="77"/>
      <w:bookmarkEnd w:id="78"/>
    </w:p>
    <w:p>
      <w:pPr>
        <w:spacing w:line="578" w:lineRule="exact"/>
        <w:jc w:val="center"/>
        <w:rPr>
          <w:rFonts w:hint="eastAsia" w:ascii="黑体" w:hAnsi="ˎ̥" w:eastAsia="黑体"/>
          <w:sz w:val="32"/>
          <w:szCs w:val="32"/>
        </w:rPr>
      </w:pP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黑体" w:hAnsi="黑体" w:eastAsia="黑体" w:cs="黑体"/>
          <w:bCs/>
          <w:sz w:val="32"/>
          <w:szCs w:val="32"/>
        </w:rPr>
        <w:t>一、收入支出总体情况说明</w:t>
      </w:r>
      <w:r>
        <w:rPr>
          <w:rFonts w:hint="eastAsia" w:ascii="黑体" w:hAnsi="黑体" w:eastAsia="黑体" w:cs="黑体"/>
          <w:bCs/>
          <w:sz w:val="32"/>
          <w:szCs w:val="32"/>
        </w:rPr>
        <w:br w:type="textWrapping"/>
      </w:r>
      <w:r>
        <w:rPr>
          <w:rFonts w:hint="eastAsia" w:ascii="楷体_GB2312" w:hAnsi="ˎ̥" w:eastAsia="楷体_GB2312"/>
          <w:sz w:val="32"/>
          <w:szCs w:val="32"/>
        </w:rPr>
        <w:t xml:space="preserve">   </w:t>
      </w:r>
      <w:r>
        <w:rPr>
          <w:rFonts w:hint="eastAsia" w:ascii="楷体_GB2312" w:hAnsi="ˎ̥" w:eastAsia="楷体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年度收入总计</w:t>
      </w:r>
      <w:r>
        <w:rPr>
          <w:rFonts w:hint="default" w:ascii="仿宋_GB2312" w:hAnsi="ˎ̥" w:eastAsia="仿宋_GB2312"/>
          <w:color w:val="auto"/>
          <w:sz w:val="32"/>
          <w:szCs w:val="32"/>
          <w:lang w:val="en-US"/>
        </w:rPr>
        <w:t>2,060.74</w:t>
      </w:r>
      <w:r>
        <w:rPr>
          <w:rFonts w:hint="eastAsia" w:ascii="仿宋_GB2312" w:hAnsi="ˎ̥" w:eastAsia="仿宋_GB2312"/>
          <w:color w:val="auto"/>
          <w:sz w:val="32"/>
          <w:szCs w:val="32"/>
        </w:rPr>
        <w:t>万元，支出总计</w:t>
      </w:r>
      <w:r>
        <w:rPr>
          <w:rFonts w:hint="default" w:ascii="仿宋_GB2312" w:hAnsi="ˎ̥" w:eastAsia="仿宋_GB2312"/>
          <w:color w:val="auto"/>
          <w:sz w:val="32"/>
          <w:szCs w:val="32"/>
          <w:lang w:val="en-US"/>
        </w:rPr>
        <w:t>2,060.74</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年度相比，收入、支出总计各减少</w:t>
      </w:r>
      <w:r>
        <w:rPr>
          <w:rFonts w:hint="eastAsia" w:ascii="仿宋_GB2312" w:hAnsi="ˎ̥" w:eastAsia="仿宋_GB2312"/>
          <w:color w:val="auto"/>
          <w:sz w:val="32"/>
          <w:szCs w:val="32"/>
          <w:lang w:val="en-US" w:eastAsia="zh-CN"/>
        </w:rPr>
        <w:t>111.42</w:t>
      </w:r>
      <w:r>
        <w:rPr>
          <w:rFonts w:hint="eastAsia" w:ascii="仿宋_GB2312" w:hAnsi="ˎ̥" w:eastAsia="仿宋_GB2312"/>
          <w:color w:val="auto"/>
          <w:sz w:val="32"/>
          <w:szCs w:val="32"/>
        </w:rPr>
        <w:t>万元，增下降</w:t>
      </w:r>
      <w:r>
        <w:rPr>
          <w:rFonts w:hint="eastAsia" w:ascii="仿宋_GB2312" w:hAnsi="ˎ̥" w:eastAsia="仿宋_GB2312"/>
          <w:color w:val="auto"/>
          <w:sz w:val="32"/>
          <w:szCs w:val="32"/>
          <w:lang w:val="en-US" w:eastAsia="zh-CN"/>
        </w:rPr>
        <w:t>5.13</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本年度退休人员增多，收入和支出减少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楷体" w:hAnsi="楷体" w:eastAsia="楷体" w:cs="楷体"/>
          <w:color w:val="auto"/>
          <w:sz w:val="32"/>
          <w:szCs w:val="32"/>
        </w:rPr>
      </w:pPr>
      <w:r>
        <w:rPr>
          <w:rFonts w:hint="eastAsia" w:ascii="楷体" w:hAnsi="楷体" w:eastAsia="楷体" w:cs="楷体"/>
          <w:color w:val="auto"/>
          <w:sz w:val="32"/>
          <w:szCs w:val="32"/>
        </w:rPr>
        <w:t>（一</w:t>
      </w:r>
      <w:r>
        <w:rPr>
          <w:rFonts w:ascii="楷体" w:hAnsi="楷体" w:eastAsia="楷体" w:cs="楷体"/>
          <w:color w:val="auto"/>
          <w:sz w:val="32"/>
          <w:szCs w:val="32"/>
        </w:rPr>
        <w:t>）</w:t>
      </w:r>
      <w:r>
        <w:rPr>
          <w:rFonts w:hint="eastAsia" w:ascii="楷体" w:hAnsi="楷体" w:eastAsia="楷体" w:cs="楷体"/>
          <w:color w:val="auto"/>
          <w:sz w:val="32"/>
          <w:szCs w:val="32"/>
        </w:rPr>
        <w:t>收入</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本年</w:t>
      </w:r>
      <w:r>
        <w:rPr>
          <w:rFonts w:ascii="仿宋_GB2312" w:hAnsi="ˎ̥" w:eastAsia="仿宋_GB2312"/>
          <w:color w:val="auto"/>
          <w:sz w:val="32"/>
          <w:szCs w:val="32"/>
        </w:rPr>
        <w:t>收入</w:t>
      </w:r>
      <w:r>
        <w:rPr>
          <w:rFonts w:hint="default" w:ascii="仿宋_GB2312" w:hAnsi="ˎ̥" w:eastAsia="仿宋_GB2312"/>
          <w:color w:val="auto"/>
          <w:sz w:val="32"/>
          <w:szCs w:val="32"/>
          <w:lang w:val="en-US"/>
        </w:rPr>
        <w:t>2,059.32</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使用非财政拨款结余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0.01</w:t>
      </w:r>
      <w:r>
        <w:rPr>
          <w:rFonts w:hint="eastAsia" w:ascii="仿宋_GB2312" w:hAnsi="ˎ̥" w:eastAsia="仿宋_GB2312"/>
          <w:color w:val="auto"/>
          <w:sz w:val="32"/>
          <w:szCs w:val="32"/>
        </w:rPr>
        <w:t>万元，主要原因是</w:t>
      </w:r>
      <w:r>
        <w:rPr>
          <w:rFonts w:hint="eastAsia" w:ascii="仿宋_GB2312" w:hAnsi="ˎ̥" w:eastAsia="仿宋_GB2312"/>
          <w:color w:val="auto"/>
          <w:sz w:val="32"/>
          <w:szCs w:val="32"/>
          <w:lang w:eastAsia="zh-CN"/>
        </w:rPr>
        <w:t>本年度已使用此笔资金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年初结转结余</w:t>
      </w:r>
      <w:r>
        <w:rPr>
          <w:rFonts w:hint="default" w:ascii="仿宋_GB2312" w:hAnsi="ˎ̥" w:eastAsia="仿宋_GB2312"/>
          <w:color w:val="auto"/>
          <w:sz w:val="32"/>
          <w:szCs w:val="32"/>
          <w:lang w:val="en-US"/>
        </w:rPr>
        <w:t>1.43</w:t>
      </w:r>
      <w:r>
        <w:rPr>
          <w:rFonts w:hint="eastAsia" w:ascii="仿宋_GB2312" w:hAnsi="ˎ̥" w:eastAsia="仿宋_GB2312"/>
          <w:color w:val="auto"/>
          <w:sz w:val="32"/>
          <w:szCs w:val="32"/>
        </w:rPr>
        <w:t>万元，主要是</w:t>
      </w:r>
      <w:r>
        <w:rPr>
          <w:rFonts w:hint="default" w:ascii="仿宋_GB2312" w:hAnsi="ˎ̥" w:eastAsia="仿宋_GB2312" w:cs="仿宋_GB2312"/>
          <w:color w:val="auto"/>
          <w:kern w:val="0"/>
          <w:sz w:val="32"/>
          <w:szCs w:val="32"/>
        </w:rPr>
        <w:t>上年度单位资金课后服务费剩余</w:t>
      </w:r>
      <w:r>
        <w:rPr>
          <w:rFonts w:hint="eastAsia" w:ascii="仿宋_GB2312" w:hAnsi="ˎ̥" w:eastAsia="仿宋_GB2312"/>
          <w:color w:val="auto"/>
          <w:sz w:val="32"/>
          <w:szCs w:val="32"/>
        </w:rPr>
        <w:t>，较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0.57</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28.5</w:t>
      </w:r>
      <w:r>
        <w:rPr>
          <w:rFonts w:hint="eastAsia" w:ascii="仿宋_GB2312" w:hAnsi="ˎ̥" w:eastAsia="仿宋_GB2312"/>
          <w:color w:val="auto"/>
          <w:sz w:val="32"/>
          <w:szCs w:val="32"/>
        </w:rPr>
        <w:t>%，主要原因是</w:t>
      </w:r>
      <w:r>
        <w:rPr>
          <w:rFonts w:hint="eastAsia" w:ascii="仿宋_GB2312" w:hAnsi="ˎ̥" w:eastAsia="仿宋_GB2312"/>
          <w:color w:val="auto"/>
          <w:sz w:val="32"/>
          <w:szCs w:val="32"/>
          <w:lang w:eastAsia="zh-CN"/>
        </w:rPr>
        <w:t>课后服务费收入减少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lang w:eastAsia="zh-CN"/>
        </w:rPr>
      </w:pPr>
      <w:r>
        <w:rPr>
          <w:rFonts w:hint="eastAsia" w:ascii="楷体" w:hAnsi="楷体" w:eastAsia="楷体" w:cs="楷体"/>
          <w:color w:val="auto"/>
          <w:sz w:val="32"/>
          <w:szCs w:val="32"/>
        </w:rPr>
        <w:t>（二</w:t>
      </w:r>
      <w:r>
        <w:rPr>
          <w:rFonts w:ascii="楷体" w:hAnsi="楷体" w:eastAsia="楷体" w:cs="楷体"/>
          <w:color w:val="auto"/>
          <w:sz w:val="32"/>
          <w:szCs w:val="32"/>
        </w:rPr>
        <w:t>）</w:t>
      </w:r>
      <w:r>
        <w:rPr>
          <w:rFonts w:hint="eastAsia" w:ascii="楷体" w:hAnsi="楷体" w:eastAsia="楷体" w:cs="楷体"/>
          <w:color w:val="auto"/>
          <w:sz w:val="32"/>
          <w:szCs w:val="32"/>
        </w:rPr>
        <w:t>支出</w:t>
      </w:r>
      <w:r>
        <w:rPr>
          <w:rFonts w:ascii="楷体" w:hAnsi="楷体" w:eastAsia="楷体" w:cs="楷体"/>
          <w:color w:val="auto"/>
          <w:sz w:val="32"/>
          <w:szCs w:val="32"/>
        </w:rPr>
        <w:t>总计</w:t>
      </w:r>
      <w:r>
        <w:rPr>
          <w:rFonts w:hint="eastAsia" w:ascii="楷体" w:hAnsi="楷体" w:eastAsia="楷体" w:cs="楷体"/>
          <w:color w:val="auto"/>
          <w:sz w:val="32"/>
          <w:szCs w:val="32"/>
        </w:rPr>
        <w:t>主要</w:t>
      </w:r>
      <w:r>
        <w:rPr>
          <w:rFonts w:ascii="楷体" w:hAnsi="楷体" w:eastAsia="楷体" w:cs="楷体"/>
          <w:color w:val="auto"/>
          <w:sz w:val="32"/>
          <w:szCs w:val="32"/>
        </w:rPr>
        <w:t>构成</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2,059.46</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ascii="仿宋_GB2312" w:hAnsi="ˎ̥" w:eastAsia="仿宋_GB2312"/>
          <w:color w:val="auto"/>
          <w:sz w:val="32"/>
          <w:szCs w:val="32"/>
        </w:rPr>
      </w:pPr>
      <w:r>
        <w:rPr>
          <w:rFonts w:hint="eastAsia" w:ascii="仿宋_GB2312" w:hAnsi="ˎ̥" w:eastAsia="仿宋_GB2312"/>
          <w:color w:val="auto"/>
          <w:sz w:val="32"/>
          <w:szCs w:val="32"/>
        </w:rPr>
        <w:t>结余分配</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万元，较</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年度决算数减少</w:t>
      </w:r>
      <w:r>
        <w:rPr>
          <w:rFonts w:hint="eastAsia" w:ascii="仿宋_GB2312" w:hAnsi="ˎ̥" w:eastAsia="仿宋_GB2312"/>
          <w:color w:val="auto"/>
          <w:sz w:val="32"/>
          <w:szCs w:val="32"/>
          <w:lang w:val="en-US" w:eastAsia="zh-CN"/>
        </w:rPr>
        <w:t>0.01</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100</w:t>
      </w:r>
      <w:r>
        <w:rPr>
          <w:rFonts w:hint="eastAsia" w:ascii="仿宋_GB2312" w:hAnsi="ˎ̥" w:eastAsia="仿宋_GB2312"/>
          <w:color w:val="auto"/>
          <w:sz w:val="32"/>
          <w:szCs w:val="32"/>
        </w:rPr>
        <w:t>%，主要原因是</w:t>
      </w:r>
      <w:r>
        <w:rPr>
          <w:rFonts w:hint="eastAsia" w:ascii="仿宋_GB2312" w:hAnsi="ˎ̥" w:eastAsia="仿宋_GB2312" w:cs="仿宋_GB2312"/>
          <w:color w:val="auto"/>
          <w:kern w:val="0"/>
          <w:sz w:val="32"/>
          <w:szCs w:val="32"/>
          <w:lang w:eastAsia="zh-CN"/>
        </w:rPr>
        <w:t>资金已经上交国库</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年末结转结余</w:t>
      </w:r>
      <w:r>
        <w:rPr>
          <w:rFonts w:hint="default" w:ascii="仿宋_GB2312" w:hAnsi="ˎ̥" w:eastAsia="仿宋_GB2312"/>
          <w:color w:val="auto"/>
          <w:sz w:val="32"/>
          <w:szCs w:val="32"/>
          <w:lang w:val="en-US"/>
        </w:rPr>
        <w:t>1.28</w:t>
      </w:r>
      <w:r>
        <w:rPr>
          <w:rFonts w:hint="eastAsia" w:ascii="仿宋_GB2312" w:hAnsi="ˎ̥" w:eastAsia="仿宋_GB2312"/>
          <w:color w:val="auto"/>
          <w:sz w:val="32"/>
          <w:szCs w:val="32"/>
        </w:rPr>
        <w:t>万元，主要是</w:t>
      </w:r>
      <w:r>
        <w:rPr>
          <w:rFonts w:hint="default" w:ascii="仿宋_GB2312" w:hAnsi="ˎ̥" w:eastAsia="仿宋_GB2312" w:cs="仿宋_GB2312"/>
          <w:color w:val="auto"/>
          <w:kern w:val="0"/>
          <w:sz w:val="32"/>
          <w:szCs w:val="32"/>
        </w:rPr>
        <w:t>上年度单位资金课后服务费剩余</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黑体" w:hAnsi="黑体" w:eastAsia="黑体" w:cs="黑体"/>
          <w:bCs/>
          <w:color w:val="auto"/>
          <w:sz w:val="32"/>
          <w:szCs w:val="32"/>
        </w:rPr>
        <w:t>二、收入决算情况说明</w:t>
      </w:r>
      <w:r>
        <w:rPr>
          <w:rFonts w:hint="eastAsia" w:ascii="黑体" w:hAnsi="黑体" w:eastAsia="黑体" w:cs="黑体"/>
          <w:bCs/>
          <w:color w:val="auto"/>
          <w:sz w:val="32"/>
          <w:szCs w:val="32"/>
        </w:rPr>
        <w:br w:type="textWrapping"/>
      </w:r>
      <w:r>
        <w:rPr>
          <w:rFonts w:hint="eastAsia" w:ascii="仿宋_GB2312" w:hAnsi="ˎ̥" w:eastAsia="仿宋_GB2312"/>
          <w:color w:val="auto"/>
          <w:sz w:val="32"/>
          <w:szCs w:val="32"/>
        </w:rPr>
        <w:t xml:space="preserve">    本年收入</w:t>
      </w:r>
      <w:r>
        <w:rPr>
          <w:rFonts w:hint="default" w:ascii="仿宋_GB2312" w:hAnsi="ˎ̥" w:eastAsia="仿宋_GB2312"/>
          <w:color w:val="auto"/>
          <w:sz w:val="32"/>
          <w:szCs w:val="32"/>
          <w:lang w:val="en-US"/>
        </w:rPr>
        <w:t>2,059.32</w:t>
      </w:r>
      <w:r>
        <w:rPr>
          <w:rFonts w:hint="eastAsia" w:ascii="仿宋_GB2312" w:hAnsi="ˎ̥" w:eastAsia="仿宋_GB2312"/>
          <w:color w:val="auto"/>
          <w:sz w:val="32"/>
          <w:szCs w:val="32"/>
        </w:rPr>
        <w:t>万元，其中：财政拨款收入</w:t>
      </w:r>
      <w:r>
        <w:rPr>
          <w:rFonts w:hint="default" w:ascii="仿宋_GB2312" w:hAnsi="ˎ̥" w:eastAsia="仿宋_GB2312"/>
          <w:color w:val="auto"/>
          <w:sz w:val="32"/>
          <w:szCs w:val="32"/>
          <w:lang w:val="en-US"/>
        </w:rPr>
        <w:t>2,020.58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98.12</w:t>
      </w:r>
      <w:r>
        <w:rPr>
          <w:rFonts w:hint="eastAsia" w:ascii="仿宋_GB2312" w:hAnsi="ˎ̥" w:eastAsia="仿宋_GB2312"/>
          <w:color w:val="auto"/>
          <w:sz w:val="32"/>
          <w:szCs w:val="32"/>
        </w:rPr>
        <w:t>%；上级补助收入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%；事业收入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%；附属单位上缴收入</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%；其他收入</w:t>
      </w:r>
      <w:r>
        <w:rPr>
          <w:rFonts w:hint="default" w:ascii="仿宋_GB2312" w:hAnsi="ˎ̥" w:eastAsia="仿宋_GB2312"/>
          <w:color w:val="auto"/>
          <w:sz w:val="32"/>
          <w:szCs w:val="32"/>
          <w:lang w:val="en-US"/>
        </w:rPr>
        <w:t>38.74</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1.88</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三、支出决算情况说明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本年支出</w:t>
      </w:r>
      <w:r>
        <w:rPr>
          <w:rFonts w:hint="default" w:ascii="仿宋_GB2312" w:hAnsi="ˎ̥" w:eastAsia="仿宋_GB2312"/>
          <w:color w:val="auto"/>
          <w:sz w:val="32"/>
          <w:szCs w:val="32"/>
          <w:lang w:val="en-US"/>
        </w:rPr>
        <w:t>2,059.46</w:t>
      </w:r>
      <w:r>
        <w:rPr>
          <w:rFonts w:hint="eastAsia" w:ascii="仿宋_GB2312" w:hAnsi="ˎ̥" w:eastAsia="仿宋_GB2312"/>
          <w:color w:val="auto"/>
          <w:sz w:val="32"/>
          <w:szCs w:val="32"/>
        </w:rPr>
        <w:t>万元，其中：基本支出</w:t>
      </w:r>
      <w:r>
        <w:rPr>
          <w:rFonts w:hint="default" w:ascii="仿宋_GB2312" w:hAnsi="ˎ̥" w:eastAsia="仿宋_GB2312"/>
          <w:color w:val="auto"/>
          <w:sz w:val="32"/>
          <w:szCs w:val="32"/>
          <w:lang w:val="en-US"/>
        </w:rPr>
        <w:t>1,894.67</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92</w:t>
      </w:r>
      <w:r>
        <w:rPr>
          <w:rFonts w:hint="eastAsia" w:ascii="仿宋_GB2312" w:hAnsi="ˎ̥" w:eastAsia="仿宋_GB2312"/>
          <w:color w:val="auto"/>
          <w:sz w:val="32"/>
          <w:szCs w:val="32"/>
        </w:rPr>
        <w:t>%；项目支出</w:t>
      </w:r>
      <w:r>
        <w:rPr>
          <w:rFonts w:hint="default" w:ascii="仿宋_GB2312" w:hAnsi="ˎ̥" w:eastAsia="仿宋_GB2312"/>
          <w:color w:val="auto"/>
          <w:sz w:val="32"/>
          <w:szCs w:val="32"/>
          <w:lang w:val="en-US"/>
        </w:rPr>
        <w:t>164.79</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8</w:t>
      </w:r>
      <w:r>
        <w:rPr>
          <w:rFonts w:hint="eastAsia" w:ascii="仿宋_GB2312" w:hAnsi="ˎ̥" w:eastAsia="仿宋_GB2312"/>
          <w:color w:val="auto"/>
          <w:sz w:val="32"/>
          <w:szCs w:val="32"/>
        </w:rPr>
        <w:t>%；上缴上级支出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%；经营支出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%；对附属单位补助支出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四、财政拨款收入支出决算总体情况说明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年度财政拨款收入</w:t>
      </w:r>
      <w:r>
        <w:rPr>
          <w:rFonts w:hint="default" w:ascii="仿宋_GB2312" w:hAnsi="ˎ̥" w:eastAsia="仿宋_GB2312"/>
          <w:color w:val="auto"/>
          <w:sz w:val="32"/>
          <w:szCs w:val="32"/>
          <w:lang w:val="en-US"/>
        </w:rPr>
        <w:t>2,020.58</w:t>
      </w:r>
      <w:r>
        <w:rPr>
          <w:rFonts w:hint="eastAsia" w:ascii="仿宋_GB2312" w:hAnsi="ˎ̥" w:eastAsia="仿宋_GB2312"/>
          <w:color w:val="auto"/>
          <w:sz w:val="32"/>
          <w:szCs w:val="32"/>
        </w:rPr>
        <w:t>万元，支出</w:t>
      </w:r>
      <w:r>
        <w:rPr>
          <w:rFonts w:hint="default" w:ascii="仿宋_GB2312" w:hAnsi="ˎ̥" w:eastAsia="仿宋_GB2312"/>
          <w:color w:val="auto"/>
          <w:sz w:val="32"/>
          <w:szCs w:val="32"/>
          <w:lang w:val="en-US"/>
        </w:rPr>
        <w:t>2,020.58</w:t>
      </w:r>
      <w:r>
        <w:rPr>
          <w:rFonts w:hint="eastAsia" w:ascii="仿宋_GB2312" w:hAnsi="ˎ̥" w:eastAsia="仿宋_GB2312"/>
          <w:color w:val="auto"/>
          <w:sz w:val="32"/>
          <w:szCs w:val="32"/>
        </w:rPr>
        <w:t>万元。与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年度相比，财政拨款收入减少</w:t>
      </w:r>
      <w:r>
        <w:rPr>
          <w:rFonts w:hint="eastAsia" w:ascii="仿宋_GB2312" w:hAnsi="ˎ̥" w:eastAsia="仿宋_GB2312"/>
          <w:color w:val="auto"/>
          <w:sz w:val="32"/>
          <w:szCs w:val="32"/>
          <w:lang w:val="en-US" w:eastAsia="zh-CN"/>
        </w:rPr>
        <w:t>151.58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6.98</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本年度退休人员增多，收入减少</w:t>
      </w:r>
      <w:r>
        <w:rPr>
          <w:rFonts w:hint="eastAsia" w:ascii="仿宋_GB2312" w:hAnsi="ˎ̥" w:eastAsia="仿宋_GB2312"/>
          <w:color w:val="auto"/>
          <w:sz w:val="32"/>
          <w:szCs w:val="32"/>
        </w:rPr>
        <w:t>。支出减少</w:t>
      </w:r>
      <w:r>
        <w:rPr>
          <w:rFonts w:hint="eastAsia" w:ascii="仿宋_GB2312" w:hAnsi="ˎ̥" w:eastAsia="仿宋_GB2312"/>
          <w:color w:val="auto"/>
          <w:sz w:val="32"/>
          <w:szCs w:val="32"/>
          <w:lang w:val="en-US" w:eastAsia="zh-CN"/>
        </w:rPr>
        <w:t>151.58</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6.98</w:t>
      </w:r>
      <w:r>
        <w:rPr>
          <w:rFonts w:hint="eastAsia" w:ascii="仿宋_GB2312" w:hAnsi="ˎ̥" w:eastAsia="仿宋_GB2312"/>
          <w:color w:val="auto"/>
          <w:sz w:val="32"/>
          <w:szCs w:val="32"/>
        </w:rPr>
        <w:t>%，主要原因：</w:t>
      </w:r>
      <w:r>
        <w:rPr>
          <w:rFonts w:hint="eastAsia" w:ascii="仿宋_GB2312" w:hAnsi="ˎ̥" w:eastAsia="仿宋_GB2312"/>
          <w:color w:val="auto"/>
          <w:sz w:val="32"/>
          <w:szCs w:val="32"/>
          <w:lang w:eastAsia="zh-CN"/>
        </w:rPr>
        <w:t>本年度退休人员增多，支出减少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财政拨款年初结转结余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财政拨款年末结转结余</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年度决算数</w:t>
      </w:r>
      <w:r>
        <w:rPr>
          <w:rFonts w:hint="eastAsia" w:ascii="仿宋_GB2312" w:hAnsi="ˎ̥" w:eastAsia="仿宋_GB2312"/>
          <w:color w:val="auto"/>
          <w:sz w:val="32"/>
          <w:szCs w:val="32"/>
          <w:lang w:eastAsia="zh-CN"/>
        </w:rPr>
        <w:t>持平</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五、一般公共预算财政拨款支出决算情况说明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79" w:name="_Toc19665_WPSOffice_Level2"/>
      <w:bookmarkStart w:id="80" w:name="_Toc23005_WPSOffice_Level2"/>
      <w:bookmarkStart w:id="81" w:name="_Toc9989_WPSOffice_Level2"/>
      <w:bookmarkStart w:id="82" w:name="_Toc17398_WPSOffice_Level2"/>
      <w:bookmarkStart w:id="83" w:name="_Toc21737_WPSOffice_Level2"/>
      <w:bookmarkStart w:id="84" w:name="_Toc13694_WPSOffice_Level2"/>
      <w:r>
        <w:rPr>
          <w:rFonts w:hint="eastAsia" w:ascii="楷体" w:hAnsi="楷体" w:eastAsia="楷体" w:cs="楷体"/>
          <w:color w:val="auto"/>
          <w:sz w:val="32"/>
          <w:szCs w:val="32"/>
        </w:rPr>
        <w:t>（一）一般公共预算财政拨款支出决算总体情况</w:t>
      </w:r>
      <w:bookmarkEnd w:id="79"/>
      <w:bookmarkEnd w:id="80"/>
      <w:bookmarkEnd w:id="81"/>
      <w:bookmarkEnd w:id="82"/>
      <w:bookmarkEnd w:id="83"/>
      <w:bookmarkEnd w:id="8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2,020.58</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98.05</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年度相比，一般公共预算财政拨款支出减少</w:t>
      </w:r>
      <w:r>
        <w:rPr>
          <w:rFonts w:hint="eastAsia" w:ascii="仿宋_GB2312" w:hAnsi="ˎ̥" w:eastAsia="仿宋_GB2312"/>
          <w:color w:val="auto"/>
          <w:sz w:val="32"/>
          <w:szCs w:val="32"/>
          <w:lang w:val="en-US" w:eastAsia="zh-CN"/>
        </w:rPr>
        <w:t>119.93</w:t>
      </w:r>
      <w:r>
        <w:rPr>
          <w:rFonts w:hint="eastAsia" w:ascii="仿宋_GB2312" w:hAnsi="ˎ̥" w:eastAsia="仿宋_GB2312"/>
          <w:color w:val="auto"/>
          <w:sz w:val="32"/>
          <w:szCs w:val="32"/>
        </w:rPr>
        <w:t>万元，下降</w:t>
      </w:r>
      <w:r>
        <w:rPr>
          <w:rFonts w:hint="eastAsia" w:ascii="仿宋_GB2312" w:hAnsi="ˎ̥" w:eastAsia="仿宋_GB2312"/>
          <w:color w:val="auto"/>
          <w:sz w:val="32"/>
          <w:szCs w:val="32"/>
          <w:lang w:val="en-US" w:eastAsia="zh-CN"/>
        </w:rPr>
        <w:t>5.6</w:t>
      </w:r>
      <w:r>
        <w:rPr>
          <w:rFonts w:hint="eastAsia" w:ascii="仿宋_GB2312" w:hAnsi="ˎ̥" w:eastAsia="仿宋_GB2312"/>
          <w:color w:val="auto"/>
          <w:sz w:val="32"/>
          <w:szCs w:val="32"/>
        </w:rPr>
        <w:t>%，主要原因是</w:t>
      </w:r>
      <w:bookmarkStart w:id="85" w:name="_Toc19075_WPSOffice_Level2"/>
      <w:bookmarkStart w:id="86" w:name="_Toc27767_WPSOffice_Level2"/>
      <w:bookmarkStart w:id="87" w:name="_Toc23864_WPSOffice_Level2"/>
      <w:bookmarkStart w:id="88" w:name="_Toc2711_WPSOffice_Level2"/>
      <w:bookmarkStart w:id="89" w:name="_Toc19535_WPSOffice_Level2"/>
      <w:bookmarkStart w:id="90" w:name="_Toc18793_WPSOffice_Level2"/>
      <w:r>
        <w:rPr>
          <w:rFonts w:hint="eastAsia" w:ascii="仿宋_GB2312" w:hAnsi="ˎ̥" w:eastAsia="仿宋_GB2312"/>
          <w:color w:val="auto"/>
          <w:sz w:val="32"/>
          <w:szCs w:val="32"/>
          <w:lang w:eastAsia="zh-CN"/>
        </w:rPr>
        <w:t>本年度退休人员增多，支出减少</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（二）一般公共预算财政拨款支出决算结构情况</w:t>
      </w:r>
      <w:bookmarkEnd w:id="85"/>
      <w:bookmarkEnd w:id="86"/>
      <w:bookmarkEnd w:id="87"/>
      <w:bookmarkEnd w:id="88"/>
      <w:bookmarkEnd w:id="89"/>
      <w:bookmarkEnd w:id="90"/>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w:t>
      </w:r>
      <w:r>
        <w:rPr>
          <w:rFonts w:hint="default" w:ascii="仿宋_GB2312" w:hAnsi="ˎ̥" w:eastAsia="仿宋_GB2312"/>
          <w:color w:val="auto"/>
          <w:sz w:val="32"/>
          <w:szCs w:val="32"/>
          <w:lang w:val="en-US"/>
        </w:rPr>
        <w:t>2,020.58</w:t>
      </w:r>
      <w:r>
        <w:rPr>
          <w:rFonts w:hint="eastAsia" w:ascii="仿宋_GB2312" w:hAnsi="ˎ̥" w:eastAsia="仿宋_GB2312"/>
          <w:color w:val="auto"/>
          <w:sz w:val="32"/>
          <w:szCs w:val="32"/>
        </w:rPr>
        <w:t>万元，主要用于以下方面：</w:t>
      </w:r>
      <w:r>
        <w:rPr>
          <w:rFonts w:hint="eastAsia" w:ascii="仿宋_GB2312" w:hAnsi="ˎ̥" w:eastAsia="仿宋_GB2312"/>
          <w:b/>
          <w:color w:val="auto"/>
          <w:sz w:val="32"/>
          <w:szCs w:val="32"/>
        </w:rPr>
        <w:t>一般公共服务（类）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1.18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0.06</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color="auto" w:fill="FFFFFF"/>
        </w:rPr>
        <w:t>教育支出（类）</w:t>
      </w:r>
      <w:r>
        <w:rPr>
          <w:rFonts w:hint="default" w:ascii="仿宋_GB2312" w:hAnsi="ˎ̥" w:eastAsia="仿宋_GB2312" w:cs="仿宋_GB2312"/>
          <w:color w:val="auto"/>
          <w:kern w:val="0"/>
          <w:sz w:val="32"/>
          <w:szCs w:val="32"/>
          <w:shd w:val="clear" w:color="auto" w:fill="FFFFFF"/>
        </w:rPr>
        <w:t>支出</w:t>
      </w:r>
      <w:r>
        <w:rPr>
          <w:rFonts w:hint="eastAsia" w:ascii="仿宋_GB2312" w:hAnsi="ˎ̥" w:eastAsia="仿宋_GB2312" w:cs="仿宋_GB2312"/>
          <w:color w:val="auto"/>
          <w:kern w:val="0"/>
          <w:sz w:val="32"/>
          <w:szCs w:val="32"/>
          <w:shd w:val="clear" w:color="auto" w:fill="FFFFFF"/>
          <w:lang w:val="en-US" w:eastAsia="zh-CN"/>
        </w:rPr>
        <w:t>1322.03</w:t>
      </w:r>
      <w:r>
        <w:rPr>
          <w:rFonts w:hint="default" w:ascii="仿宋_GB2312" w:hAnsi="ˎ̥" w:eastAsia="仿宋_GB2312" w:cs="仿宋_GB2312"/>
          <w:color w:val="auto"/>
          <w:kern w:val="0"/>
          <w:sz w:val="32"/>
          <w:szCs w:val="32"/>
          <w:shd w:val="clear" w:color="auto" w:fill="FFFFFF"/>
        </w:rPr>
        <w:t>万元；</w:t>
      </w:r>
      <w:r>
        <w:rPr>
          <w:rFonts w:hint="default" w:ascii="仿宋_GB2312" w:hAnsi="ˎ̥" w:eastAsia="仿宋_GB2312" w:cs="仿宋_GB2312"/>
          <w:color w:val="auto"/>
          <w:kern w:val="0"/>
          <w:sz w:val="32"/>
          <w:szCs w:val="32"/>
        </w:rPr>
        <w:t>占</w:t>
      </w:r>
      <w:r>
        <w:rPr>
          <w:rFonts w:hint="eastAsia" w:ascii="仿宋_GB2312" w:hAnsi="ˎ̥" w:eastAsia="仿宋_GB2312" w:cs="仿宋_GB2312"/>
          <w:color w:val="auto"/>
          <w:kern w:val="0"/>
          <w:sz w:val="32"/>
          <w:szCs w:val="32"/>
          <w:lang w:val="en-US" w:eastAsia="zh-CN"/>
        </w:rPr>
        <w:t>65.43</w:t>
      </w:r>
      <w:r>
        <w:rPr>
          <w:rFonts w:hint="default" w:ascii="仿宋_GB2312" w:hAnsi="ˎ̥" w:eastAsia="仿宋_GB2312" w:cs="仿宋_GB2312"/>
          <w:color w:val="auto"/>
          <w:kern w:val="0"/>
          <w:sz w:val="32"/>
          <w:szCs w:val="32"/>
        </w:rPr>
        <w:t>%；</w:t>
      </w:r>
      <w:r>
        <w:rPr>
          <w:rFonts w:hint="eastAsia" w:ascii="仿宋_GB2312" w:hAnsi="ˎ̥" w:eastAsia="仿宋_GB2312"/>
          <w:b/>
          <w:color w:val="auto"/>
          <w:sz w:val="32"/>
          <w:szCs w:val="32"/>
        </w:rPr>
        <w:t>社会保障和就业（类）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313.12</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15.5</w:t>
      </w:r>
      <w:r>
        <w:rPr>
          <w:rFonts w:hint="eastAsia" w:ascii="仿宋_GB2312" w:hAnsi="ˎ̥" w:eastAsia="仿宋_GB2312"/>
          <w:color w:val="auto"/>
          <w:sz w:val="32"/>
          <w:szCs w:val="32"/>
        </w:rPr>
        <w:t>%；</w:t>
      </w:r>
      <w:r>
        <w:rPr>
          <w:rFonts w:hint="default" w:ascii="仿宋_GB2312" w:hAnsi="ˎ̥" w:eastAsia="仿宋_GB2312" w:cs="仿宋_GB2312"/>
          <w:b/>
          <w:bCs/>
          <w:color w:val="auto"/>
          <w:kern w:val="0"/>
          <w:sz w:val="32"/>
          <w:szCs w:val="32"/>
          <w:shd w:val="clear" w:color="auto" w:fill="FFFFFF"/>
        </w:rPr>
        <w:t>卫生健康（类）</w:t>
      </w:r>
      <w:r>
        <w:rPr>
          <w:rFonts w:hint="default" w:ascii="仿宋_GB2312" w:hAnsi="ˎ̥" w:eastAsia="仿宋_GB2312" w:cs="仿宋_GB2312"/>
          <w:color w:val="auto"/>
          <w:kern w:val="0"/>
          <w:sz w:val="32"/>
          <w:szCs w:val="32"/>
          <w:shd w:val="clear" w:color="auto" w:fill="FFFFFF"/>
        </w:rPr>
        <w:t>支出支出</w:t>
      </w:r>
      <w:r>
        <w:rPr>
          <w:rFonts w:hint="eastAsia" w:ascii="仿宋_GB2312" w:hAnsi="ˎ̥" w:eastAsia="仿宋_GB2312" w:cs="仿宋_GB2312"/>
          <w:color w:val="auto"/>
          <w:kern w:val="0"/>
          <w:sz w:val="32"/>
          <w:szCs w:val="32"/>
          <w:shd w:val="clear" w:color="auto" w:fill="FFFFFF"/>
          <w:lang w:val="en-US" w:eastAsia="zh-CN"/>
        </w:rPr>
        <w:t>261.66</w:t>
      </w:r>
      <w:r>
        <w:rPr>
          <w:rFonts w:hint="default" w:ascii="仿宋_GB2312" w:hAnsi="ˎ̥" w:eastAsia="仿宋_GB2312" w:cs="仿宋_GB2312"/>
          <w:color w:val="auto"/>
          <w:kern w:val="0"/>
          <w:sz w:val="32"/>
          <w:szCs w:val="32"/>
          <w:shd w:val="clear" w:color="auto" w:fill="FFFFFF"/>
        </w:rPr>
        <w:t>万元，占</w:t>
      </w:r>
      <w:r>
        <w:rPr>
          <w:rFonts w:hint="eastAsia" w:ascii="仿宋_GB2312" w:hAnsi="ˎ̥" w:eastAsia="仿宋_GB2312" w:cs="仿宋_GB2312"/>
          <w:color w:val="auto"/>
          <w:kern w:val="0"/>
          <w:sz w:val="32"/>
          <w:szCs w:val="32"/>
          <w:shd w:val="clear" w:color="auto" w:fill="FFFFFF"/>
          <w:lang w:val="en-US" w:eastAsia="zh-CN"/>
        </w:rPr>
        <w:t>12.95</w:t>
      </w:r>
      <w:r>
        <w:rPr>
          <w:rFonts w:hint="default" w:ascii="仿宋_GB2312" w:hAnsi="ˎ̥" w:eastAsia="仿宋_GB2312" w:cs="仿宋_GB2312"/>
          <w:color w:val="auto"/>
          <w:kern w:val="0"/>
          <w:sz w:val="32"/>
          <w:szCs w:val="32"/>
          <w:shd w:val="clear" w:color="auto" w:fill="FFFFFF"/>
        </w:rPr>
        <w:t>%；</w:t>
      </w:r>
      <w:r>
        <w:rPr>
          <w:rFonts w:hint="eastAsia" w:ascii="仿宋_GB2312" w:hAnsi="ˎ̥" w:eastAsia="仿宋_GB2312"/>
          <w:b/>
          <w:bCs/>
          <w:color w:val="auto"/>
          <w:sz w:val="32"/>
          <w:szCs w:val="32"/>
        </w:rPr>
        <w:t>住房保障（类）</w:t>
      </w:r>
      <w:r>
        <w:rPr>
          <w:rFonts w:hint="eastAsia" w:ascii="仿宋_GB2312" w:hAnsi="ˎ̥" w:eastAsia="仿宋_GB2312"/>
          <w:color w:val="auto"/>
          <w:sz w:val="32"/>
          <w:szCs w:val="32"/>
        </w:rPr>
        <w:t>支出</w:t>
      </w:r>
      <w:r>
        <w:rPr>
          <w:rFonts w:hint="eastAsia" w:ascii="仿宋_GB2312" w:hAnsi="ˎ̥" w:eastAsia="仿宋_GB2312"/>
          <w:color w:val="auto"/>
          <w:sz w:val="32"/>
          <w:szCs w:val="32"/>
          <w:lang w:val="en-US" w:eastAsia="zh-CN"/>
        </w:rPr>
        <w:t>122.58</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6.07</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bookmarkStart w:id="91" w:name="_Toc25136_WPSOffice_Level2"/>
      <w:bookmarkStart w:id="92" w:name="_Toc15415_WPSOffice_Level2"/>
      <w:bookmarkStart w:id="93" w:name="_Toc29364_WPSOffice_Level2"/>
      <w:bookmarkStart w:id="94" w:name="_Toc22318_WPSOffice_Level2"/>
      <w:bookmarkStart w:id="95" w:name="_Toc9502_WPSOffice_Level2"/>
      <w:bookmarkStart w:id="96" w:name="_Toc21701_WPSOffice_Level2"/>
      <w:r>
        <w:rPr>
          <w:rFonts w:hint="eastAsia" w:ascii="楷体" w:hAnsi="楷体" w:eastAsia="楷体" w:cs="楷体"/>
          <w:color w:val="auto"/>
          <w:sz w:val="32"/>
          <w:szCs w:val="32"/>
        </w:rPr>
        <w:t>（三）一般公共预算财政拨款支出决算具体情况</w:t>
      </w:r>
      <w:bookmarkEnd w:id="91"/>
      <w:bookmarkEnd w:id="92"/>
      <w:bookmarkEnd w:id="93"/>
      <w:bookmarkEnd w:id="94"/>
      <w:bookmarkEnd w:id="95"/>
      <w:bookmarkEnd w:id="96"/>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年度一般公共预算财政拨款支出年初预算为</w:t>
      </w:r>
      <w:r>
        <w:rPr>
          <w:rFonts w:hint="eastAsia" w:ascii="仿宋_GB2312" w:hAnsi="ˎ̥" w:eastAsia="仿宋_GB2312"/>
          <w:color w:val="auto"/>
          <w:sz w:val="32"/>
          <w:szCs w:val="32"/>
          <w:lang w:val="en-US" w:eastAsia="zh-CN"/>
        </w:rPr>
        <w:t>2004.33</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2,020.58</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100.81</w:t>
      </w:r>
      <w:r>
        <w:rPr>
          <w:rFonts w:hint="eastAsia" w:ascii="仿宋_GB2312" w:hAnsi="ˎ̥" w:eastAsia="仿宋_GB2312"/>
          <w:color w:val="auto"/>
          <w:sz w:val="32"/>
          <w:szCs w:val="32"/>
        </w:rPr>
        <w:t>%。其中：</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eastAsia" w:ascii="仿宋_GB2312" w:hAnsi="ˎ̥" w:eastAsia="仿宋_GB2312"/>
          <w:color w:val="auto"/>
          <w:sz w:val="32"/>
          <w:szCs w:val="32"/>
        </w:rPr>
        <w:t>1.</w:t>
      </w:r>
      <w:r>
        <w:rPr>
          <w:rFonts w:hint="eastAsia" w:ascii="仿宋_GB2312" w:hAnsi="ˎ̥" w:eastAsia="仿宋_GB2312"/>
          <w:b/>
          <w:color w:val="auto"/>
          <w:sz w:val="32"/>
          <w:szCs w:val="32"/>
        </w:rPr>
        <w:t>一般公共服务（类）人大事务（款）行政运行（项）。</w:t>
      </w:r>
    </w:p>
    <w:p>
      <w:pPr>
        <w:keepNext w:val="0"/>
        <w:keepLines w:val="0"/>
        <w:widowControl/>
        <w:suppressLineNumbers w:val="0"/>
        <w:spacing w:before="0" w:beforeAutospacing="0" w:after="100" w:afterAutospacing="1"/>
        <w:ind w:left="0" w:right="0" w:firstLine="640" w:firstLineChars="200"/>
        <w:jc w:val="left"/>
        <w:rPr>
          <w:rFonts w:hint="eastAsia" w:ascii="仿宋_GB2312" w:hAnsi="ˎ̥" w:eastAsia="仿宋_GB2312"/>
          <w:color w:val="auto"/>
          <w:sz w:val="32"/>
          <w:szCs w:val="32"/>
        </w:rPr>
      </w:pPr>
      <w:r>
        <w:rPr>
          <w:rFonts w:hint="eastAsia" w:ascii="仿宋_GB2312" w:hAnsi="ˎ̥" w:eastAsia="仿宋_GB2312"/>
          <w:color w:val="auto"/>
          <w:sz w:val="32"/>
          <w:szCs w:val="32"/>
          <w:lang w:val="en-US" w:eastAsia="zh-CN"/>
        </w:rPr>
        <w:t>1.</w:t>
      </w:r>
      <w:r>
        <w:rPr>
          <w:rFonts w:hint="eastAsia" w:ascii="仿宋_GB2312" w:hAnsi="ˎ̥" w:eastAsia="仿宋_GB2312"/>
          <w:color w:val="auto"/>
          <w:sz w:val="32"/>
          <w:szCs w:val="32"/>
        </w:rPr>
        <w:t>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1.18</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本项目年初未安排预算，为新增开支事项</w:t>
      </w:r>
      <w:r>
        <w:rPr>
          <w:rFonts w:hint="eastAsia" w:ascii="仿宋_GB2312" w:hAnsi="ˎ̥" w:eastAsia="仿宋_GB2312"/>
          <w:color w:val="auto"/>
          <w:sz w:val="32"/>
          <w:szCs w:val="32"/>
        </w:rPr>
        <w:t>。</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b w:val="0"/>
          <w:bCs w:val="0"/>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2.</w:t>
      </w:r>
      <w:r>
        <w:rPr>
          <w:rFonts w:hint="default" w:ascii="仿宋_GB2312" w:hAnsi="ˎ̥" w:eastAsia="仿宋_GB2312" w:cs="仿宋_GB2312"/>
          <w:b w:val="0"/>
          <w:bCs w:val="0"/>
          <w:color w:val="auto"/>
          <w:kern w:val="0"/>
          <w:sz w:val="32"/>
          <w:szCs w:val="32"/>
          <w:shd w:val="clear" w:color="auto" w:fill="FFFFFF"/>
        </w:rPr>
        <w:t>教育支出（类）普通教育（款）初中教育（项）</w:t>
      </w:r>
    </w:p>
    <w:p>
      <w:pPr>
        <w:keepNext w:val="0"/>
        <w:keepLines w:val="0"/>
        <w:widowControl/>
        <w:suppressLineNumbers w:val="0"/>
        <w:spacing w:before="0" w:beforeAutospacing="0" w:after="100" w:afterAutospacing="1"/>
        <w:ind w:left="0" w:right="0" w:firstLine="640" w:firstLineChars="200"/>
        <w:jc w:val="left"/>
        <w:rPr>
          <w:rFonts w:hint="default" w:ascii="仿宋_GB2312" w:hAnsi="ˎ̥" w:eastAsia="仿宋_GB2312" w:cs="仿宋_GB2312"/>
          <w:color w:val="auto"/>
          <w:kern w:val="0"/>
          <w:sz w:val="32"/>
          <w:szCs w:val="32"/>
          <w:shd w:val="clear" w:color="auto" w:fill="FFFFFF"/>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1344.45</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1322.03</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98.33</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default" w:ascii="仿宋_GB2312" w:hAnsi="ˎ̥" w:eastAsia="仿宋_GB2312" w:cs="仿宋_GB2312"/>
          <w:color w:val="auto"/>
          <w:kern w:val="0"/>
          <w:sz w:val="32"/>
          <w:szCs w:val="32"/>
          <w:shd w:val="clear" w:color="auto" w:fill="FFFFFF"/>
        </w:rPr>
        <w:t>于预算数的主要原</w:t>
      </w:r>
      <w:r>
        <w:rPr>
          <w:rFonts w:hint="default" w:ascii="仿宋_GB2312" w:hAnsi="ˎ̥" w:eastAsia="仿宋_GB2312" w:cs="仿宋_GB2312"/>
          <w:color w:val="auto"/>
          <w:kern w:val="0"/>
          <w:sz w:val="32"/>
          <w:szCs w:val="32"/>
        </w:rPr>
        <w:t>因：</w:t>
      </w:r>
      <w:r>
        <w:rPr>
          <w:rFonts w:hint="eastAsia" w:ascii="仿宋_GB2312" w:hAnsi="ˎ̥" w:eastAsia="仿宋_GB2312" w:cs="仿宋_GB2312"/>
          <w:color w:val="auto"/>
          <w:kern w:val="0"/>
          <w:sz w:val="32"/>
          <w:szCs w:val="32"/>
          <w:lang w:eastAsia="zh-CN"/>
        </w:rPr>
        <w:t>本年度</w:t>
      </w:r>
      <w:r>
        <w:rPr>
          <w:rFonts w:hint="default" w:ascii="仿宋_GB2312" w:hAnsi="ˎ̥" w:eastAsia="仿宋_GB2312" w:cs="仿宋_GB2312"/>
          <w:color w:val="auto"/>
          <w:kern w:val="0"/>
          <w:sz w:val="32"/>
          <w:szCs w:val="32"/>
        </w:rPr>
        <w:t>退休</w:t>
      </w:r>
      <w:r>
        <w:rPr>
          <w:rFonts w:hint="default" w:ascii="仿宋_GB2312" w:hAnsi="宋体" w:eastAsia="仿宋_GB2312" w:cs="仿宋_GB2312"/>
          <w:color w:val="auto"/>
          <w:kern w:val="0"/>
          <w:sz w:val="32"/>
          <w:szCs w:val="32"/>
        </w:rPr>
        <w:t>老师增加与学生人数减少</w:t>
      </w:r>
      <w:r>
        <w:rPr>
          <w:rFonts w:hint="eastAsia" w:ascii="仿宋_GB2312" w:hAnsi="宋体" w:eastAsia="仿宋_GB2312" w:cs="仿宋_GB2312"/>
          <w:color w:val="auto"/>
          <w:kern w:val="0"/>
          <w:sz w:val="32"/>
          <w:szCs w:val="32"/>
          <w:lang w:eastAsia="zh-CN"/>
        </w:rPr>
        <w:t>，经费减少</w:t>
      </w:r>
      <w:r>
        <w:rPr>
          <w:rFonts w:hint="default" w:ascii="仿宋_GB2312" w:hAnsi="ˎ̥" w:eastAsia="仿宋_GB2312" w:cs="仿宋_GB2312"/>
          <w:color w:val="auto"/>
          <w:kern w:val="0"/>
          <w:sz w:val="32"/>
          <w:szCs w:val="32"/>
        </w:rPr>
        <w:t>。</w:t>
      </w:r>
    </w:p>
    <w:p>
      <w:pPr>
        <w:keepNext w:val="0"/>
        <w:keepLines w:val="0"/>
        <w:widowControl/>
        <w:suppressLineNumbers w:val="0"/>
        <w:spacing w:before="0" w:beforeAutospacing="0" w:after="100" w:afterAutospacing="1"/>
        <w:ind w:left="0" w:leftChars="0" w:right="0" w:rightChars="0" w:firstLine="320" w:firstLineChars="100"/>
        <w:jc w:val="left"/>
        <w:rPr>
          <w:rFonts w:hint="default" w:ascii="仿宋_GB2312" w:hAnsi="ˎ̥" w:eastAsia="仿宋_GB2312" w:cs="仿宋_GB2312"/>
          <w:b w:val="0"/>
          <w:bCs w:val="0"/>
          <w:color w:val="auto"/>
          <w:kern w:val="0"/>
          <w:sz w:val="32"/>
          <w:szCs w:val="32"/>
          <w:shd w:val="clear" w:color="auto" w:fill="FFFFFF"/>
        </w:rPr>
      </w:pPr>
      <w:r>
        <w:rPr>
          <w:rFonts w:hint="default" w:ascii="仿宋_GB2312" w:hAnsi="ˎ̥" w:eastAsia="仿宋_GB2312" w:cs="仿宋_GB2312"/>
          <w:b w:val="0"/>
          <w:bCs w:val="0"/>
          <w:color w:val="auto"/>
          <w:kern w:val="0"/>
          <w:sz w:val="32"/>
          <w:szCs w:val="32"/>
          <w:shd w:val="clear" w:color="auto" w:fill="FFFFFF"/>
        </w:rPr>
        <w:t>3.社会保障和就业（类）行政事业单位离退休（款）机关事业单位基本养老保险缴费支出（项）</w:t>
      </w:r>
    </w:p>
    <w:p>
      <w:pPr>
        <w:keepNext w:val="0"/>
        <w:keepLines w:val="0"/>
        <w:widowControl/>
        <w:suppressLineNumbers w:val="0"/>
        <w:ind w:left="0" w:firstLine="640" w:firstLineChars="200"/>
        <w:rPr>
          <w:rFonts w:hint="default" w:ascii="仿宋_GB2312" w:hAnsi="宋体" w:eastAsia="仿宋_GB2312" w:cs="仿宋_GB2312"/>
          <w:color w:val="auto"/>
          <w:kern w:val="0"/>
          <w:sz w:val="32"/>
          <w:szCs w:val="32"/>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243.72</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313.12</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128.5</w:t>
      </w:r>
      <w:r>
        <w:rPr>
          <w:rFonts w:hint="default" w:ascii="仿宋_GB2312" w:hAnsi="ˎ̥" w:eastAsia="仿宋_GB2312" w:cs="仿宋_GB2312"/>
          <w:color w:val="auto"/>
          <w:kern w:val="0"/>
          <w:sz w:val="32"/>
          <w:szCs w:val="32"/>
          <w:shd w:val="clear" w:color="auto" w:fill="FFFFFF"/>
        </w:rPr>
        <w:t>%。决算数大于预算数的主要原因：一是</w:t>
      </w:r>
      <w:r>
        <w:rPr>
          <w:rFonts w:hint="default" w:ascii="仿宋_GB2312" w:hAnsi="宋体" w:eastAsia="仿宋_GB2312" w:cs="仿宋_GB2312"/>
          <w:color w:val="auto"/>
          <w:kern w:val="0"/>
          <w:sz w:val="32"/>
          <w:szCs w:val="32"/>
        </w:rPr>
        <w:t>工资增加；二是社保缴费基数调高。</w:t>
      </w:r>
    </w:p>
    <w:p>
      <w:pPr>
        <w:keepNext w:val="0"/>
        <w:keepLines w:val="0"/>
        <w:widowControl/>
        <w:suppressLineNumbers w:val="0"/>
        <w:spacing w:before="0" w:beforeAutospacing="0" w:after="100" w:afterAutospacing="1"/>
        <w:ind w:left="0" w:leftChars="0" w:right="0" w:rightChars="0" w:firstLine="640" w:firstLineChars="200"/>
        <w:jc w:val="left"/>
        <w:rPr>
          <w:rFonts w:hint="default" w:ascii="仿宋_GB2312" w:hAnsi="ˎ̥" w:eastAsia="仿宋_GB2312" w:cs="仿宋_GB2312"/>
          <w:b w:val="0"/>
          <w:bCs w:val="0"/>
          <w:color w:val="auto"/>
          <w:kern w:val="0"/>
          <w:sz w:val="32"/>
          <w:szCs w:val="32"/>
          <w:shd w:val="clear" w:color="auto" w:fill="FFFFFF"/>
        </w:rPr>
      </w:pPr>
      <w:r>
        <w:rPr>
          <w:rFonts w:hint="default" w:ascii="仿宋_GB2312" w:hAnsi="宋体" w:eastAsia="仿宋_GB2312" w:cs="仿宋_GB2312"/>
          <w:b w:val="0"/>
          <w:bCs w:val="0"/>
          <w:color w:val="auto"/>
          <w:kern w:val="0"/>
          <w:sz w:val="32"/>
          <w:szCs w:val="32"/>
        </w:rPr>
        <w:t>4.卫生健康</w:t>
      </w:r>
      <w:r>
        <w:rPr>
          <w:rFonts w:hint="default" w:ascii="仿宋_GB2312" w:hAnsi="ˎ̥" w:eastAsia="仿宋_GB2312" w:cs="仿宋_GB2312"/>
          <w:b w:val="0"/>
          <w:bCs w:val="0"/>
          <w:color w:val="auto"/>
          <w:kern w:val="0"/>
          <w:sz w:val="32"/>
          <w:szCs w:val="32"/>
          <w:shd w:val="clear" w:color="auto" w:fill="FFFFFF"/>
        </w:rPr>
        <w:t>（类）行政事业单位医疗（款）事业单位医疗、公补（项）</w:t>
      </w:r>
    </w:p>
    <w:p>
      <w:pPr>
        <w:keepNext w:val="0"/>
        <w:keepLines w:val="0"/>
        <w:widowControl/>
        <w:suppressLineNumbers w:val="0"/>
        <w:ind w:left="0" w:firstLine="640" w:firstLineChars="200"/>
        <w:rPr>
          <w:rFonts w:hint="default" w:ascii="仿宋_GB2312" w:hAnsi="宋体" w:eastAsia="仿宋_GB2312" w:cs="仿宋_GB2312"/>
          <w:color w:val="auto"/>
          <w:kern w:val="0"/>
          <w:sz w:val="32"/>
          <w:szCs w:val="32"/>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277.21</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261.66</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94.39</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default"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lang w:eastAsia="zh-CN"/>
        </w:rPr>
        <w:t>本年度</w:t>
      </w:r>
      <w:r>
        <w:rPr>
          <w:rFonts w:hint="default" w:ascii="仿宋_GB2312" w:hAnsi="ˎ̥" w:eastAsia="仿宋_GB2312" w:cs="仿宋_GB2312"/>
          <w:color w:val="auto"/>
          <w:kern w:val="0"/>
          <w:sz w:val="32"/>
          <w:szCs w:val="32"/>
        </w:rPr>
        <w:t>退休</w:t>
      </w:r>
      <w:r>
        <w:rPr>
          <w:rFonts w:hint="default" w:ascii="仿宋_GB2312" w:hAnsi="宋体" w:eastAsia="仿宋_GB2312" w:cs="仿宋_GB2312"/>
          <w:color w:val="auto"/>
          <w:kern w:val="0"/>
          <w:sz w:val="32"/>
          <w:szCs w:val="32"/>
        </w:rPr>
        <w:t>老师增加。</w:t>
      </w:r>
    </w:p>
    <w:p>
      <w:pPr>
        <w:keepNext w:val="0"/>
        <w:keepLines w:val="0"/>
        <w:widowControl/>
        <w:suppressLineNumbers w:val="0"/>
        <w:spacing w:before="0" w:beforeAutospacing="0" w:after="100" w:afterAutospacing="1"/>
        <w:ind w:left="0" w:right="0" w:rightChars="0" w:firstLine="640" w:firstLineChars="200"/>
        <w:jc w:val="left"/>
        <w:rPr>
          <w:rFonts w:hint="default" w:ascii="仿宋_GB2312" w:hAnsi="ˎ̥" w:eastAsia="仿宋_GB2312" w:cs="仿宋_GB2312"/>
          <w:b w:val="0"/>
          <w:bCs w:val="0"/>
          <w:color w:val="auto"/>
          <w:kern w:val="0"/>
          <w:sz w:val="32"/>
          <w:szCs w:val="32"/>
          <w:shd w:val="clear" w:color="auto" w:fill="FFFFFF"/>
        </w:rPr>
      </w:pPr>
      <w:r>
        <w:rPr>
          <w:rFonts w:hint="default" w:ascii="仿宋_GB2312" w:hAnsi="ˎ̥" w:eastAsia="仿宋_GB2312" w:cs="仿宋_GB2312"/>
          <w:b w:val="0"/>
          <w:bCs w:val="0"/>
          <w:color w:val="auto"/>
          <w:kern w:val="0"/>
          <w:sz w:val="32"/>
          <w:szCs w:val="32"/>
          <w:shd w:val="clear" w:color="auto" w:fill="FFFFFF"/>
        </w:rPr>
        <w:t>5、住房保障支出（类）住房改革支出（款）住房公积金（项）</w:t>
      </w:r>
    </w:p>
    <w:p>
      <w:pPr>
        <w:keepNext w:val="0"/>
        <w:keepLines w:val="0"/>
        <w:widowControl/>
        <w:suppressLineNumbers w:val="0"/>
        <w:ind w:left="0" w:firstLine="640" w:firstLineChars="200"/>
        <w:rPr>
          <w:rFonts w:hint="eastAsia" w:ascii="仿宋_GB2312" w:hAnsi="ˎ̥" w:eastAsia="仿宋_GB2312"/>
          <w:color w:val="auto"/>
          <w:sz w:val="32"/>
          <w:szCs w:val="32"/>
        </w:rPr>
      </w:pPr>
      <w:r>
        <w:rPr>
          <w:rFonts w:hint="default" w:ascii="仿宋_GB2312" w:hAnsi="ˎ̥" w:eastAsia="仿宋_GB2312" w:cs="仿宋_GB2312"/>
          <w:color w:val="auto"/>
          <w:kern w:val="0"/>
          <w:sz w:val="32"/>
          <w:szCs w:val="32"/>
          <w:shd w:val="clear" w:color="auto" w:fill="FFFFFF"/>
        </w:rPr>
        <w:t>年初预算为</w:t>
      </w:r>
      <w:r>
        <w:rPr>
          <w:rFonts w:hint="eastAsia" w:ascii="仿宋_GB2312" w:hAnsi="ˎ̥" w:eastAsia="仿宋_GB2312" w:cs="仿宋_GB2312"/>
          <w:color w:val="auto"/>
          <w:kern w:val="0"/>
          <w:sz w:val="32"/>
          <w:szCs w:val="32"/>
          <w:shd w:val="clear" w:color="auto" w:fill="FFFFFF"/>
          <w:lang w:val="en-US" w:eastAsia="zh-CN"/>
        </w:rPr>
        <w:t>138.95</w:t>
      </w:r>
      <w:r>
        <w:rPr>
          <w:rFonts w:hint="default" w:ascii="仿宋_GB2312" w:hAnsi="ˎ̥" w:eastAsia="仿宋_GB2312" w:cs="仿宋_GB2312"/>
          <w:color w:val="auto"/>
          <w:kern w:val="0"/>
          <w:sz w:val="32"/>
          <w:szCs w:val="32"/>
          <w:shd w:val="clear" w:color="auto" w:fill="FFFFFF"/>
        </w:rPr>
        <w:t>万元，支出决算为</w:t>
      </w:r>
      <w:r>
        <w:rPr>
          <w:rFonts w:hint="eastAsia" w:ascii="仿宋_GB2312" w:hAnsi="ˎ̥" w:eastAsia="仿宋_GB2312" w:cs="仿宋_GB2312"/>
          <w:color w:val="auto"/>
          <w:kern w:val="0"/>
          <w:sz w:val="32"/>
          <w:szCs w:val="32"/>
          <w:shd w:val="clear" w:color="auto" w:fill="FFFFFF"/>
          <w:lang w:val="en-US" w:eastAsia="zh-CN"/>
        </w:rPr>
        <w:t>122.58</w:t>
      </w:r>
      <w:r>
        <w:rPr>
          <w:rFonts w:hint="default" w:ascii="仿宋_GB2312" w:hAnsi="ˎ̥" w:eastAsia="仿宋_GB2312" w:cs="仿宋_GB2312"/>
          <w:color w:val="auto"/>
          <w:kern w:val="0"/>
          <w:sz w:val="32"/>
          <w:szCs w:val="32"/>
          <w:shd w:val="clear" w:color="auto" w:fill="FFFFFF"/>
        </w:rPr>
        <w:t>万元，完成年初预算的</w:t>
      </w:r>
      <w:r>
        <w:rPr>
          <w:rFonts w:hint="eastAsia" w:ascii="仿宋_GB2312" w:hAnsi="ˎ̥" w:eastAsia="仿宋_GB2312" w:cs="仿宋_GB2312"/>
          <w:color w:val="auto"/>
          <w:kern w:val="0"/>
          <w:sz w:val="32"/>
          <w:szCs w:val="32"/>
          <w:shd w:val="clear" w:color="auto" w:fill="FFFFFF"/>
          <w:lang w:val="en-US" w:eastAsia="zh-CN"/>
        </w:rPr>
        <w:t>88.22</w:t>
      </w:r>
      <w:r>
        <w:rPr>
          <w:rFonts w:hint="default" w:ascii="仿宋_GB2312" w:hAnsi="ˎ̥" w:eastAsia="仿宋_GB2312" w:cs="仿宋_GB2312"/>
          <w:color w:val="auto"/>
          <w:kern w:val="0"/>
          <w:sz w:val="32"/>
          <w:szCs w:val="32"/>
          <w:shd w:val="clear" w:color="auto" w:fill="FFFFFF"/>
        </w:rPr>
        <w:t>%。决算数</w:t>
      </w:r>
      <w:r>
        <w:rPr>
          <w:rFonts w:hint="eastAsia" w:ascii="仿宋_GB2312" w:hAnsi="ˎ̥" w:eastAsia="仿宋_GB2312" w:cs="仿宋_GB2312"/>
          <w:color w:val="auto"/>
          <w:kern w:val="0"/>
          <w:sz w:val="32"/>
          <w:szCs w:val="32"/>
          <w:shd w:val="clear" w:color="auto" w:fill="FFFFFF"/>
          <w:lang w:eastAsia="zh-CN"/>
        </w:rPr>
        <w:t>小</w:t>
      </w:r>
      <w:r>
        <w:rPr>
          <w:rFonts w:hint="default" w:ascii="仿宋_GB2312" w:hAnsi="ˎ̥" w:eastAsia="仿宋_GB2312" w:cs="仿宋_GB2312"/>
          <w:color w:val="auto"/>
          <w:kern w:val="0"/>
          <w:sz w:val="32"/>
          <w:szCs w:val="32"/>
          <w:shd w:val="clear" w:color="auto" w:fill="FFFFFF"/>
        </w:rPr>
        <w:t>于预算数的主要原因：</w:t>
      </w:r>
      <w:r>
        <w:rPr>
          <w:rFonts w:hint="eastAsia" w:ascii="仿宋_GB2312" w:hAnsi="ˎ̥" w:eastAsia="仿宋_GB2312" w:cs="仿宋_GB2312"/>
          <w:color w:val="auto"/>
          <w:kern w:val="0"/>
          <w:sz w:val="32"/>
          <w:szCs w:val="32"/>
          <w:lang w:eastAsia="zh-CN"/>
        </w:rPr>
        <w:t>本年度</w:t>
      </w:r>
      <w:r>
        <w:rPr>
          <w:rFonts w:hint="default" w:ascii="仿宋_GB2312" w:hAnsi="ˎ̥" w:eastAsia="仿宋_GB2312" w:cs="仿宋_GB2312"/>
          <w:color w:val="auto"/>
          <w:kern w:val="0"/>
          <w:sz w:val="32"/>
          <w:szCs w:val="32"/>
        </w:rPr>
        <w:t>退休</w:t>
      </w:r>
      <w:r>
        <w:rPr>
          <w:rFonts w:hint="default" w:ascii="仿宋_GB2312" w:hAnsi="宋体" w:eastAsia="仿宋_GB2312" w:cs="仿宋_GB2312"/>
          <w:color w:val="auto"/>
          <w:kern w:val="0"/>
          <w:sz w:val="32"/>
          <w:szCs w:val="32"/>
        </w:rPr>
        <w:t>老师增加</w:t>
      </w:r>
      <w:r>
        <w:rPr>
          <w:rFonts w:hint="eastAsia" w:ascii="仿宋_GB2312" w:hAnsi="宋体" w:eastAsia="仿宋_GB2312" w:cs="仿宋_GB2312"/>
          <w:color w:val="auto"/>
          <w:kern w:val="0"/>
          <w:sz w:val="32"/>
          <w:szCs w:val="32"/>
          <w:lang w:eastAsia="zh-CN"/>
        </w:rPr>
        <w:t>，缴费基数减少</w:t>
      </w:r>
      <w:r>
        <w:rPr>
          <w:rFonts w:hint="default" w:ascii="仿宋_GB2312" w:hAnsi="宋体" w:eastAsia="仿宋_GB2312" w:cs="仿宋_GB2312"/>
          <w:color w:val="auto"/>
          <w:kern w:val="0"/>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color w:val="auto"/>
          <w:sz w:val="32"/>
          <w:szCs w:val="32"/>
        </w:rPr>
      </w:pPr>
      <w:r>
        <w:rPr>
          <w:rFonts w:hint="eastAsia" w:ascii="黑体" w:hAnsi="黑体" w:eastAsia="黑体" w:cs="黑体"/>
          <w:bCs/>
          <w:color w:val="auto"/>
          <w:sz w:val="32"/>
          <w:szCs w:val="32"/>
        </w:rPr>
        <w:t>六、一般公共预算财政拨款基本支出决算情况说明</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年度财政拨款基本支出</w:t>
      </w:r>
      <w:r>
        <w:rPr>
          <w:rFonts w:hint="eastAsia" w:ascii="仿宋_GB2312" w:hAnsi="ˎ̥" w:eastAsia="仿宋_GB2312"/>
          <w:color w:val="auto"/>
          <w:sz w:val="32"/>
          <w:szCs w:val="32"/>
          <w:lang w:val="en-US"/>
        </w:rPr>
        <w:t>1,894.67</w:t>
      </w:r>
      <w:r>
        <w:rPr>
          <w:rFonts w:hint="eastAsia" w:ascii="仿宋_GB2312" w:hAnsi="ˎ̥" w:eastAsia="仿宋_GB2312"/>
          <w:color w:val="auto"/>
          <w:sz w:val="32"/>
          <w:szCs w:val="32"/>
        </w:rPr>
        <w:t>万元，其中：人员经费</w:t>
      </w:r>
      <w:r>
        <w:rPr>
          <w:rFonts w:ascii="仿宋_GB2312" w:hAnsi="ˎ̥" w:eastAsia="仿宋_GB2312"/>
          <w:color w:val="auto"/>
          <w:sz w:val="32"/>
          <w:szCs w:val="32"/>
          <w:lang w:val="en-US"/>
        </w:rPr>
        <w:t>1,870.80</w:t>
      </w:r>
      <w:r>
        <w:rPr>
          <w:rFonts w:hint="eastAsia" w:ascii="仿宋_GB2312" w:hAnsi="ˎ̥" w:eastAsia="仿宋_GB2312"/>
          <w:color w:val="auto"/>
          <w:sz w:val="32"/>
          <w:szCs w:val="32"/>
        </w:rPr>
        <w:t>万元，主要包括：工资福利支出中的基本工资</w:t>
      </w:r>
      <w:r>
        <w:rPr>
          <w:rFonts w:hint="eastAsia" w:ascii="仿宋_GB2312" w:hAnsi="ˎ̥" w:eastAsia="仿宋_GB2312"/>
          <w:color w:val="auto"/>
          <w:sz w:val="32"/>
          <w:szCs w:val="32"/>
          <w:lang w:val="en-US" w:eastAsia="zh-CN"/>
        </w:rPr>
        <w:t>412.65</w:t>
      </w:r>
      <w:r>
        <w:rPr>
          <w:rFonts w:hint="eastAsia" w:ascii="仿宋_GB2312" w:hAnsi="ˎ̥" w:eastAsia="仿宋_GB2312"/>
          <w:color w:val="auto"/>
          <w:sz w:val="32"/>
          <w:szCs w:val="32"/>
        </w:rPr>
        <w:t>、津贴补贴</w:t>
      </w:r>
      <w:r>
        <w:rPr>
          <w:rFonts w:hint="eastAsia" w:ascii="仿宋_GB2312" w:hAnsi="ˎ̥" w:eastAsia="仿宋_GB2312"/>
          <w:color w:val="auto"/>
          <w:sz w:val="32"/>
          <w:szCs w:val="32"/>
          <w:lang w:val="en-US" w:eastAsia="zh-CN"/>
        </w:rPr>
        <w:t>246.36</w:t>
      </w:r>
      <w:r>
        <w:rPr>
          <w:rFonts w:hint="eastAsia" w:ascii="仿宋_GB2312" w:hAnsi="ˎ̥" w:eastAsia="仿宋_GB2312"/>
          <w:color w:val="auto"/>
          <w:sz w:val="32"/>
          <w:szCs w:val="32"/>
        </w:rPr>
        <w:t>、奖金、伙食补助费、绩效工资</w:t>
      </w:r>
      <w:r>
        <w:rPr>
          <w:rFonts w:hint="eastAsia" w:ascii="仿宋_GB2312" w:hAnsi="ˎ̥" w:eastAsia="仿宋_GB2312"/>
          <w:color w:val="auto"/>
          <w:sz w:val="32"/>
          <w:szCs w:val="32"/>
          <w:lang w:val="en-US" w:eastAsia="zh-CN"/>
        </w:rPr>
        <w:t>509.64</w:t>
      </w:r>
      <w:r>
        <w:rPr>
          <w:rFonts w:hint="eastAsia" w:ascii="仿宋_GB2312" w:hAnsi="ˎ̥" w:eastAsia="仿宋_GB2312"/>
          <w:color w:val="auto"/>
          <w:sz w:val="32"/>
          <w:szCs w:val="32"/>
        </w:rPr>
        <w:t>、机关事业单位基本养老保险缴费</w:t>
      </w:r>
      <w:r>
        <w:rPr>
          <w:rFonts w:hint="eastAsia" w:ascii="仿宋_GB2312" w:hAnsi="ˎ̥" w:eastAsia="仿宋_GB2312"/>
          <w:color w:val="auto"/>
          <w:sz w:val="32"/>
          <w:szCs w:val="32"/>
          <w:lang w:val="en-US" w:eastAsia="zh-CN"/>
        </w:rPr>
        <w:t>144.31</w:t>
      </w:r>
      <w:r>
        <w:rPr>
          <w:rFonts w:hint="eastAsia" w:ascii="仿宋_GB2312" w:hAnsi="ˎ̥" w:eastAsia="仿宋_GB2312"/>
          <w:color w:val="auto"/>
          <w:sz w:val="32"/>
          <w:szCs w:val="32"/>
        </w:rPr>
        <w:t>、职业年金缴费</w:t>
      </w:r>
      <w:r>
        <w:rPr>
          <w:rFonts w:hint="eastAsia" w:ascii="仿宋_GB2312" w:hAnsi="ˎ̥" w:eastAsia="仿宋_GB2312"/>
          <w:color w:val="auto"/>
          <w:sz w:val="32"/>
          <w:szCs w:val="32"/>
          <w:lang w:val="en-US" w:eastAsia="zh-CN"/>
        </w:rPr>
        <w:t>168.81</w:t>
      </w:r>
      <w:r>
        <w:rPr>
          <w:rFonts w:hint="eastAsia" w:ascii="仿宋_GB2312" w:hAnsi="ˎ̥" w:eastAsia="仿宋_GB2312"/>
          <w:color w:val="auto"/>
          <w:sz w:val="32"/>
          <w:szCs w:val="32"/>
        </w:rPr>
        <w:t>、职工基本医疗保险缴费</w:t>
      </w:r>
      <w:r>
        <w:rPr>
          <w:rFonts w:hint="eastAsia" w:ascii="仿宋_GB2312" w:hAnsi="ˎ̥" w:eastAsia="仿宋_GB2312"/>
          <w:color w:val="auto"/>
          <w:sz w:val="32"/>
          <w:szCs w:val="32"/>
          <w:lang w:val="en-US" w:eastAsia="zh-CN"/>
        </w:rPr>
        <w:t>60.39</w:t>
      </w:r>
      <w:r>
        <w:rPr>
          <w:rFonts w:hint="eastAsia" w:ascii="仿宋_GB2312" w:hAnsi="ˎ̥" w:eastAsia="仿宋_GB2312"/>
          <w:color w:val="auto"/>
          <w:sz w:val="32"/>
          <w:szCs w:val="32"/>
        </w:rPr>
        <w:t>、公务员医疗补助缴费</w:t>
      </w:r>
      <w:r>
        <w:rPr>
          <w:rFonts w:hint="eastAsia" w:ascii="仿宋_GB2312" w:hAnsi="ˎ̥" w:eastAsia="仿宋_GB2312"/>
          <w:color w:val="auto"/>
          <w:sz w:val="32"/>
          <w:szCs w:val="32"/>
          <w:lang w:val="en-US" w:eastAsia="zh-CN"/>
        </w:rPr>
        <w:t>195.72</w:t>
      </w:r>
      <w:r>
        <w:rPr>
          <w:rFonts w:hint="eastAsia" w:ascii="仿宋_GB2312" w:hAnsi="ˎ̥" w:eastAsia="仿宋_GB2312"/>
          <w:color w:val="auto"/>
          <w:sz w:val="32"/>
          <w:szCs w:val="32"/>
        </w:rPr>
        <w:t>、其他社会保障缴费</w:t>
      </w:r>
      <w:r>
        <w:rPr>
          <w:rFonts w:hint="eastAsia" w:ascii="仿宋_GB2312" w:hAnsi="ˎ̥" w:eastAsia="仿宋_GB2312"/>
          <w:color w:val="auto"/>
          <w:sz w:val="32"/>
          <w:szCs w:val="32"/>
          <w:lang w:val="en-US" w:eastAsia="zh-CN"/>
        </w:rPr>
        <w:t>4.78</w:t>
      </w:r>
      <w:r>
        <w:rPr>
          <w:rFonts w:hint="eastAsia" w:ascii="仿宋_GB2312" w:hAnsi="ˎ̥" w:eastAsia="仿宋_GB2312"/>
          <w:color w:val="auto"/>
          <w:sz w:val="32"/>
          <w:szCs w:val="32"/>
        </w:rPr>
        <w:t>、住房公积金</w:t>
      </w:r>
      <w:r>
        <w:rPr>
          <w:rFonts w:hint="eastAsia" w:ascii="仿宋_GB2312" w:hAnsi="ˎ̥" w:eastAsia="仿宋_GB2312"/>
          <w:color w:val="auto"/>
          <w:sz w:val="32"/>
          <w:szCs w:val="32"/>
          <w:lang w:val="en-US" w:eastAsia="zh-CN"/>
        </w:rPr>
        <w:t>122.58</w:t>
      </w:r>
      <w:r>
        <w:rPr>
          <w:rFonts w:hint="eastAsia" w:ascii="仿宋_GB2312" w:hAnsi="ˎ̥" w:eastAsia="仿宋_GB2312"/>
          <w:color w:val="auto"/>
          <w:sz w:val="32"/>
          <w:szCs w:val="32"/>
        </w:rPr>
        <w:t>、医疗费</w:t>
      </w:r>
      <w:r>
        <w:rPr>
          <w:rFonts w:hint="eastAsia" w:ascii="仿宋_GB2312" w:hAnsi="ˎ̥" w:eastAsia="仿宋_GB2312"/>
          <w:color w:val="auto"/>
          <w:sz w:val="32"/>
          <w:szCs w:val="32"/>
          <w:lang w:val="en-US" w:eastAsia="zh-CN"/>
        </w:rPr>
        <w:t>5.56</w:t>
      </w:r>
      <w:r>
        <w:rPr>
          <w:rFonts w:hint="eastAsia" w:ascii="仿宋_GB2312" w:hAnsi="ˎ̥" w:eastAsia="仿宋_GB2312"/>
          <w:color w:val="auto"/>
          <w:sz w:val="32"/>
          <w:szCs w:val="32"/>
        </w:rPr>
        <w:t>、其他工资福利支出；对个人和家庭的补助中的离休费、退休费、退职（役）费、抚恤金、生活补助、救济费、医疗费补助、助学金、奖励金、个人农业生产补贴、代缴社会保险费、其他对个人和家庭的补助。公用经费</w:t>
      </w:r>
      <w:r>
        <w:rPr>
          <w:rFonts w:ascii="仿宋_GB2312" w:hAnsi="ˎ̥" w:eastAsia="仿宋_GB2312"/>
          <w:color w:val="auto"/>
          <w:sz w:val="32"/>
          <w:szCs w:val="32"/>
          <w:lang w:val="en-US"/>
        </w:rPr>
        <w:t>23.87</w:t>
      </w:r>
      <w:r>
        <w:rPr>
          <w:rFonts w:hint="eastAsia" w:ascii="仿宋_GB2312" w:hAnsi="ˎ̥" w:eastAsia="仿宋_GB2312"/>
          <w:color w:val="auto"/>
          <w:sz w:val="32"/>
          <w:szCs w:val="32"/>
        </w:rPr>
        <w:t>万元，主要包括：商品和服务支出中的办公费、印刷费、咨询费、手续费、水费、电费、邮电费</w:t>
      </w:r>
      <w:r>
        <w:rPr>
          <w:rFonts w:hint="eastAsia" w:ascii="仿宋_GB2312" w:hAnsi="ˎ̥" w:eastAsia="仿宋_GB2312"/>
          <w:color w:val="auto"/>
          <w:sz w:val="32"/>
          <w:szCs w:val="32"/>
          <w:lang w:val="en-US" w:eastAsia="zh-CN"/>
        </w:rPr>
        <w:t>11.51</w:t>
      </w:r>
      <w:r>
        <w:rPr>
          <w:rFonts w:hint="eastAsia" w:ascii="仿宋_GB2312" w:hAnsi="ˎ̥" w:eastAsia="仿宋_GB2312"/>
          <w:color w:val="auto"/>
          <w:sz w:val="32"/>
          <w:szCs w:val="32"/>
        </w:rPr>
        <w:t>、取暖费、物业管理费、差旅费、因公出国（境）费用、维修（护）费、租赁费、会议费、培训费、公务接待费、专用材料费、被装购置费、专用燃料费、劳务费、委托业务费、工会经费</w:t>
      </w:r>
      <w:r>
        <w:rPr>
          <w:rFonts w:hint="eastAsia" w:ascii="仿宋_GB2312" w:hAnsi="ˎ̥" w:eastAsia="仿宋_GB2312"/>
          <w:color w:val="auto"/>
          <w:sz w:val="32"/>
          <w:szCs w:val="32"/>
          <w:lang w:val="en-US" w:eastAsia="zh-CN"/>
        </w:rPr>
        <w:t>12.36</w:t>
      </w:r>
      <w:r>
        <w:rPr>
          <w:rFonts w:hint="eastAsia" w:ascii="仿宋_GB2312" w:hAnsi="ˎ̥" w:eastAsia="仿宋_GB2312"/>
          <w:color w:val="auto"/>
          <w:sz w:val="32"/>
          <w:szCs w:val="32"/>
        </w:rPr>
        <w:t>、福利费、公务用车运行维护费、其他交通费用、税金及附加费用、其他商品和服务支出；债务利息及费用支出中的国内债务付息及国外债务付息；资本性支出中的房屋建筑物</w:t>
      </w:r>
      <w:r>
        <w:rPr>
          <w:rFonts w:hint="eastAsia" w:ascii="仿宋_GB2312" w:hAnsi="ˎ̥" w:eastAsia="仿宋_GB2312"/>
          <w:color w:val="auto"/>
          <w:sz w:val="32"/>
          <w:szCs w:val="32"/>
          <w:lang w:val="en-US" w:eastAsia="zh-CN"/>
        </w:rPr>
        <w:t>购</w:t>
      </w:r>
      <w:r>
        <w:rPr>
          <w:rFonts w:hint="eastAsia" w:ascii="仿宋_GB2312" w:hAnsi="ˎ̥" w:eastAsia="仿宋_GB2312"/>
          <w:color w:val="auto"/>
          <w:sz w:val="32"/>
          <w:szCs w:val="32"/>
        </w:rPr>
        <w:t>建、办公设备购置、专用设备购置、基础设施建设、大型修缮、信息网络及软件购置更新、物资储备、土地补偿、安置补助、地上附着物和青苗补偿、拆迁补偿、公务用车购置、其他交通工具购置、文物和陈列品购置、无形资产购置、其他资本性支出等；其他支出中的赠予、国家赔偿费用支出、对民间非营利组织和群众性自治组织补贴和其他支出。</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七、政府性基金预算财政拨款支出决算情况说明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（一）政府性基金预算财政拨款支出决算总体情况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default" w:ascii="仿宋_GB2312" w:hAnsi="ˎ̥" w:eastAsia="仿宋_GB2312"/>
          <w:color w:val="auto"/>
          <w:sz w:val="32"/>
          <w:szCs w:val="32"/>
          <w:lang w:val="en-US"/>
        </w:rPr>
        <w:t>X</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年度相比，政府性基金预算财政拨款支出增加（减少）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万元，增长（下降）</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（二）政府性基金预算财政拨款支出决算结构情况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（三）政府性基金预算财政拨款支出决算具体情况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b/>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年度政府性基金预算财政拨款支出年初预算为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27" w:firstLineChars="196"/>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八、国有资本经营预算财政拨款支出决算情况说明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（一）国有资本经营预算财政拨款支出决算总体情况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万元，占本年支出合计的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年度相比，国有资本经营预算财政拨款支出增加（减少）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（二）国有资本经营预算财政拨款支出决算结构情况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color w:val="auto"/>
          <w:sz w:val="32"/>
          <w:szCs w:val="32"/>
        </w:rPr>
      </w:pPr>
      <w:r>
        <w:rPr>
          <w:rFonts w:hint="eastAsia" w:ascii="楷体" w:hAnsi="楷体" w:eastAsia="楷体" w:cs="楷体"/>
          <w:color w:val="auto"/>
          <w:sz w:val="32"/>
          <w:szCs w:val="32"/>
        </w:rPr>
        <w:t>（三）国有资本经营预算财政拨款支出决算具体情况</w:t>
      </w:r>
    </w:p>
    <w:p>
      <w:pPr>
        <w:keepNext w:val="0"/>
        <w:keepLines w:val="0"/>
        <w:pageBreakBefore w:val="0"/>
        <w:widowControl w:val="0"/>
        <w:tabs>
          <w:tab w:val="center" w:pos="4473"/>
        </w:tabs>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年度国有资本经营预算财政拨款支出年初预算为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万元，完成年初预算的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hint="eastAsia" w:ascii="仿宋_GB2312" w:hAnsi="ˎ̥" w:eastAsia="仿宋_GB2312"/>
          <w:color w:val="auto"/>
          <w:sz w:val="32"/>
          <w:szCs w:val="32"/>
          <w:lang w:val="en-US" w:eastAsia="zh-CN"/>
        </w:rPr>
        <w:t>0</w:t>
      </w:r>
    </w:p>
    <w:p>
      <w:pPr>
        <w:keepNext w:val="0"/>
        <w:keepLines w:val="0"/>
        <w:pageBreakBefore w:val="0"/>
        <w:widowControl w:val="0"/>
        <w:kinsoku/>
        <w:wordWrap/>
        <w:overflowPunct/>
        <w:topLinePunct w:val="0"/>
        <w:autoSpaceDE/>
        <w:autoSpaceDN/>
        <w:bidi w:val="0"/>
        <w:adjustRightInd/>
        <w:snapToGrid/>
        <w:spacing w:line="578" w:lineRule="exact"/>
        <w:ind w:firstLine="627" w:firstLineChars="196"/>
        <w:textAlignment w:val="auto"/>
        <w:rPr>
          <w:rFonts w:hint="eastAsia" w:ascii="仿宋_GB2312" w:hAnsi="ˎ̥" w:eastAsia="楷体_GB2312"/>
          <w:color w:val="auto"/>
          <w:sz w:val="32"/>
          <w:szCs w:val="32"/>
        </w:rPr>
      </w:pPr>
      <w:r>
        <w:rPr>
          <w:rFonts w:hint="eastAsia" w:ascii="黑体" w:hAnsi="黑体" w:eastAsia="黑体" w:cs="黑体"/>
          <w:bCs/>
          <w:color w:val="auto"/>
          <w:sz w:val="32"/>
          <w:szCs w:val="32"/>
        </w:rPr>
        <w:t>九、财政拨款“三公”经费支出决算情况说明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（一）财政拨款“三公”经费支出决算总体情况说明</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 xml:space="preserve">    </w:t>
      </w: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年度财政拨款“三公”经费支出预算为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万元，支出决算为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万元，完成预算的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r>
        <w:rPr>
          <w:rFonts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“三公”经费支出增加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楷体" w:hAnsi="楷体" w:eastAsia="楷体" w:cs="楷体"/>
          <w:color w:val="auto"/>
          <w:sz w:val="32"/>
          <w:szCs w:val="32"/>
        </w:rPr>
      </w:pPr>
      <w:r>
        <w:rPr>
          <w:rFonts w:hint="eastAsia" w:ascii="楷体" w:hAnsi="楷体" w:eastAsia="楷体" w:cs="楷体"/>
          <w:b/>
          <w:bCs/>
          <w:color w:val="auto"/>
          <w:sz w:val="32"/>
          <w:szCs w:val="32"/>
        </w:rPr>
        <w:t xml:space="preserve">   </w:t>
      </w:r>
      <w:r>
        <w:rPr>
          <w:rFonts w:hint="eastAsia" w:ascii="楷体" w:hAnsi="楷体" w:eastAsia="楷体" w:cs="楷体"/>
          <w:color w:val="auto"/>
          <w:sz w:val="32"/>
          <w:szCs w:val="32"/>
        </w:rPr>
        <w:t xml:space="preserve"> （二）财政拨款“三公”经费支出决算具体情况说明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年度财政拨款“三公”经费支出决算中，因公出国（境）费支出决算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%；公务用车购置及运行维护费支出决算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%；公务接待费支出决算</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万元，占</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因公出国（境）费支出决算</w:t>
      </w:r>
      <w:r>
        <w:rPr>
          <w:rFonts w:hint="eastAsia" w:ascii="仿宋_GB2312" w:hAnsi="ˎ̥" w:eastAsia="仿宋_GB2312"/>
          <w:color w:val="auto"/>
          <w:sz w:val="32"/>
          <w:szCs w:val="32"/>
          <w:lang w:val="en-US" w:eastAsia="zh-CN"/>
        </w:rPr>
        <w:t>数</w:t>
      </w:r>
      <w:r>
        <w:rPr>
          <w:rFonts w:hint="eastAsia" w:ascii="仿宋_GB2312" w:hAnsi="ˎ̥" w:eastAsia="仿宋_GB2312"/>
          <w:color w:val="auto"/>
          <w:sz w:val="32"/>
          <w:szCs w:val="32"/>
        </w:rPr>
        <w:t>比预算数增加（减少）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default" w:ascii="仿宋_GB2312" w:hAnsi="ˎ̥" w:eastAsia="仿宋_GB2312"/>
          <w:color w:val="auto"/>
          <w:sz w:val="32"/>
          <w:szCs w:val="32"/>
          <w:lang w:val="en-US" w:eastAsia="zh-CN"/>
        </w:rPr>
        <w:t>%</w:t>
      </w:r>
      <w:r>
        <w:rPr>
          <w:rFonts w:hint="eastAsia" w:ascii="仿宋_GB2312" w:hAnsi="ˎ̥" w:eastAsia="仿宋_GB2312"/>
          <w:color w:val="auto"/>
          <w:sz w:val="32"/>
          <w:szCs w:val="32"/>
        </w:rPr>
        <w:t>。与</w:t>
      </w:r>
      <w:r>
        <w:rPr>
          <w:rFonts w:hint="default" w:ascii="仿宋_GB2312" w:hAnsi="ˎ̥" w:eastAsia="仿宋_GB2312"/>
          <w:color w:val="auto"/>
          <w:sz w:val="32"/>
          <w:szCs w:val="32"/>
          <w:lang w:val="en-US"/>
        </w:rPr>
        <w:t>2023</w:t>
      </w:r>
      <w:r>
        <w:rPr>
          <w:rFonts w:hint="eastAsia" w:ascii="仿宋_GB2312" w:hAnsi="ˎ̥" w:eastAsia="仿宋_GB2312"/>
          <w:color w:val="auto"/>
          <w:sz w:val="32"/>
          <w:szCs w:val="32"/>
        </w:rPr>
        <w:t>年度</w:t>
      </w:r>
      <w:r>
        <w:rPr>
          <w:rFonts w:ascii="仿宋_GB2312" w:hAnsi="ˎ̥" w:eastAsia="仿宋_GB2312"/>
          <w:color w:val="auto"/>
          <w:sz w:val="32"/>
          <w:szCs w:val="32"/>
        </w:rPr>
        <w:t>相比，</w:t>
      </w:r>
      <w:r>
        <w:rPr>
          <w:rFonts w:hint="eastAsia" w:ascii="仿宋_GB2312" w:hAnsi="ˎ̥" w:eastAsia="仿宋_GB2312"/>
          <w:color w:val="auto"/>
          <w:sz w:val="32"/>
          <w:szCs w:val="32"/>
        </w:rPr>
        <w:t>因公出国（境）费支出增加</w:t>
      </w:r>
      <w:r>
        <w:rPr>
          <w:rFonts w:ascii="仿宋_GB2312" w:hAnsi="ˎ̥" w:eastAsia="仿宋_GB2312"/>
          <w:color w:val="auto"/>
          <w:sz w:val="32"/>
          <w:szCs w:val="32"/>
        </w:rPr>
        <w:t>（</w:t>
      </w:r>
      <w:r>
        <w:rPr>
          <w:rFonts w:hint="eastAsia" w:ascii="仿宋_GB2312" w:hAnsi="ˎ̥" w:eastAsia="仿宋_GB2312"/>
          <w:color w:val="auto"/>
          <w:sz w:val="32"/>
          <w:szCs w:val="32"/>
        </w:rPr>
        <w:t>减少</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ascii="仿宋_GB2312" w:hAnsi="ˎ̥" w:eastAsia="仿宋_GB2312"/>
          <w:color w:val="auto"/>
          <w:sz w:val="32"/>
          <w:szCs w:val="32"/>
        </w:rPr>
        <w:t>，增长（</w:t>
      </w:r>
      <w:r>
        <w:rPr>
          <w:rFonts w:hint="eastAsia" w:ascii="仿宋_GB2312" w:hAnsi="ˎ̥" w:eastAsia="仿宋_GB2312"/>
          <w:color w:val="auto"/>
          <w:sz w:val="32"/>
          <w:szCs w:val="32"/>
        </w:rPr>
        <w:t>下降</w:t>
      </w:r>
      <w:r>
        <w:rPr>
          <w:rFonts w:ascii="仿宋_GB2312" w:hAnsi="ˎ̥" w:eastAsia="仿宋_GB2312"/>
          <w:color w:val="auto"/>
          <w:sz w:val="32"/>
          <w:szCs w:val="32"/>
        </w:rPr>
        <w:t>）</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2.公务用车购置及运行维护费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万元。其中：</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公务用车购置</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万元，全年购置公务用车</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辆，主年末公务用车保有量</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p>
    <w:p>
      <w:pPr>
        <w:keepNext w:val="0"/>
        <w:keepLines w:val="0"/>
        <w:pageBreakBefore w:val="0"/>
        <w:widowControl w:val="0"/>
        <w:kinsoku/>
        <w:wordWrap/>
        <w:overflowPunct/>
        <w:topLinePunct w:val="0"/>
        <w:autoSpaceDE/>
        <w:autoSpaceDN/>
        <w:bidi w:val="0"/>
        <w:adjustRightInd/>
        <w:snapToGrid/>
        <w:spacing w:line="578" w:lineRule="exact"/>
        <w:ind w:firstLine="643" w:firstLineChars="200"/>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公务用车运行维护费</w:t>
      </w:r>
      <w:r>
        <w:rPr>
          <w:rFonts w:hint="eastAsia" w:ascii="仿宋_GB2312" w:hAnsi="ˎ̥" w:eastAsia="仿宋_GB2312"/>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textAlignment w:val="auto"/>
        <w:rPr>
          <w:rFonts w:hint="eastAsia" w:ascii="仿宋_GB2312" w:hAnsi="ˎ̥" w:eastAsia="仿宋_GB2312"/>
          <w:color w:val="auto"/>
          <w:sz w:val="32"/>
          <w:szCs w:val="32"/>
        </w:rPr>
      </w:pPr>
      <w:r>
        <w:rPr>
          <w:rFonts w:hint="eastAsia" w:ascii="仿宋_GB2312" w:hAnsi="ˎ̥" w:eastAsia="仿宋_GB2312"/>
          <w:b/>
          <w:color w:val="auto"/>
          <w:sz w:val="32"/>
          <w:szCs w:val="32"/>
        </w:rPr>
        <w:t xml:space="preserve">  </w:t>
      </w:r>
      <w:r>
        <w:rPr>
          <w:rFonts w:hint="eastAsia" w:ascii="仿宋_GB2312" w:hAnsi="ˎ̥" w:eastAsia="仿宋_GB2312"/>
          <w:b/>
          <w:color w:val="auto"/>
          <w:sz w:val="32"/>
          <w:szCs w:val="32"/>
          <w:lang w:val="en-US" w:eastAsia="zh-CN"/>
        </w:rPr>
        <w:t xml:space="preserve"> </w:t>
      </w:r>
      <w:r>
        <w:rPr>
          <w:rFonts w:hint="eastAsia" w:ascii="仿宋_GB2312" w:hAnsi="ˎ̥" w:eastAsia="仿宋_GB2312"/>
          <w:b/>
          <w:color w:val="auto"/>
          <w:sz w:val="32"/>
          <w:szCs w:val="32"/>
        </w:rPr>
        <w:t>3.公务接待费</w:t>
      </w:r>
      <w:r>
        <w:rPr>
          <w:rFonts w:hint="eastAsia" w:ascii="仿宋_GB2312" w:hAnsi="ˎ̥" w:eastAsia="仿宋_GB2312"/>
          <w:b w:val="0"/>
          <w:bCs/>
          <w:color w:val="auto"/>
          <w:sz w:val="32"/>
          <w:szCs w:val="32"/>
        </w:rPr>
        <w:t>支出</w:t>
      </w:r>
      <w:r>
        <w:rPr>
          <w:rFonts w:hint="default" w:ascii="仿宋_GB2312" w:hAnsi="ˎ̥" w:eastAsia="仿宋_GB2312"/>
          <w:color w:val="auto"/>
          <w:sz w:val="32"/>
          <w:szCs w:val="32"/>
          <w:lang w:val="en-US"/>
        </w:rPr>
        <w:t>0.00</w:t>
      </w:r>
      <w:r>
        <w:rPr>
          <w:rFonts w:hint="eastAsia" w:ascii="仿宋_GB2312" w:hAnsi="ˎ̥" w:eastAsia="仿宋_GB2312"/>
          <w:color w:val="auto"/>
          <w:sz w:val="32"/>
          <w:szCs w:val="32"/>
        </w:rPr>
        <w:t>万元。</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十、预算绩效情况说明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（一）绩效管理工作开展情况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rPr>
        <w:t>根据财政预算绩效管理要求，根据预算管理要求，我</w:t>
      </w:r>
      <w:r>
        <w:rPr>
          <w:rFonts w:hint="eastAsia" w:ascii="仿宋_GB2312" w:eastAsia="仿宋_GB2312"/>
          <w:color w:val="auto"/>
          <w:sz w:val="32"/>
          <w:szCs w:val="32"/>
          <w:lang w:eastAsia="zh-CN"/>
        </w:rPr>
        <w:t>单位</w:t>
      </w:r>
      <w:r>
        <w:rPr>
          <w:rFonts w:hint="eastAsia" w:ascii="仿宋_GB2312" w:eastAsia="仿宋_GB2312"/>
          <w:color w:val="auto"/>
          <w:sz w:val="32"/>
          <w:szCs w:val="32"/>
        </w:rPr>
        <w:t>组织对</w:t>
      </w:r>
      <w:r>
        <w:rPr>
          <w:rFonts w:hint="default" w:ascii="仿宋_GB2312" w:eastAsia="仿宋_GB2312"/>
          <w:color w:val="auto"/>
          <w:sz w:val="32"/>
          <w:szCs w:val="32"/>
          <w:lang w:val="en-US"/>
        </w:rPr>
        <w:t>2024</w:t>
      </w:r>
      <w:r>
        <w:rPr>
          <w:rFonts w:hint="eastAsia" w:ascii="仿宋_GB2312" w:eastAsia="仿宋_GB2312"/>
          <w:color w:val="auto"/>
          <w:sz w:val="32"/>
          <w:szCs w:val="32"/>
        </w:rPr>
        <w:t>年度一般公共预算项目支出全面开展绩效自评</w:t>
      </w:r>
      <w:r>
        <w:rPr>
          <w:rFonts w:hint="default" w:ascii="仿宋_GB2312" w:eastAsia="仿宋_GB2312"/>
          <w:color w:val="auto"/>
          <w:sz w:val="32"/>
          <w:szCs w:val="32"/>
          <w:lang w:val="en-US"/>
        </w:rPr>
        <w:t>,</w:t>
      </w:r>
      <w:r>
        <w:rPr>
          <w:rFonts w:hint="eastAsia" w:ascii="仿宋_GB2312" w:eastAsia="仿宋_GB2312"/>
          <w:color w:val="auto"/>
          <w:sz w:val="32"/>
          <w:szCs w:val="32"/>
          <w:lang w:val="en-US" w:eastAsia="zh-CN"/>
        </w:rPr>
        <w:t>共涉及资金0万元，占一般公共预算项目支出总额的0%</w:t>
      </w:r>
      <w:r>
        <w:rPr>
          <w:rFonts w:hint="eastAsia" w:ascii="仿宋_GB2312" w:eastAsia="仿宋_GB2312"/>
          <w:color w:val="auto"/>
          <w:sz w:val="32"/>
          <w:szCs w:val="32"/>
        </w:rPr>
        <w:t>。</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个政府性基金预算项目开展绩效自评，共涉及资金</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万元，占政府性基金预算项目支出总额的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%。组织对</w:t>
      </w:r>
      <w:r>
        <w:rPr>
          <w:rFonts w:hint="default" w:ascii="仿宋_GB2312" w:eastAsia="仿宋_GB2312"/>
          <w:color w:val="auto"/>
          <w:sz w:val="32"/>
          <w:szCs w:val="32"/>
          <w:lang w:val="en-US" w:bidi="ar"/>
        </w:rPr>
        <w:t>2024</w:t>
      </w:r>
      <w:r>
        <w:rPr>
          <w:rFonts w:hint="eastAsia" w:ascii="仿宋_GB2312" w:eastAsia="仿宋_GB2312"/>
          <w:color w:val="auto"/>
          <w:sz w:val="32"/>
          <w:szCs w:val="32"/>
          <w:lang w:bidi="ar"/>
        </w:rPr>
        <w:t>年度</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 xml:space="preserve">个国有资本经营预算项目开展绩效自评，共涉及资金 </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万元，占国有资本经营预算项目支出总额的</w:t>
      </w:r>
      <w:r>
        <w:rPr>
          <w:rFonts w:hint="eastAsia" w:ascii="仿宋_GB2312" w:eastAsia="仿宋_GB2312"/>
          <w:color w:val="auto"/>
          <w:sz w:val="32"/>
          <w:szCs w:val="32"/>
          <w:lang w:val="en-US" w:eastAsia="zh-CN" w:bidi="ar"/>
        </w:rPr>
        <w:t>0</w:t>
      </w:r>
      <w:r>
        <w:rPr>
          <w:rFonts w:hint="eastAsia" w:ascii="仿宋_GB2312" w:eastAsia="仿宋_GB2312"/>
          <w:color w:val="auto"/>
          <w:sz w:val="32"/>
          <w:szCs w:val="32"/>
          <w:lang w:bidi="ar"/>
        </w:rPr>
        <w:t>%。</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决算中项目绩效自评结果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firstLine="640" w:firstLineChars="200"/>
        <w:textAlignment w:val="auto"/>
        <w:rPr>
          <w:rFonts w:hint="eastAsia" w:ascii="仿宋_GB2312" w:eastAsia="仿宋_GB2312"/>
          <w:color w:val="auto"/>
          <w:sz w:val="32"/>
          <w:szCs w:val="32"/>
        </w:rPr>
      </w:pPr>
      <w:r>
        <w:rPr>
          <w:rFonts w:hint="eastAsia" w:ascii="仿宋_GB2312" w:eastAsia="仿宋_GB2312"/>
          <w:color w:val="auto"/>
          <w:sz w:val="32"/>
          <w:szCs w:val="32"/>
          <w:lang w:eastAsia="zh-CN"/>
        </w:rPr>
        <w:t>屯昌县坡心镇中建学校</w:t>
      </w:r>
      <w:r>
        <w:rPr>
          <w:rFonts w:hint="eastAsia" w:ascii="仿宋_GB2312" w:eastAsia="仿宋_GB2312"/>
          <w:color w:val="auto"/>
          <w:sz w:val="32"/>
          <w:szCs w:val="32"/>
        </w:rPr>
        <w:t>在</w:t>
      </w:r>
      <w:r>
        <w:rPr>
          <w:rFonts w:hint="eastAsia" w:ascii="仿宋_GB2312" w:eastAsia="仿宋_GB2312"/>
          <w:color w:val="auto"/>
          <w:sz w:val="32"/>
          <w:szCs w:val="32"/>
          <w:lang w:eastAsia="zh-CN"/>
        </w:rPr>
        <w:t>单位</w:t>
      </w:r>
      <w:r>
        <w:rPr>
          <w:rFonts w:hint="eastAsia" w:ascii="仿宋_GB2312" w:eastAsia="仿宋_GB2312"/>
          <w:color w:val="auto"/>
          <w:sz w:val="32"/>
          <w:szCs w:val="32"/>
        </w:rPr>
        <w:t>决算中反映</w:t>
      </w:r>
      <w:r>
        <w:rPr>
          <w:rFonts w:hint="eastAsia" w:ascii="仿宋_GB2312" w:eastAsia="仿宋_GB2312"/>
          <w:color w:val="auto"/>
          <w:sz w:val="32"/>
          <w:szCs w:val="32"/>
          <w:lang w:val="en-US" w:eastAsia="zh-CN"/>
        </w:rPr>
        <w:t>0</w:t>
      </w:r>
      <w:r>
        <w:rPr>
          <w:rFonts w:hint="eastAsia" w:ascii="仿宋_GB2312" w:eastAsia="仿宋_GB2312"/>
          <w:color w:val="auto"/>
          <w:sz w:val="32"/>
          <w:szCs w:val="32"/>
        </w:rPr>
        <w:t>个项目绩效自评结果。</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lang w:eastAsia="zh-CN"/>
        </w:rPr>
        <w:t>单位</w:t>
      </w:r>
      <w:r>
        <w:rPr>
          <w:rFonts w:hint="eastAsia" w:ascii="楷体" w:hAnsi="楷体" w:eastAsia="楷体" w:cs="楷体"/>
          <w:bCs/>
          <w:color w:val="auto"/>
          <w:sz w:val="32"/>
          <w:szCs w:val="32"/>
        </w:rPr>
        <w:t>评价结果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firstLine="640" w:firstLineChars="200"/>
        <w:textAlignment w:val="auto"/>
        <w:rPr>
          <w:rFonts w:hint="eastAsia" w:ascii="楷体" w:hAnsi="楷体" w:eastAsia="楷体" w:cs="楷体"/>
          <w:bCs/>
          <w:color w:val="auto"/>
          <w:sz w:val="32"/>
          <w:szCs w:val="32"/>
          <w:lang w:eastAsia="zh-CN"/>
        </w:rPr>
      </w:pPr>
      <w:r>
        <w:rPr>
          <w:rFonts w:hint="eastAsia" w:ascii="楷体" w:hAnsi="楷体" w:eastAsia="楷体" w:cs="楷体"/>
          <w:bCs/>
          <w:color w:val="auto"/>
          <w:sz w:val="32"/>
          <w:szCs w:val="32"/>
          <w:lang w:eastAsia="zh-CN"/>
        </w:rPr>
        <w:t>无</w:t>
      </w:r>
    </w:p>
    <w:p>
      <w:pPr>
        <w:keepNext w:val="0"/>
        <w:keepLines w:val="0"/>
        <w:pageBreakBefore w:val="0"/>
        <w:widowControl w:val="0"/>
        <w:numPr>
          <w:ilvl w:val="0"/>
          <w:numId w:val="3"/>
        </w:numPr>
        <w:kinsoku/>
        <w:wordWrap/>
        <w:overflowPunct/>
        <w:topLinePunct w:val="0"/>
        <w:autoSpaceDE/>
        <w:autoSpaceDN/>
        <w:bidi w:val="0"/>
        <w:adjustRightInd/>
        <w:snapToGrid/>
        <w:spacing w:line="578" w:lineRule="exact"/>
        <w:ind w:left="0" w:leftChars="0"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财政评价结果</w:t>
      </w:r>
    </w:p>
    <w:p>
      <w:pPr>
        <w:keepNext w:val="0"/>
        <w:keepLines w:val="0"/>
        <w:pageBreakBefore w:val="0"/>
        <w:widowControl w:val="0"/>
        <w:numPr>
          <w:ilvl w:val="0"/>
          <w:numId w:val="0"/>
        </w:numPr>
        <w:kinsoku/>
        <w:wordWrap/>
        <w:overflowPunct/>
        <w:topLinePunct w:val="0"/>
        <w:autoSpaceDE/>
        <w:autoSpaceDN/>
        <w:bidi w:val="0"/>
        <w:adjustRightInd/>
        <w:snapToGrid/>
        <w:spacing w:line="578" w:lineRule="exact"/>
        <w:ind w:leftChars="200" w:firstLine="640" w:firstLineChars="200"/>
        <w:textAlignment w:val="auto"/>
        <w:rPr>
          <w:rFonts w:hint="eastAsia" w:ascii="仿宋_GB2312" w:eastAsia="楷体"/>
          <w:color w:val="auto"/>
          <w:sz w:val="32"/>
          <w:szCs w:val="32"/>
          <w:lang w:eastAsia="zh-CN"/>
        </w:rPr>
      </w:pPr>
      <w:r>
        <w:rPr>
          <w:rFonts w:hint="eastAsia" w:ascii="楷体" w:hAnsi="楷体" w:eastAsia="楷体" w:cs="楷体"/>
          <w:bCs/>
          <w:color w:val="auto"/>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黑体" w:hAnsi="黑体" w:eastAsia="黑体" w:cs="黑体"/>
          <w:bCs/>
          <w:color w:val="auto"/>
          <w:sz w:val="32"/>
          <w:szCs w:val="32"/>
        </w:rPr>
      </w:pPr>
      <w:r>
        <w:rPr>
          <w:rFonts w:hint="eastAsia" w:ascii="黑体" w:hAnsi="黑体" w:eastAsia="黑体" w:cs="黑体"/>
          <w:bCs/>
          <w:color w:val="auto"/>
          <w:sz w:val="32"/>
          <w:szCs w:val="32"/>
        </w:rPr>
        <w:t>十一、其他重要事项情况说明</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97" w:name="_Toc23598_WPSOffice_Level2"/>
      <w:bookmarkStart w:id="98" w:name="_Toc32639_WPSOffice_Level2"/>
      <w:bookmarkStart w:id="99" w:name="_Toc5978_WPSOffice_Level2"/>
      <w:bookmarkStart w:id="100" w:name="_Toc15565_WPSOffice_Level2"/>
      <w:bookmarkStart w:id="101" w:name="_Toc15262_WPSOffice_Level2"/>
      <w:bookmarkStart w:id="102" w:name="_Toc18325_WPSOffice_Level2"/>
      <w:r>
        <w:rPr>
          <w:rFonts w:hint="eastAsia" w:ascii="楷体" w:hAnsi="楷体" w:eastAsia="楷体" w:cs="楷体"/>
          <w:bCs/>
          <w:color w:val="auto"/>
          <w:sz w:val="32"/>
          <w:szCs w:val="32"/>
        </w:rPr>
        <w:t>（一）机关运行经费支出情况</w:t>
      </w:r>
      <w:bookmarkEnd w:id="97"/>
      <w:bookmarkEnd w:id="98"/>
      <w:bookmarkEnd w:id="99"/>
      <w:bookmarkEnd w:id="100"/>
      <w:bookmarkEnd w:id="101"/>
      <w:bookmarkEnd w:id="10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lang w:val="en-US" w:eastAsia="zh-CN"/>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default" w:ascii="仿宋_GB2312" w:hAnsi="ˎ̥" w:eastAsia="仿宋_GB2312" w:cs="仿宋_GB2312"/>
          <w:color w:val="auto"/>
          <w:kern w:val="0"/>
          <w:sz w:val="32"/>
          <w:szCs w:val="32"/>
        </w:rPr>
        <w:t>屯昌县坡心镇中建学校</w:t>
      </w:r>
      <w:r>
        <w:rPr>
          <w:rFonts w:hint="eastAsia" w:ascii="仿宋_GB2312" w:hAnsi="ˎ̥" w:eastAsia="仿宋_GB2312"/>
          <w:color w:val="auto"/>
          <w:sz w:val="32"/>
          <w:szCs w:val="32"/>
        </w:rPr>
        <w:t>机关运行经费</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万元，比年初预算增加（减少）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val="en-US" w:eastAsia="zh-CN"/>
        </w:rPr>
        <w:t>完成预算的0</w:t>
      </w:r>
      <w:r>
        <w:rPr>
          <w:rFonts w:hint="eastAsia" w:ascii="仿宋_GB2312" w:hAnsi="ˎ̥" w:eastAsia="仿宋_GB2312"/>
          <w:color w:val="auto"/>
          <w:sz w:val="32"/>
          <w:szCs w:val="32"/>
        </w:rPr>
        <w:t>%</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与2023年度相比，机关运行经费</w:t>
      </w:r>
      <w:r>
        <w:rPr>
          <w:rFonts w:hint="eastAsia" w:ascii="仿宋_GB2312" w:hAnsi="ˎ̥" w:eastAsia="仿宋_GB2312"/>
          <w:color w:val="auto"/>
          <w:sz w:val="32"/>
          <w:szCs w:val="32"/>
        </w:rPr>
        <w:t>增加（减少）</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lang w:val="en-US" w:eastAsia="zh-CN"/>
        </w:rPr>
        <w:t>增长（下降）0%。</w:t>
      </w:r>
      <w:bookmarkStart w:id="103" w:name="_Toc23966_WPSOffice_Level2"/>
      <w:bookmarkStart w:id="104" w:name="_Toc13084_WPSOffice_Level2"/>
      <w:bookmarkStart w:id="105" w:name="_Toc25333_WPSOffice_Level2"/>
      <w:bookmarkStart w:id="106" w:name="_Toc30383_WPSOffice_Level2"/>
      <w:bookmarkStart w:id="107" w:name="_Toc3131_WPSOffice_Level2"/>
      <w:bookmarkStart w:id="108" w:name="_Toc32689_WPSOffice_Level2"/>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r>
        <w:rPr>
          <w:rFonts w:hint="eastAsia" w:ascii="楷体" w:hAnsi="楷体" w:eastAsia="楷体" w:cs="楷体"/>
          <w:bCs/>
          <w:color w:val="auto"/>
          <w:sz w:val="32"/>
          <w:szCs w:val="32"/>
        </w:rPr>
        <w:t>（二）政府采购支出情况</w:t>
      </w:r>
      <w:bookmarkEnd w:id="103"/>
      <w:bookmarkEnd w:id="104"/>
      <w:bookmarkEnd w:id="105"/>
      <w:bookmarkEnd w:id="106"/>
      <w:bookmarkEnd w:id="107"/>
      <w:bookmarkEnd w:id="108"/>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jc w:val="left"/>
        <w:textAlignment w:val="auto"/>
        <w:rPr>
          <w:rFonts w:hint="eastAsia" w:ascii="仿宋_GB2312" w:hAnsi="ˎ̥" w:eastAsia="仿宋_GB2312"/>
          <w:color w:val="auto"/>
          <w:sz w:val="32"/>
          <w:szCs w:val="32"/>
        </w:rPr>
      </w:pPr>
      <w:r>
        <w:rPr>
          <w:rFonts w:hint="default" w:ascii="仿宋_GB2312" w:hAnsi="ˎ̥" w:eastAsia="仿宋_GB2312"/>
          <w:color w:val="auto"/>
          <w:sz w:val="32"/>
          <w:szCs w:val="32"/>
          <w:lang w:val="en-US"/>
        </w:rPr>
        <w:t>2024</w:t>
      </w:r>
      <w:r>
        <w:rPr>
          <w:rFonts w:hint="eastAsia" w:ascii="仿宋_GB2312" w:hAnsi="ˎ̥" w:eastAsia="仿宋_GB2312"/>
          <w:color w:val="auto"/>
          <w:sz w:val="32"/>
          <w:szCs w:val="32"/>
        </w:rPr>
        <w:t>年度</w:t>
      </w:r>
      <w:r>
        <w:rPr>
          <w:rFonts w:hint="default" w:ascii="仿宋_GB2312" w:hAnsi="ˎ̥" w:eastAsia="仿宋_GB2312" w:cs="仿宋_GB2312"/>
          <w:color w:val="auto"/>
          <w:kern w:val="0"/>
          <w:sz w:val="32"/>
          <w:szCs w:val="32"/>
        </w:rPr>
        <w:t>屯昌县坡心镇中建学校</w:t>
      </w:r>
      <w:r>
        <w:rPr>
          <w:rFonts w:hint="eastAsia" w:ascii="仿宋_GB2312" w:hAnsi="ˎ̥" w:eastAsia="仿宋_GB2312"/>
          <w:color w:val="auto"/>
          <w:sz w:val="32"/>
          <w:szCs w:val="32"/>
        </w:rPr>
        <w:t>政府采购支出总额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万元，其中：政府采购货物支出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万元、政府采购工程支出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万元、政府采购服务支出</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万元。授予中小企业合同金额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万元，占政府采购支出总额的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%，其中：授予小微企业合同金额</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万元，占</w:t>
      </w:r>
      <w:r>
        <w:rPr>
          <w:rFonts w:hint="eastAsia" w:ascii="仿宋_GB2312" w:hAnsi="仿宋_GB2312" w:eastAsia="仿宋_GB2312" w:cs="仿宋_GB2312"/>
          <w:color w:val="auto"/>
          <w:kern w:val="0"/>
          <w:sz w:val="32"/>
          <w:szCs w:val="32"/>
          <w:lang w:bidi="ar"/>
        </w:rPr>
        <w:t>授予中小企业合同金额</w:t>
      </w:r>
      <w:r>
        <w:rPr>
          <w:rFonts w:hint="eastAsia" w:ascii="仿宋_GB2312" w:hAnsi="仿宋_GB2312" w:eastAsia="仿宋_GB2312" w:cs="仿宋_GB2312"/>
          <w:color w:val="auto"/>
          <w:sz w:val="32"/>
          <w:szCs w:val="32"/>
        </w:rPr>
        <w:t>的</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楷体" w:hAnsi="楷体" w:eastAsia="楷体" w:cs="楷体"/>
          <w:bCs/>
          <w:color w:val="auto"/>
          <w:sz w:val="32"/>
          <w:szCs w:val="32"/>
        </w:rPr>
      </w:pPr>
      <w:bookmarkStart w:id="109" w:name="_Toc6016_WPSOffice_Level2"/>
      <w:bookmarkStart w:id="110" w:name="_Toc19989_WPSOffice_Level2"/>
      <w:bookmarkStart w:id="111" w:name="_Toc29584_WPSOffice_Level2"/>
      <w:bookmarkStart w:id="112" w:name="_Toc527_WPSOffice_Level2"/>
      <w:bookmarkStart w:id="113" w:name="_Toc10902_WPSOffice_Level2"/>
      <w:bookmarkStart w:id="114" w:name="_Toc15129_WPSOffice_Level2"/>
      <w:r>
        <w:rPr>
          <w:rFonts w:hint="eastAsia" w:ascii="楷体" w:hAnsi="楷体" w:eastAsia="楷体" w:cs="楷体"/>
          <w:bCs/>
          <w:color w:val="auto"/>
          <w:sz w:val="32"/>
          <w:szCs w:val="32"/>
        </w:rPr>
        <w:t>（三）国有资产占用情况</w:t>
      </w:r>
      <w:bookmarkEnd w:id="109"/>
      <w:bookmarkEnd w:id="110"/>
      <w:bookmarkEnd w:id="111"/>
      <w:bookmarkEnd w:id="112"/>
      <w:bookmarkEnd w:id="113"/>
      <w:bookmarkEnd w:id="114"/>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bCs/>
          <w:color w:val="auto"/>
          <w:sz w:val="32"/>
          <w:szCs w:val="32"/>
        </w:rPr>
        <w:t>截至</w:t>
      </w:r>
      <w:r>
        <w:rPr>
          <w:rFonts w:hint="default" w:ascii="仿宋_GB2312" w:hAnsi="ˎ̥" w:eastAsia="仿宋_GB2312"/>
          <w:bCs/>
          <w:color w:val="auto"/>
          <w:sz w:val="32"/>
          <w:szCs w:val="32"/>
          <w:lang w:val="en-US"/>
        </w:rPr>
        <w:t>2024</w:t>
      </w:r>
      <w:r>
        <w:rPr>
          <w:rFonts w:hint="eastAsia" w:ascii="仿宋_GB2312" w:hAnsi="ˎ̥" w:eastAsia="仿宋_GB2312"/>
          <w:bCs/>
          <w:color w:val="auto"/>
          <w:sz w:val="32"/>
          <w:szCs w:val="32"/>
        </w:rPr>
        <w:t>年12月31日，本</w:t>
      </w:r>
      <w:r>
        <w:rPr>
          <w:rFonts w:hint="eastAsia" w:ascii="仿宋_GB2312" w:hAnsi="ˎ̥" w:eastAsia="仿宋_GB2312"/>
          <w:bCs/>
          <w:color w:val="auto"/>
          <w:sz w:val="32"/>
          <w:szCs w:val="32"/>
          <w:lang w:eastAsia="zh-CN"/>
        </w:rPr>
        <w:t>单位</w:t>
      </w:r>
      <w:r>
        <w:rPr>
          <w:rFonts w:hint="eastAsia" w:ascii="仿宋_GB2312" w:hAnsi="ˎ̥" w:eastAsia="仿宋_GB2312"/>
          <w:bCs/>
          <w:color w:val="auto"/>
          <w:sz w:val="32"/>
          <w:szCs w:val="32"/>
        </w:rPr>
        <w:t>拥有</w:t>
      </w:r>
      <w:r>
        <w:rPr>
          <w:rFonts w:hint="eastAsia" w:ascii="仿宋_GB2312" w:hAnsi="ˎ̥" w:eastAsia="仿宋_GB2312"/>
          <w:color w:val="auto"/>
          <w:sz w:val="32"/>
          <w:szCs w:val="32"/>
        </w:rPr>
        <w:t>房屋面</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平方米</w:t>
      </w:r>
      <w:r>
        <w:rPr>
          <w:rFonts w:hint="eastAsia" w:ascii="仿宋_GB2312" w:hAnsi="ˎ̥" w:eastAsia="仿宋_GB2312"/>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本</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共有车辆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辆</w:t>
      </w:r>
      <w:r>
        <w:rPr>
          <w:rFonts w:hint="eastAsia" w:ascii="仿宋_GB2312" w:hAnsi="ˎ̥" w:eastAsia="仿宋_GB2312"/>
          <w:color w:val="auto"/>
          <w:sz w:val="32"/>
          <w:szCs w:val="32"/>
          <w:lang w:eastAsia="zh-CN"/>
        </w:rPr>
        <w:t>。</w:t>
      </w:r>
      <w:r>
        <w:rPr>
          <w:rFonts w:hint="eastAsia" w:ascii="仿宋_GB2312" w:hAnsi="ˎ̥" w:eastAsia="仿宋_GB2312"/>
          <w:color w:val="auto"/>
          <w:sz w:val="32"/>
          <w:szCs w:val="32"/>
        </w:rPr>
        <w:t>单价100万元（含）以上设备（不含车辆）</w:t>
      </w:r>
      <w:r>
        <w:rPr>
          <w:rFonts w:hint="eastAsia" w:ascii="仿宋_GB2312" w:hAnsi="ˎ̥" w:eastAsia="仿宋_GB2312"/>
          <w:color w:val="auto"/>
          <w:sz w:val="32"/>
          <w:szCs w:val="32"/>
          <w:lang w:val="en-US" w:eastAsia="zh-CN"/>
        </w:rPr>
        <w:t>0</w:t>
      </w:r>
      <w:r>
        <w:rPr>
          <w:rFonts w:hint="eastAsia" w:ascii="仿宋_GB2312" w:hAnsi="ˎ̥" w:eastAsia="仿宋_GB2312"/>
          <w:color w:val="auto"/>
          <w:sz w:val="32"/>
          <w:szCs w:val="32"/>
        </w:rPr>
        <w:t>台（套）。</w:t>
      </w:r>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bookmarkStart w:id="115" w:name="_Toc8808_WPSOffice_Level1"/>
      <w:bookmarkStart w:id="116" w:name="_Toc17580_WPSOffice_Level1"/>
      <w:bookmarkStart w:id="117" w:name="_Toc11039_WPSOffice_Level1"/>
      <w:bookmarkStart w:id="118" w:name="_Toc8874_WPSOffice_Level1"/>
      <w:bookmarkStart w:id="119" w:name="_Toc4398_WPSOffice_Level1"/>
      <w:bookmarkStart w:id="120" w:name="_Toc15425_WPSOffice_Level1"/>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r>
        <w:rPr>
          <w:rFonts w:hint="eastAsia" w:ascii="黑体" w:hAnsi="ˎ̥" w:eastAsia="黑体"/>
          <w:color w:val="auto"/>
          <w:sz w:val="32"/>
          <w:szCs w:val="32"/>
        </w:rPr>
        <w:t>第四部分  名词解释</w:t>
      </w:r>
      <w:bookmarkEnd w:id="115"/>
      <w:bookmarkEnd w:id="116"/>
      <w:bookmarkEnd w:id="117"/>
      <w:bookmarkEnd w:id="118"/>
      <w:bookmarkEnd w:id="119"/>
      <w:bookmarkEnd w:id="120"/>
    </w:p>
    <w:p>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黑体" w:hAnsi="ˎ̥" w:eastAsia="黑体"/>
          <w:color w:val="auto"/>
          <w:sz w:val="32"/>
          <w:szCs w:val="32"/>
        </w:rPr>
      </w:pPr>
    </w:p>
    <w:p>
      <w:pPr>
        <w:keepNext w:val="0"/>
        <w:keepLines w:val="0"/>
        <w:pageBreakBefore w:val="0"/>
        <w:widowControl w:val="0"/>
        <w:numPr>
          <w:ilvl w:val="0"/>
          <w:numId w:val="4"/>
        </w:numPr>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财政拨款收入：指同级政府财政</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当年拨付的各类财政拨款。</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二、上级补助收入：指事业单位从主管</w:t>
      </w:r>
      <w:r>
        <w:rPr>
          <w:rFonts w:hint="eastAsia" w:ascii="仿宋_GB2312" w:hAnsi="ˎ̥" w:eastAsia="仿宋_GB2312"/>
          <w:color w:val="auto"/>
          <w:sz w:val="32"/>
          <w:szCs w:val="32"/>
          <w:lang w:eastAsia="zh-CN"/>
        </w:rPr>
        <w:t>单位</w:t>
      </w:r>
      <w:r>
        <w:rPr>
          <w:rFonts w:hint="eastAsia" w:ascii="仿宋_GB2312" w:hAnsi="ˎ̥" w:eastAsia="仿宋_GB2312"/>
          <w:color w:val="auto"/>
          <w:sz w:val="32"/>
          <w:szCs w:val="32"/>
        </w:rPr>
        <w:t>和上级单位取得的非财政补助收入。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三、事业收入：指事业单位开展专业业务活动及辅助活动取得的收入。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四、经营收入：指事业单位在专业业务活动及其辅助活动之外开展非独立核算经营活动取得的收入。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五、附属单位上缴收入：指事业单位取得附属独立核算单位根据有关规定上缴的收入。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六、其他收入：指除上述“财政拨款收入”“事业收入”“上级补助收入”“经营收入”“附属单位上缴收入”等以外的收入。</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color w:val="auto"/>
          <w:sz w:val="32"/>
          <w:szCs w:val="32"/>
        </w:rPr>
      </w:pPr>
      <w:r>
        <w:rPr>
          <w:rFonts w:hint="eastAsia" w:ascii="仿宋_GB2312" w:hAnsi="ˎ̥" w:eastAsia="仿宋_GB2312"/>
          <w:color w:val="auto"/>
          <w:sz w:val="32"/>
          <w:szCs w:val="32"/>
        </w:rPr>
        <w:t>七、使用非财政拨款结余：指事业单位在当年的“财政拨款收入”“事业收入”“经营收入”“其他收入”等不足以安排当年支出的情况下，使用非同级财政拨款结余资金弥补本年度收支缺口。</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color w:val="auto"/>
          <w:sz w:val="32"/>
          <w:szCs w:val="32"/>
        </w:rPr>
        <w:t>八、年初结转和结余：指以前年度尚未完成、结转到本年按有关规定继续使用的资金，或项</w:t>
      </w:r>
      <w:r>
        <w:rPr>
          <w:rFonts w:hint="eastAsia" w:ascii="仿宋_GB2312" w:hAnsi="ˎ̥" w:eastAsia="仿宋_GB2312"/>
          <w:sz w:val="32"/>
          <w:szCs w:val="32"/>
        </w:rPr>
        <w:t>目已完成等产生的结余资金。</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九、结余分配：指事业单位缴纳企业所得税以及从非财政拨款结余或经营结余中提取各类结余的情况。</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十、年末结转和结余：指本年度或以前年度预算安排、因客观条件发生变化无法按原计划实施，需要延迟到以后年度按有关规定继续使用的资金（不包括事业单位非财政拨款结余和专用结余）。</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十一、基本支出：指为保障机构正常运转、完成日常工作任务而发生的人员支出和公用支出。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十二、项目支出：指在基本支出之外为完成特定行政任务和事业发展目标所发生的支出。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十三、经营支出：指事业单位在专业业务活动及其辅助活动之外开展非独立核算经营活动发生的支出。</w:t>
      </w:r>
    </w:p>
    <w:p>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ˎ̥" w:eastAsia="仿宋_GB2312"/>
          <w:sz w:val="32"/>
          <w:szCs w:val="32"/>
        </w:rPr>
      </w:pPr>
      <w:r>
        <w:rPr>
          <w:rFonts w:hint="eastAsia" w:ascii="仿宋_GB2312" w:hAnsi="ˎ̥" w:eastAsia="仿宋_GB2312"/>
          <w:sz w:val="32"/>
          <w:szCs w:val="32"/>
        </w:rPr>
        <w:t>十四、“三公”经费：纳入本级财政预决算管理的“三公”经费，是指用一般公共预算财政拨款、政府性基金预算财政拨款及国有资本经营预算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及燃料费、维修费、过路过桥费、保险费、安全奖励费用等支出；公务接待费反映单位按规定开支的各类公务接待（含外宾接待）费用。</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eastAsia" w:ascii="仿宋_GB2312" w:hAnsi="ˎ̥" w:eastAsia="仿宋_GB2312"/>
          <w:sz w:val="32"/>
          <w:szCs w:val="32"/>
        </w:rPr>
      </w:pPr>
      <w:r>
        <w:rPr>
          <w:rFonts w:hint="eastAsia" w:ascii="仿宋_GB2312" w:hAnsi="ˎ̥" w:eastAsia="仿宋_GB2312"/>
          <w:sz w:val="32"/>
          <w:szCs w:val="32"/>
        </w:rPr>
        <w:t>十五、机关运行经费：为保障行政单位（含参照公务员法管理的事业单位）运行使用一般公共预算财政拨款安排的基本支出经费用于购买货物和服务的各项资金，包括办公及印刷费、邮电费、差旅费、会议费、福利费、日常维修费、专用材料及一般设备购置费、办公用房水电费、办公用房取暖费、办公用房物业管理费、公务用车运行维护费以及其他费用等。</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sz w:val="32"/>
          <w:szCs w:val="32"/>
        </w:rPr>
        <w:t>十六、</w:t>
      </w:r>
      <w:r>
        <w:rPr>
          <w:rFonts w:ascii="仿宋_GB2312" w:hAnsi="ˎ̥" w:eastAsia="仿宋_GB2312"/>
          <w:sz w:val="32"/>
          <w:szCs w:val="32"/>
        </w:rPr>
        <w:t>支出功能分类：</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ascii="仿宋_GB2312" w:hAnsi="ˎ̥" w:eastAsia="仿宋_GB2312"/>
          <w:sz w:val="32"/>
          <w:szCs w:val="32"/>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rPr>
        <w:t>；</w:t>
      </w:r>
    </w:p>
    <w:p>
      <w:pPr>
        <w:keepNext w:val="0"/>
        <w:keepLines w:val="0"/>
        <w:pageBreakBefore w:val="0"/>
        <w:widowControl w:val="0"/>
        <w:kinsoku/>
        <w:wordWrap/>
        <w:overflowPunct/>
        <w:topLinePunct w:val="0"/>
        <w:autoSpaceDE/>
        <w:autoSpaceDN/>
        <w:bidi w:val="0"/>
        <w:adjustRightInd/>
        <w:snapToGrid/>
        <w:spacing w:line="578" w:lineRule="exact"/>
        <w:ind w:firstLine="645"/>
        <w:textAlignment w:val="auto"/>
        <w:rPr>
          <w:rFonts w:hint="default" w:ascii="仿宋_GB2312" w:hAnsi="ˎ̥" w:eastAsia="仿宋_GB2312"/>
          <w:sz w:val="32"/>
          <w:szCs w:val="32"/>
          <w:lang w:val="en-US" w:eastAsia="zh-CN"/>
        </w:rPr>
      </w:pPr>
      <w:r>
        <w:rPr>
          <w:rFonts w:hint="eastAsia" w:ascii="仿宋_GB2312" w:hAnsi="ˎ̥" w:eastAsia="仿宋_GB2312"/>
          <w:color w:val="FF0000"/>
          <w:sz w:val="32"/>
          <w:szCs w:val="32"/>
        </w:rPr>
        <w:t>XXXX</w:t>
      </w:r>
      <w:r>
        <w:rPr>
          <w:rFonts w:hint="eastAsia" w:ascii="仿宋_GB2312" w:hAnsi="ˎ̥" w:eastAsia="仿宋_GB2312"/>
          <w:sz w:val="32"/>
          <w:szCs w:val="32"/>
        </w:rPr>
        <w:t>（类）</w:t>
      </w:r>
      <w:r>
        <w:rPr>
          <w:rFonts w:hint="eastAsia" w:ascii="仿宋_GB2312" w:hAnsi="ˎ̥" w:eastAsia="仿宋_GB2312"/>
          <w:color w:val="FF0000"/>
          <w:sz w:val="32"/>
          <w:szCs w:val="32"/>
        </w:rPr>
        <w:t>XXXX</w:t>
      </w:r>
      <w:r>
        <w:rPr>
          <w:rFonts w:hint="eastAsia" w:ascii="仿宋_GB2312" w:hAnsi="ˎ̥" w:eastAsia="仿宋_GB2312"/>
          <w:sz w:val="32"/>
          <w:szCs w:val="32"/>
        </w:rPr>
        <w:t>（款）</w:t>
      </w:r>
      <w:r>
        <w:rPr>
          <w:rFonts w:hint="eastAsia" w:ascii="仿宋_GB2312" w:hAnsi="ˎ̥" w:eastAsia="仿宋_GB2312"/>
          <w:color w:val="FF0000"/>
          <w:sz w:val="32"/>
          <w:szCs w:val="32"/>
        </w:rPr>
        <w:t>XXXX</w:t>
      </w:r>
      <w:r>
        <w:rPr>
          <w:rFonts w:hint="eastAsia" w:ascii="仿宋_GB2312" w:hAnsi="ˎ̥" w:eastAsia="仿宋_GB2312"/>
          <w:sz w:val="32"/>
          <w:szCs w:val="32"/>
        </w:rPr>
        <w:t>（项），</w:t>
      </w:r>
      <w:r>
        <w:rPr>
          <w:rFonts w:ascii="仿宋_GB2312" w:hAnsi="ˎ̥" w:eastAsia="仿宋_GB2312"/>
          <w:sz w:val="32"/>
          <w:szCs w:val="32"/>
        </w:rPr>
        <w:t>……</w:t>
      </w:r>
      <w:r>
        <w:rPr>
          <w:rFonts w:hint="eastAsia" w:ascii="仿宋_GB2312" w:hAnsi="ˎ̥"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78" w:lineRule="exact"/>
        <w:textAlignment w:val="auto"/>
      </w:pPr>
      <w:r>
        <w:rPr>
          <w:rFonts w:hint="eastAsia" w:ascii="仿宋_GB2312" w:hAnsi="ˎ̥" w:eastAsia="仿宋_GB2312"/>
          <w:sz w:val="32"/>
          <w:szCs w:val="32"/>
        </w:rPr>
        <w:t>（注</w:t>
      </w:r>
      <w:r>
        <w:rPr>
          <w:rFonts w:ascii="仿宋_GB2312" w:hAnsi="ˎ̥" w:eastAsia="仿宋_GB2312"/>
          <w:sz w:val="32"/>
          <w:szCs w:val="32"/>
        </w:rPr>
        <w:t>：</w:t>
      </w:r>
      <w:r>
        <w:rPr>
          <w:rFonts w:hint="eastAsia" w:ascii="仿宋_GB2312" w:hAnsi="ˎ̥" w:eastAsia="仿宋_GB2312"/>
          <w:sz w:val="32"/>
          <w:szCs w:val="32"/>
        </w:rPr>
        <w:t>支出功能分类的名词解释，各</w:t>
      </w:r>
      <w:r>
        <w:rPr>
          <w:rFonts w:hint="eastAsia" w:ascii="仿宋_GB2312" w:hAnsi="ˎ̥" w:eastAsia="仿宋_GB2312"/>
          <w:sz w:val="32"/>
          <w:szCs w:val="32"/>
          <w:lang w:val="en-US" w:eastAsia="zh-CN"/>
        </w:rPr>
        <w:t>预算</w:t>
      </w:r>
      <w:r>
        <w:rPr>
          <w:rFonts w:hint="eastAsia" w:ascii="仿宋_GB2312" w:hAnsi="ˎ̥" w:eastAsia="仿宋_GB2312"/>
          <w:sz w:val="32"/>
          <w:szCs w:val="32"/>
          <w:lang w:eastAsia="zh-CN"/>
        </w:rPr>
        <w:t>单位、</w:t>
      </w:r>
      <w:r>
        <w:rPr>
          <w:rFonts w:hint="eastAsia" w:ascii="仿宋_GB2312" w:hAnsi="ˎ̥" w:eastAsia="仿宋_GB2312"/>
          <w:sz w:val="32"/>
          <w:szCs w:val="32"/>
        </w:rPr>
        <w:t>单位根据实际支出情况填列，可参阅财政部印发的《</w:t>
      </w:r>
      <w:r>
        <w:rPr>
          <w:rFonts w:hint="default" w:ascii="仿宋_GB2312" w:hAnsi="ˎ̥" w:eastAsia="仿宋_GB2312"/>
          <w:sz w:val="32"/>
          <w:szCs w:val="32"/>
          <w:lang w:val="en-US"/>
        </w:rPr>
        <w:t>2024</w:t>
      </w:r>
      <w:r>
        <w:rPr>
          <w:rFonts w:hint="eastAsia" w:ascii="仿宋_GB2312" w:hAnsi="ˎ̥" w:eastAsia="仿宋_GB2312"/>
          <w:sz w:val="32"/>
          <w:szCs w:val="32"/>
        </w:rPr>
        <w:t>年政府收支分类科目》</w:t>
      </w:r>
      <w:r>
        <w:rPr>
          <w:rFonts w:hint="eastAsia" w:ascii="仿宋_GB2312" w:hAnsi="ˎ̥" w:eastAsia="仿宋_GB2312"/>
          <w:sz w:val="32"/>
          <w:szCs w:val="32"/>
          <w:lang w:eastAsia="zh-CN"/>
        </w:rPr>
        <w:t>。</w:t>
      </w:r>
      <w:r>
        <w:rPr>
          <w:rFonts w:hint="eastAsia" w:ascii="仿宋_GB2312" w:hAnsi="ˎ̥" w:eastAsia="仿宋_GB2312"/>
          <w:sz w:val="32"/>
          <w:szCs w:val="32"/>
        </w:rPr>
        <w:t>）</w:t>
      </w:r>
    </w:p>
    <w:sectPr>
      <w:footerReference r:id="rId3" w:type="default"/>
      <w:foot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ˎ̥">
    <w:altName w:val="微软雅黑"/>
    <w:panose1 w:val="00000000000000000000"/>
    <w:charset w:val="00"/>
    <w:family w:val="roman"/>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18</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FFC2DCC"/>
    <w:multiLevelType w:val="singleLevel"/>
    <w:tmpl w:val="AFFC2DCC"/>
    <w:lvl w:ilvl="0" w:tentative="0">
      <w:start w:val="1"/>
      <w:numFmt w:val="chineseCounting"/>
      <w:suff w:val="nothing"/>
      <w:lvlText w:val="%1、"/>
      <w:lvlJc w:val="left"/>
      <w:rPr>
        <w:rFonts w:hint="eastAsia"/>
      </w:rPr>
    </w:lvl>
  </w:abstractNum>
  <w:abstractNum w:abstractNumId="1">
    <w:nsid w:val="06ABCCD0"/>
    <w:multiLevelType w:val="singleLevel"/>
    <w:tmpl w:val="06ABCCD0"/>
    <w:lvl w:ilvl="0" w:tentative="0">
      <w:start w:val="2"/>
      <w:numFmt w:val="chineseCounting"/>
      <w:suff w:val="nothing"/>
      <w:lvlText w:val="（%1）"/>
      <w:lvlJc w:val="left"/>
      <w:rPr>
        <w:rFonts w:hint="eastAsia"/>
      </w:rPr>
    </w:lvl>
  </w:abstractNum>
  <w:abstractNum w:abstractNumId="2">
    <w:nsid w:val="72109F8D"/>
    <w:multiLevelType w:val="singleLevel"/>
    <w:tmpl w:val="72109F8D"/>
    <w:lvl w:ilvl="0" w:tentative="0">
      <w:start w:val="7"/>
      <w:numFmt w:val="chineseCounting"/>
      <w:suff w:val="nothing"/>
      <w:lvlText w:val="%1、"/>
      <w:lvlJc w:val="left"/>
      <w:rPr>
        <w:rFonts w:hint="eastAsia"/>
      </w:rPr>
    </w:lvl>
  </w:abstractNum>
  <w:abstractNum w:abstractNumId="3">
    <w:nsid w:val="76A2D24E"/>
    <w:multiLevelType w:val="singleLevel"/>
    <w:tmpl w:val="76A2D24E"/>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lZThlZDk5ZTQ4MTFjNGY3MjIxNTdiOWMzZmQwMWMifQ=="/>
  </w:docVars>
  <w:rsids>
    <w:rsidRoot w:val="A7F73C99"/>
    <w:rsid w:val="00064A91"/>
    <w:rsid w:val="000718C4"/>
    <w:rsid w:val="000779B0"/>
    <w:rsid w:val="001E4E23"/>
    <w:rsid w:val="001E510D"/>
    <w:rsid w:val="001F28C1"/>
    <w:rsid w:val="001F4EC0"/>
    <w:rsid w:val="00213789"/>
    <w:rsid w:val="002A6E07"/>
    <w:rsid w:val="0034456B"/>
    <w:rsid w:val="003D2F77"/>
    <w:rsid w:val="004C755C"/>
    <w:rsid w:val="004D515A"/>
    <w:rsid w:val="004D5572"/>
    <w:rsid w:val="0050273F"/>
    <w:rsid w:val="00513897"/>
    <w:rsid w:val="00530C81"/>
    <w:rsid w:val="005C43A2"/>
    <w:rsid w:val="005E64FB"/>
    <w:rsid w:val="005F5987"/>
    <w:rsid w:val="00602EED"/>
    <w:rsid w:val="006B0D64"/>
    <w:rsid w:val="00731FC7"/>
    <w:rsid w:val="00740E64"/>
    <w:rsid w:val="00754F6E"/>
    <w:rsid w:val="007A4101"/>
    <w:rsid w:val="008232A9"/>
    <w:rsid w:val="00896ADB"/>
    <w:rsid w:val="009A2744"/>
    <w:rsid w:val="00A54A37"/>
    <w:rsid w:val="00A70448"/>
    <w:rsid w:val="00AA19F3"/>
    <w:rsid w:val="00AC28EE"/>
    <w:rsid w:val="00AC3F0E"/>
    <w:rsid w:val="00B36E61"/>
    <w:rsid w:val="00B409FF"/>
    <w:rsid w:val="00B4133E"/>
    <w:rsid w:val="00B54DE8"/>
    <w:rsid w:val="00B63E9E"/>
    <w:rsid w:val="00BC0439"/>
    <w:rsid w:val="00C04C21"/>
    <w:rsid w:val="00C7436A"/>
    <w:rsid w:val="00CA0F14"/>
    <w:rsid w:val="00CA536B"/>
    <w:rsid w:val="00CB0D1E"/>
    <w:rsid w:val="00CD6E49"/>
    <w:rsid w:val="00CD794A"/>
    <w:rsid w:val="00DB612B"/>
    <w:rsid w:val="00DC2A37"/>
    <w:rsid w:val="00E07782"/>
    <w:rsid w:val="00E70EA3"/>
    <w:rsid w:val="00F0336A"/>
    <w:rsid w:val="00F06DA9"/>
    <w:rsid w:val="00F103D6"/>
    <w:rsid w:val="00F25220"/>
    <w:rsid w:val="00FA2884"/>
    <w:rsid w:val="00FC03DC"/>
    <w:rsid w:val="00FC5708"/>
    <w:rsid w:val="09201287"/>
    <w:rsid w:val="094367CD"/>
    <w:rsid w:val="09716DA9"/>
    <w:rsid w:val="0FC80124"/>
    <w:rsid w:val="136F98C7"/>
    <w:rsid w:val="17263062"/>
    <w:rsid w:val="17427E68"/>
    <w:rsid w:val="1755065F"/>
    <w:rsid w:val="18672AAE"/>
    <w:rsid w:val="1AFC29C9"/>
    <w:rsid w:val="1CA52F2E"/>
    <w:rsid w:val="1DC0129A"/>
    <w:rsid w:val="1E3630B9"/>
    <w:rsid w:val="1F8A5DA6"/>
    <w:rsid w:val="2002575D"/>
    <w:rsid w:val="26EEC2B5"/>
    <w:rsid w:val="29472309"/>
    <w:rsid w:val="2A192816"/>
    <w:rsid w:val="2B406E77"/>
    <w:rsid w:val="2C2A0C43"/>
    <w:rsid w:val="2D1E73A5"/>
    <w:rsid w:val="30143F92"/>
    <w:rsid w:val="32717154"/>
    <w:rsid w:val="34B63260"/>
    <w:rsid w:val="37FDA7E2"/>
    <w:rsid w:val="3A314D88"/>
    <w:rsid w:val="3A746883"/>
    <w:rsid w:val="3AE44D80"/>
    <w:rsid w:val="3CA15DE9"/>
    <w:rsid w:val="3FE61EE5"/>
    <w:rsid w:val="406508EE"/>
    <w:rsid w:val="408D6263"/>
    <w:rsid w:val="41B40CEE"/>
    <w:rsid w:val="448E0FDC"/>
    <w:rsid w:val="48317291"/>
    <w:rsid w:val="485F7024"/>
    <w:rsid w:val="48E70666"/>
    <w:rsid w:val="4C6877E5"/>
    <w:rsid w:val="4D6A468D"/>
    <w:rsid w:val="4DCD7C9F"/>
    <w:rsid w:val="4EA86137"/>
    <w:rsid w:val="4F9667B6"/>
    <w:rsid w:val="51E85B30"/>
    <w:rsid w:val="52BD4645"/>
    <w:rsid w:val="52E1625C"/>
    <w:rsid w:val="56CA7FD0"/>
    <w:rsid w:val="57FA38D1"/>
    <w:rsid w:val="5F7D3333"/>
    <w:rsid w:val="61385890"/>
    <w:rsid w:val="687436E1"/>
    <w:rsid w:val="6A671179"/>
    <w:rsid w:val="6D774366"/>
    <w:rsid w:val="6DA45C50"/>
    <w:rsid w:val="6E9A7825"/>
    <w:rsid w:val="6EF35841"/>
    <w:rsid w:val="6F670F9B"/>
    <w:rsid w:val="7277299F"/>
    <w:rsid w:val="737450E0"/>
    <w:rsid w:val="74054476"/>
    <w:rsid w:val="742F38C4"/>
    <w:rsid w:val="74AB66DC"/>
    <w:rsid w:val="74C4154C"/>
    <w:rsid w:val="74DB0643"/>
    <w:rsid w:val="74FF4BC3"/>
    <w:rsid w:val="75956FFF"/>
    <w:rsid w:val="77AA2D01"/>
    <w:rsid w:val="7CDE1DBD"/>
    <w:rsid w:val="7D943A85"/>
    <w:rsid w:val="7DB0448C"/>
    <w:rsid w:val="7E5F9AA4"/>
    <w:rsid w:val="8FFC8888"/>
    <w:rsid w:val="A7F73C99"/>
    <w:rsid w:val="BFFE3BF4"/>
    <w:rsid w:val="DFEBDA37"/>
    <w:rsid w:val="EF6FCA1D"/>
    <w:rsid w:val="EFFF57D6"/>
    <w:rsid w:val="FD33A2D0"/>
    <w:rsid w:val="FF7FA20F"/>
    <w:rsid w:val="FFFE81A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link w:val="11"/>
    <w:qFormat/>
    <w:uiPriority w:val="0"/>
    <w:pPr>
      <w:jc w:val="left"/>
    </w:pPr>
  </w:style>
  <w:style w:type="paragraph" w:styleId="3">
    <w:name w:val="Balloon Text"/>
    <w:basedOn w:val="1"/>
    <w:link w:val="12"/>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4"/>
    <w:qFormat/>
    <w:uiPriority w:val="0"/>
    <w:rPr>
      <w:b/>
      <w:bCs/>
    </w:rPr>
  </w:style>
  <w:style w:type="character" w:styleId="9">
    <w:name w:val="page number"/>
    <w:qFormat/>
    <w:uiPriority w:val="0"/>
  </w:style>
  <w:style w:type="character" w:styleId="10">
    <w:name w:val="annotation reference"/>
    <w:qFormat/>
    <w:uiPriority w:val="0"/>
    <w:rPr>
      <w:sz w:val="21"/>
      <w:szCs w:val="21"/>
    </w:rPr>
  </w:style>
  <w:style w:type="character" w:customStyle="1" w:styleId="11">
    <w:name w:val="批注文字 Char"/>
    <w:link w:val="2"/>
    <w:qFormat/>
    <w:uiPriority w:val="0"/>
    <w:rPr>
      <w:kern w:val="2"/>
      <w:sz w:val="21"/>
      <w:szCs w:val="24"/>
    </w:rPr>
  </w:style>
  <w:style w:type="character" w:customStyle="1" w:styleId="12">
    <w:name w:val="批注框文本 Char"/>
    <w:link w:val="3"/>
    <w:qFormat/>
    <w:uiPriority w:val="0"/>
    <w:rPr>
      <w:kern w:val="2"/>
      <w:sz w:val="18"/>
      <w:szCs w:val="18"/>
    </w:rPr>
  </w:style>
  <w:style w:type="character" w:customStyle="1" w:styleId="13">
    <w:name w:val="页眉 Char"/>
    <w:link w:val="5"/>
    <w:qFormat/>
    <w:uiPriority w:val="0"/>
    <w:rPr>
      <w:kern w:val="2"/>
      <w:sz w:val="18"/>
      <w:szCs w:val="18"/>
    </w:rPr>
  </w:style>
  <w:style w:type="character" w:customStyle="1" w:styleId="14">
    <w:name w:val="批注主题 Char"/>
    <w:link w:val="6"/>
    <w:qFormat/>
    <w:uiPriority w:val="0"/>
    <w:rPr>
      <w:b/>
      <w:bCs/>
      <w:kern w:val="2"/>
      <w:sz w:val="21"/>
      <w:szCs w:val="24"/>
    </w:rPr>
  </w:style>
  <w:style w:type="paragraph" w:customStyle="1" w:styleId="15">
    <w:name w:val="WPSOffice手动目录 1"/>
    <w:qFormat/>
    <w:uiPriority w:val="0"/>
    <w:rPr>
      <w:rFonts w:ascii="Times New Roman" w:hAnsi="Times New Roman" w:eastAsia="宋体" w:cs="Times New Roman"/>
      <w:lang w:val="en-US" w:eastAsia="zh-CN" w:bidi="ar-SA"/>
    </w:rPr>
  </w:style>
  <w:style w:type="paragraph" w:customStyle="1" w:styleId="16">
    <w:name w:val="WPSOffice手动目录 2"/>
    <w:qFormat/>
    <w:uiPriority w:val="0"/>
    <w:pPr>
      <w:ind w:leftChars="200"/>
    </w:pPr>
    <w:rPr>
      <w:rFonts w:ascii="Times New Roman" w:hAnsi="Times New Roman" w:eastAsia="宋体" w:cs="Times New Roman"/>
      <w:lang w:val="en-US" w:eastAsia="zh-CN" w:bidi="ar-SA"/>
    </w:rPr>
  </w:style>
  <w:style w:type="paragraph" w:customStyle="1" w:styleId="17">
    <w:name w:val="正文1 Char Char Char"/>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5737</Words>
  <Characters>6381</Characters>
  <Lines>67</Lines>
  <Paragraphs>18</Paragraphs>
  <TotalTime>3</TotalTime>
  <ScaleCrop>false</ScaleCrop>
  <LinksUpToDate>false</LinksUpToDate>
  <CharactersWithSpaces>6447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2024-07-24T03:26:00Z</dcterms:created>
  <dc:creator>uos</dc:creator>
  <cp:lastModifiedBy>子净</cp:lastModifiedBy>
  <cp:lastPrinted>2023-08-03T00:58:00Z</cp:lastPrinted>
  <dcterms:modified xsi:type="dcterms:W3CDTF">2025-10-27T01:22:22Z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03AE7F14E2DC4BACB053764200FF950D_13</vt:lpwstr>
  </property>
  <property fmtid="{D5CDD505-2E9C-101B-9397-08002B2CF9AE}" pid="4" name="KSOTemplateDocerSaveRecord">
    <vt:lpwstr>eyJoZGlkIjoiZTQ0MTFlOTVmMDY1MGJmZjk2ODhkOWIzOGM1Y2I5YTEiLCJ1c2VySWQiOiIxMTc1NDI3MzU2In0=</vt:lpwstr>
  </property>
</Properties>
</file>