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bookmarkStart w:id="121" w:name="_GoBack"/>
      <w:r>
        <w:rPr>
          <w:rFonts w:hint="eastAsia" w:ascii="方正小标宋_GBK" w:hAnsi="方正小标宋_GBK" w:eastAsia="方正小标宋_GBK" w:cs="方正小标宋_GBK"/>
          <w:b w:val="0"/>
          <w:bCs w:val="0"/>
          <w:sz w:val="44"/>
          <w:szCs w:val="44"/>
        </w:rPr>
        <w:t>屯昌县西昌镇晨星学校2024年度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bookmarkEnd w:id="121"/>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704_WPSOffice_Level1"/>
      <w:bookmarkStart w:id="3" w:name="_Toc32433_WPSOffice_Level1"/>
      <w:bookmarkStart w:id="4" w:name="_Toc23465_WPSOffice_Level1"/>
      <w:bookmarkStart w:id="5" w:name="_Toc10720_WPSOffice_Level1"/>
      <w:bookmarkStart w:id="6" w:name="_Toc22941_WPSOffice_Level1"/>
      <w:bookmarkStart w:id="7" w:name="_Toc10049_WPSOffice_Level1"/>
      <w:bookmarkStart w:id="8" w:name="_Toc24238_WPSOffice_Level2"/>
      <w:bookmarkStart w:id="9" w:name="_Toc20274_WPSOffice_Level2"/>
      <w:bookmarkStart w:id="10" w:name="_Toc32622_WPSOffice_Level2"/>
      <w:bookmarkStart w:id="11" w:name="_Toc26580_WPSOffice_Level2"/>
      <w:bookmarkStart w:id="12" w:name="_Toc20205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numPr>
          <w:ilvl w:val="0"/>
          <w:numId w:val="0"/>
        </w:numPr>
        <w:spacing w:line="578" w:lineRule="exact"/>
        <w:ind w:firstLine="600" w:firstLineChars="200"/>
        <w:rPr>
          <w:rFonts w:hint="eastAsia" w:ascii="黑体" w:hAnsi="黑体" w:eastAsia="黑体" w:cs="黑体"/>
          <w:sz w:val="32"/>
          <w:szCs w:val="32"/>
        </w:rPr>
      </w:pPr>
      <w:r>
        <w:rPr>
          <w:rFonts w:hint="eastAsia" w:ascii="仿宋" w:hAnsi="仿宋" w:eastAsia="仿宋" w:cs="仿宋"/>
          <w:kern w:val="0"/>
          <w:sz w:val="30"/>
          <w:szCs w:val="30"/>
        </w:rPr>
        <w:t>研究拟定全校教育发展战略法，贯彻执行党和国家的教育方针、政策、法规；研究拟定学校发展规划和年度计划组织实施教育体制和办学体制改革。其主要职责是管理和指导学校基础教育工作，确保普及九年义务教育工作成果，管理学校教育经费执行财务管理制度；负责和指导学校教职工的思想政治工作。</w:t>
      </w:r>
    </w:p>
    <w:p>
      <w:pPr>
        <w:spacing w:line="578" w:lineRule="exact"/>
        <w:ind w:firstLine="640" w:firstLineChars="200"/>
        <w:rPr>
          <w:rFonts w:hint="eastAsia" w:ascii="黑体" w:hAnsi="黑体" w:eastAsia="黑体" w:cs="黑体"/>
          <w:sz w:val="32"/>
          <w:szCs w:val="32"/>
        </w:rPr>
      </w:pPr>
      <w:bookmarkStart w:id="14" w:name="_Toc24474_WPSOffice_Level2"/>
      <w:bookmarkStart w:id="15" w:name="_Toc24059_WPSOffice_Level2"/>
      <w:bookmarkStart w:id="16" w:name="_Toc6572_WPSOffice_Level2"/>
      <w:bookmarkStart w:id="17" w:name="_Toc17796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bookmarkStart w:id="19" w:name="_Toc8164_WPSOffice_Level1"/>
      <w:bookmarkStart w:id="20" w:name="_Toc15521_WPSOffice_Level1"/>
      <w:bookmarkStart w:id="21" w:name="_Toc28253_WPSOffice_Level1"/>
      <w:bookmarkStart w:id="22" w:name="_Toc30690_WPSOffice_Level1"/>
      <w:bookmarkStart w:id="23" w:name="_Toc6234_WPSOffice_Level1"/>
      <w:bookmarkStart w:id="24" w:name="_Toc30451_WPSOffice_Level1"/>
      <w:bookmarkStart w:id="25" w:name="_Toc6211_WPSOffice_Level2"/>
      <w:bookmarkStart w:id="26" w:name="_Toc4029_WPSOffice_Level2"/>
      <w:bookmarkStart w:id="27" w:name="_Toc32695_WPSOffice_Level2"/>
      <w:bookmarkStart w:id="28" w:name="_Toc8867_WPSOffice_Level2"/>
      <w:bookmarkStart w:id="29" w:name="_Toc32472_WPSOffice_Level2"/>
      <w:bookmarkStart w:id="30" w:name="_Toc11518_WPSOffice_Level2"/>
      <w:r>
        <w:rPr>
          <w:rFonts w:hint="eastAsia" w:ascii="仿宋_GB2312" w:hAnsi="ˎ̥" w:eastAsia="仿宋_GB2312"/>
          <w:sz w:val="32"/>
          <w:szCs w:val="32"/>
        </w:rPr>
        <w:t>纳入</w:t>
      </w:r>
      <w:r>
        <w:rPr>
          <w:rFonts w:hint="eastAsia" w:ascii="仿宋_GB2312" w:hAnsi="ˎ̥" w:eastAsia="仿宋_GB2312"/>
          <w:sz w:val="32"/>
          <w:szCs w:val="32"/>
          <w:lang w:val="en-US" w:eastAsia="zh-CN"/>
        </w:rPr>
        <w:t>屯昌县西昌镇晨星学校</w:t>
      </w: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sz w:val="32"/>
          <w:szCs w:val="32"/>
        </w:rPr>
        <w:t>个，包括：</w:t>
      </w:r>
    </w:p>
    <w:p>
      <w:pPr>
        <w:keepNext w:val="0"/>
        <w:keepLines w:val="0"/>
        <w:widowControl/>
        <w:suppressLineNumbers w:val="0"/>
        <w:ind w:firstLineChars="200"/>
        <w:rPr>
          <w:rFonts w:hint="eastAsia" w:ascii="黑体" w:hAnsi="宋体" w:eastAsia="黑体" w:cs="黑体"/>
          <w:kern w:val="0"/>
          <w:sz w:val="32"/>
          <w:szCs w:val="32"/>
        </w:rPr>
      </w:pPr>
      <w:bookmarkStart w:id="31" w:name="_Toc24421_WPSOffice_Level2"/>
      <w:bookmarkStart w:id="32" w:name="_Toc25738_WPSOffice_Level2"/>
      <w:r>
        <w:rPr>
          <w:rFonts w:hint="eastAsia" w:ascii="方正楷体_GBK" w:hAnsi="方正楷体_GBK" w:eastAsia="方正楷体_GBK" w:cs="方正楷体_GBK"/>
          <w:sz w:val="32"/>
          <w:szCs w:val="32"/>
        </w:rPr>
        <w:t>（一）</w:t>
      </w:r>
      <w:bookmarkEnd w:id="31"/>
      <w:bookmarkEnd w:id="32"/>
      <w:r>
        <w:rPr>
          <w:rFonts w:hint="eastAsia" w:ascii="仿宋" w:hAnsi="仿宋" w:eastAsia="仿宋" w:cs="仿宋"/>
          <w:kern w:val="0"/>
          <w:sz w:val="30"/>
          <w:szCs w:val="30"/>
        </w:rPr>
        <w:t>研究拟定全校教育发展战略法，贯彻执行党和国家的教育方针、政策、法规；研究拟定学校发展规划和年度计划组织实施教育体制和办学体制改革。其主要职责是管理和指导学校基础教育工作，确保普及九年义务教育工作成果，管理学校教育经费执行财务管理制度；负责和指导学校教职工的思想政治工作。</w:t>
      </w:r>
    </w:p>
    <w:p>
      <w:pPr>
        <w:keepNext w:val="0"/>
        <w:keepLines w:val="0"/>
        <w:widowControl/>
        <w:suppressLineNumbers w:val="0"/>
        <w:spacing w:before="0" w:beforeAutospacing="0" w:after="100" w:afterAutospacing="1"/>
        <w:ind w:left="0" w:right="0" w:firstLine="600" w:firstLineChars="200"/>
        <w:jc w:val="left"/>
        <w:rPr>
          <w:rFonts w:hint="eastAsia" w:ascii="方正楷体_GBK" w:hAnsi="方正楷体_GBK" w:eastAsia="方正楷体_GBK" w:cs="方正楷体_GBK"/>
          <w:sz w:val="32"/>
          <w:szCs w:val="32"/>
        </w:rPr>
      </w:pPr>
      <w:r>
        <w:rPr>
          <w:rFonts w:hint="eastAsia" w:ascii="仿宋" w:hAnsi="仿宋" w:eastAsia="仿宋" w:cs="仿宋"/>
          <w:kern w:val="0"/>
          <w:sz w:val="30"/>
          <w:szCs w:val="30"/>
        </w:rPr>
        <w:t>我校是一所乡镇九年制学校。现有一所初级中学，一所中心小学，一所村完全小学。我校为财政全额拨款的事业单位，也是独立预算单位，内设机构1个。</w:t>
      </w:r>
    </w:p>
    <w:p>
      <w:pPr>
        <w:keepNext w:val="0"/>
        <w:keepLines w:val="0"/>
        <w:widowControl/>
        <w:suppressLineNumbers w:val="0"/>
        <w:spacing w:before="100" w:beforeAutospacing="1" w:after="100" w:afterAutospacing="1"/>
        <w:ind w:left="0" w:right="0" w:firstLine="640" w:firstLineChars="200"/>
        <w:rPr>
          <w:rFonts w:hint="eastAsia" w:ascii="仿宋_GB2312" w:hAnsi="ˎ̥" w:eastAsia="仿宋_GB2312"/>
          <w:sz w:val="32"/>
          <w:szCs w:val="32"/>
        </w:rPr>
      </w:pPr>
      <w:r>
        <w:rPr>
          <w:rFonts w:hint="eastAsia" w:ascii="楷体" w:hAnsi="楷体" w:eastAsia="楷体" w:cs="楷体"/>
          <w:kern w:val="0"/>
          <w:sz w:val="32"/>
          <w:szCs w:val="32"/>
        </w:rPr>
        <w:t>（二）屯昌县西昌镇晨星学校无下属单位</w:t>
      </w: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3" w:name="_Toc14349_WPSOffice_Level2"/>
      <w:bookmarkStart w:id="34" w:name="_Toc23139_WPSOffice_Level2"/>
      <w:bookmarkStart w:id="35" w:name="_Toc26621_WPSOffice_Level2"/>
      <w:bookmarkStart w:id="36" w:name="_Toc25608_WPSOffice_Level2"/>
      <w:bookmarkStart w:id="37" w:name="_Toc30334_WPSOffice_Level2"/>
      <w:bookmarkStart w:id="38" w:name="_Toc28622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17626_WPSOffice_Level2"/>
      <w:bookmarkStart w:id="41" w:name="_Toc3262_WPSOffice_Level2"/>
      <w:bookmarkStart w:id="42" w:name="_Toc5489_WPSOffice_Level2"/>
      <w:bookmarkStart w:id="43" w:name="_Toc14658_WPSOffice_Level2"/>
      <w:bookmarkStart w:id="44"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591_WPSOffice_Level2"/>
      <w:bookmarkStart w:id="46" w:name="_Toc4265_WPSOffice_Level2"/>
      <w:bookmarkStart w:id="47" w:name="_Toc13701_WPSOffice_Level2"/>
      <w:bookmarkStart w:id="48" w:name="_Toc21415_WPSOffice_Level2"/>
      <w:bookmarkStart w:id="49" w:name="_Toc7988_WPSOffice_Level2"/>
      <w:bookmarkStart w:id="50" w:name="_Toc2349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2783_WPSOffice_Level2"/>
      <w:bookmarkStart w:id="52" w:name="_Toc23829_WPSOffice_Level2"/>
      <w:bookmarkStart w:id="53" w:name="_Toc7879_WPSOffice_Level2"/>
      <w:bookmarkStart w:id="54" w:name="_Toc25166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5343_WPSOffice_Level2"/>
      <w:bookmarkStart w:id="58" w:name="_Toc25362_WPSOffice_Level2"/>
      <w:bookmarkStart w:id="59" w:name="_Toc17833_WPSOffice_Level2"/>
      <w:bookmarkStart w:id="60" w:name="_Toc8373_WPSOffice_Level2"/>
      <w:bookmarkStart w:id="61" w:name="_Toc2632_WPSOffice_Level2"/>
      <w:bookmarkStart w:id="62"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13345_WPSOffice_Level2"/>
      <w:bookmarkStart w:id="65" w:name="_Toc6020_WPSOffice_Level2"/>
      <w:bookmarkStart w:id="66" w:name="_Toc5594_WPSOffice_Level2"/>
      <w:bookmarkStart w:id="67" w:name="_Toc11799_WPSOffice_Level2"/>
      <w:bookmarkStart w:id="68" w:name="_Toc2131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29886_WPSOffice_Level2"/>
      <w:bookmarkStart w:id="71" w:name="_Toc1820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4402_WPSOffice_Level1"/>
      <w:bookmarkStart w:id="74" w:name="_Toc16686_WPSOffice_Level1"/>
      <w:bookmarkStart w:id="75" w:name="_Toc27590_WPSOffice_Level1"/>
      <w:bookmarkStart w:id="76" w:name="_Toc29683_WPSOffice_Level1"/>
      <w:bookmarkStart w:id="77" w:name="_Toc31264_WPSOffice_Level1"/>
      <w:bookmarkStart w:id="78"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1,414.91</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1,414.91</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59.56</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4.39</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本年度有新增人员</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补发了2024年度绩效考核工资</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1,414.40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val="en-US" w:eastAsia="zh-CN"/>
        </w:rPr>
        <w:t>2024年度我校没有非</w:t>
      </w:r>
      <w:r>
        <w:rPr>
          <w:rFonts w:hint="eastAsia" w:ascii="仿宋_GB2312" w:hAnsi="ˎ̥" w:eastAsia="仿宋_GB2312"/>
          <w:color w:val="auto"/>
          <w:sz w:val="32"/>
          <w:szCs w:val="32"/>
        </w:rPr>
        <w:t>财政拨款结余。</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0.51</w:t>
      </w:r>
      <w:r>
        <w:rPr>
          <w:rFonts w:hint="eastAsia" w:ascii="仿宋_GB2312" w:hAnsi="ˎ̥" w:eastAsia="仿宋_GB2312"/>
          <w:color w:val="auto"/>
          <w:sz w:val="32"/>
          <w:szCs w:val="32"/>
        </w:rPr>
        <w:t>万元，主要是主要是</w:t>
      </w:r>
      <w:r>
        <w:rPr>
          <w:rFonts w:hint="eastAsia" w:ascii="仿宋_GB2312" w:hAnsi="ˎ̥" w:eastAsia="仿宋_GB2312"/>
          <w:color w:val="auto"/>
          <w:sz w:val="32"/>
          <w:szCs w:val="32"/>
          <w:lang w:val="en-US" w:eastAsia="zh-CN"/>
        </w:rPr>
        <w:t>2023年度未使用完的课后服务经费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0.64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55.65</w:t>
      </w:r>
      <w:r>
        <w:rPr>
          <w:rFonts w:hint="eastAsia" w:ascii="仿宋_GB2312" w:hAnsi="ˎ̥" w:eastAsia="仿宋_GB2312"/>
          <w:color w:val="auto"/>
          <w:sz w:val="32"/>
          <w:szCs w:val="32"/>
        </w:rPr>
        <w:t>%，主要原因是主要原因是</w:t>
      </w:r>
      <w:r>
        <w:rPr>
          <w:rFonts w:hint="eastAsia" w:ascii="仿宋_GB2312" w:hAnsi="ˎ̥" w:eastAsia="仿宋_GB2312"/>
          <w:color w:val="auto"/>
          <w:sz w:val="32"/>
          <w:szCs w:val="32"/>
          <w:lang w:val="en-US" w:eastAsia="zh-CN"/>
        </w:rPr>
        <w:t>2024年度课后服务经费年初结转结余减少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1,414.35</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本年度没有结余分配金额</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本年度没有结余分配金额</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0.55</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未使用完的课后服务经费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7.84</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年末课后服务经费结转结余增加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1,414.40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98.15</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26.26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1.86</w:t>
      </w:r>
      <w:r>
        <w:rPr>
          <w:rFonts w:hint="eastAsia" w:ascii="仿宋_GB2312" w:hAnsi="ˎ̥"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1,414.35</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1,284.87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90.85</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129.48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9.15</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51.67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3.87</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有新入编人员</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发放了绩效考核工资</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51.67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3.87</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有新入编人员</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发放了绩效考核工资</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财政拨款年初结转结余为0</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2024年财政拨款年初结转结余为0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2024年财政拨款年末结转结余为0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21737_WPSOffice_Level2"/>
      <w:bookmarkStart w:id="80" w:name="_Toc17398_WPSOffice_Level2"/>
      <w:bookmarkStart w:id="81" w:name="_Toc13694_WPSOffice_Level2"/>
      <w:bookmarkStart w:id="82" w:name="_Toc19665_WPSOffice_Level2"/>
      <w:bookmarkStart w:id="83" w:name="_Toc23005_WPSOffice_Level2"/>
      <w:bookmarkStart w:id="84" w:name="_Toc9989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98.15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51.67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3.87</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人员经费增加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11_WPSOffice_Level2"/>
      <w:bookmarkStart w:id="86" w:name="_Toc19075_WPSOffice_Level2"/>
      <w:bookmarkStart w:id="87" w:name="_Toc27767_WPSOffice_Level2"/>
      <w:bookmarkStart w:id="88" w:name="_Toc18793_WPSOffice_Level2"/>
      <w:bookmarkStart w:id="89" w:name="_Toc23864_WPSOffice_Level2"/>
      <w:bookmarkStart w:id="90" w:name="_Toc1953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0.84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0.06</w:t>
      </w:r>
      <w:r>
        <w:rPr>
          <w:rFonts w:hint="eastAsia" w:ascii="仿宋_GB2312" w:hAnsi="ˎ̥" w:eastAsia="仿宋_GB2312"/>
          <w:color w:val="auto"/>
          <w:sz w:val="32"/>
          <w:szCs w:val="32"/>
        </w:rPr>
        <w:t>%；</w:t>
      </w:r>
      <w:r>
        <w:rPr>
          <w:rFonts w:hint="eastAsia" w:ascii="仿宋_GB2312" w:hAnsi="ˎ̥" w:eastAsia="仿宋_GB2312" w:cs="仿宋_GB2312"/>
          <w:b/>
          <w:bCs/>
          <w:color w:val="auto"/>
          <w:kern w:val="0"/>
          <w:sz w:val="32"/>
          <w:szCs w:val="32"/>
          <w:shd w:val="clear" w:color="auto" w:fill="FFFFFF"/>
        </w:rPr>
        <w:t>教育支出（类）</w:t>
      </w:r>
      <w:r>
        <w:rPr>
          <w:rFonts w:hint="eastAsia"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929.28万元，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66.94</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176.73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12.73</w:t>
      </w:r>
      <w:r>
        <w:rPr>
          <w:rFonts w:hint="eastAsia" w:ascii="仿宋_GB2312" w:hAnsi="ˎ̥" w:eastAsia="仿宋_GB2312"/>
          <w:color w:val="auto"/>
          <w:sz w:val="32"/>
          <w:szCs w:val="32"/>
        </w:rPr>
        <w:t>%；</w:t>
      </w:r>
      <w:r>
        <w:rPr>
          <w:rFonts w:hint="eastAsia" w:ascii="仿宋_GB2312" w:hAnsi="ˎ̥" w:eastAsia="仿宋_GB2312"/>
          <w:b/>
          <w:bCs/>
          <w:color w:val="auto"/>
          <w:sz w:val="32"/>
          <w:szCs w:val="32"/>
          <w:lang w:eastAsia="zh-CN"/>
        </w:rPr>
        <w:t>卫生健康</w:t>
      </w:r>
      <w:r>
        <w:rPr>
          <w:rFonts w:hint="eastAsia" w:ascii="仿宋_GB2312" w:hAnsi="ˎ̥" w:eastAsia="仿宋_GB2312"/>
          <w:b/>
          <w:bCs/>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198.38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14.29</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82.91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5.97</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2318_WPSOffice_Level2"/>
      <w:bookmarkStart w:id="92" w:name="_Toc9502_WPSOffice_Level2"/>
      <w:bookmarkStart w:id="93" w:name="_Toc15415_WPSOffice_Level2"/>
      <w:bookmarkStart w:id="94" w:name="_Toc29364_WPSOffice_Level2"/>
      <w:bookmarkStart w:id="95" w:name="_Toc25136_WPSOffice_Level2"/>
      <w:bookmarkStart w:id="96" w:name="_Toc21701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1418.44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1,388.14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97.86</w:t>
      </w:r>
      <w:r>
        <w:rPr>
          <w:rFonts w:hint="eastAsia" w:ascii="仿宋_GB2312" w:hAnsi="ˎ̥" w:eastAsia="仿宋_GB2312"/>
          <w:color w:val="auto"/>
          <w:sz w:val="32"/>
          <w:szCs w:val="32"/>
        </w:rPr>
        <w:t>%</w:t>
      </w:r>
      <w:r>
        <w:rPr>
          <w:rFonts w:hint="eastAsia" w:ascii="仿宋_GB2312" w:hAnsi="ˎ̥" w:eastAsia="仿宋_GB2312"/>
          <w:sz w:val="32"/>
          <w:szCs w:val="32"/>
        </w:rPr>
        <w:t>。其中：</w:t>
      </w:r>
    </w:p>
    <w:p>
      <w:pPr>
        <w:spacing w:line="578" w:lineRule="exact"/>
        <w:ind w:firstLine="640" w:firstLineChars="200"/>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其他共产党事务支出</w:t>
      </w:r>
      <w:r>
        <w:rPr>
          <w:rFonts w:hint="eastAsia" w:ascii="仿宋_GB2312" w:hAnsi="ˎ̥" w:eastAsia="仿宋_GB2312"/>
          <w:b/>
          <w:sz w:val="32"/>
          <w:szCs w:val="32"/>
        </w:rPr>
        <w:t>（款）</w:t>
      </w:r>
      <w:r>
        <w:rPr>
          <w:rFonts w:hint="eastAsia" w:ascii="仿宋_GB2312" w:hAnsi="ˎ̥" w:eastAsia="仿宋_GB2312"/>
          <w:b/>
          <w:sz w:val="32"/>
          <w:szCs w:val="32"/>
          <w:lang w:val="en-US" w:eastAsia="zh-CN"/>
        </w:rPr>
        <w:t>其他共产党事务支出</w:t>
      </w:r>
      <w:r>
        <w:rPr>
          <w:rFonts w:hint="eastAsia" w:ascii="仿宋_GB2312" w:hAnsi="ˎ̥" w:eastAsia="仿宋_GB2312"/>
          <w:b/>
          <w:sz w:val="32"/>
          <w:szCs w:val="32"/>
        </w:rPr>
        <w:t>（项）。</w:t>
      </w:r>
    </w:p>
    <w:p>
      <w:pPr>
        <w:spacing w:line="578" w:lineRule="exact"/>
        <w:ind w:firstLine="640" w:firstLineChars="200"/>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0.84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0.84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%。决算数</w:t>
      </w:r>
      <w:r>
        <w:rPr>
          <w:rFonts w:hint="eastAsia" w:ascii="仿宋_GB2312" w:hAnsi="ˎ̥" w:eastAsia="仿宋_GB2312"/>
          <w:sz w:val="32"/>
          <w:szCs w:val="32"/>
          <w:lang w:val="en-US" w:eastAsia="zh-CN"/>
        </w:rPr>
        <w:t>与</w:t>
      </w:r>
      <w:r>
        <w:rPr>
          <w:rFonts w:hint="eastAsia" w:ascii="仿宋_GB2312" w:hAnsi="ˎ̥" w:eastAsia="仿宋_GB2312"/>
          <w:sz w:val="32"/>
          <w:szCs w:val="32"/>
        </w:rPr>
        <w:t>预算数</w:t>
      </w:r>
      <w:r>
        <w:rPr>
          <w:rFonts w:hint="eastAsia" w:ascii="仿宋_GB2312" w:hAnsi="ˎ̥" w:eastAsia="仿宋_GB2312"/>
          <w:sz w:val="32"/>
          <w:szCs w:val="32"/>
          <w:lang w:val="en-US" w:eastAsia="zh-CN"/>
        </w:rPr>
        <w:t>持平</w:t>
      </w:r>
      <w:r>
        <w:rPr>
          <w:rFonts w:hint="eastAsia" w:ascii="仿宋_GB2312" w:hAnsi="ˎ̥" w:eastAsia="仿宋_GB2312"/>
          <w:sz w:val="32"/>
          <w:szCs w:val="32"/>
        </w:rPr>
        <w:t>的主要原因：一是</w:t>
      </w:r>
      <w:r>
        <w:rPr>
          <w:rFonts w:hint="eastAsia" w:ascii="仿宋_GB2312" w:hAnsi="ˎ̥" w:eastAsia="仿宋_GB2312"/>
          <w:sz w:val="32"/>
          <w:szCs w:val="32"/>
          <w:lang w:val="en-US" w:eastAsia="zh-CN"/>
        </w:rPr>
        <w:t>本年度学校退休党支部工作经费没有增减</w:t>
      </w:r>
      <w:r>
        <w:rPr>
          <w:rFonts w:hint="eastAsia" w:ascii="仿宋_GB2312" w:hAnsi="ˎ̥" w:eastAsia="仿宋_GB2312"/>
          <w:sz w:val="32"/>
          <w:szCs w:val="32"/>
        </w:rPr>
        <w:t>。</w:t>
      </w:r>
      <w:r>
        <w:rPr>
          <w:rFonts w:hint="eastAsia" w:ascii="仿宋_GB2312" w:hAnsi="ˎ̥" w:eastAsia="仿宋_GB2312"/>
          <w:sz w:val="32"/>
          <w:szCs w:val="32"/>
          <w:lang w:val="en-US" w:eastAsia="zh-CN"/>
        </w:rPr>
        <w:t>二是退休支部人数没有变动。</w:t>
      </w:r>
    </w:p>
    <w:p>
      <w:pPr>
        <w:keepNext w:val="0"/>
        <w:keepLines w:val="0"/>
        <w:widowControl/>
        <w:suppressLineNumbers w:val="0"/>
        <w:spacing w:before="0" w:beforeAutospacing="0" w:after="0" w:afterAutospacing="0"/>
        <w:ind w:right="0"/>
        <w:jc w:val="left"/>
        <w:rPr>
          <w:rFonts w:hint="eastAsia" w:ascii="仿宋_GB2312" w:hAnsi="ˎ̥" w:eastAsia="仿宋_GB2312" w:cs="仿宋_GB2312"/>
          <w:b/>
          <w:bCs/>
          <w:kern w:val="0"/>
          <w:sz w:val="32"/>
          <w:szCs w:val="32"/>
          <w:shd w:val="clear" w:color="auto" w:fill="FFFFFF"/>
        </w:rPr>
      </w:pPr>
      <w:r>
        <w:rPr>
          <w:rFonts w:hint="eastAsia" w:ascii="仿宋_GB2312" w:hAnsi="ˎ̥" w:eastAsia="仿宋_GB2312"/>
          <w:sz w:val="32"/>
          <w:szCs w:val="32"/>
        </w:rPr>
        <w:t xml:space="preserve"> </w:t>
      </w:r>
      <w:r>
        <w:rPr>
          <w:rFonts w:hint="eastAsia" w:ascii="仿宋_GB2312" w:hAnsi="ˎ̥" w:eastAsia="仿宋_GB2312" w:cs="仿宋_GB2312"/>
          <w:b/>
          <w:bCs/>
          <w:kern w:val="0"/>
          <w:sz w:val="32"/>
          <w:szCs w:val="32"/>
          <w:shd w:val="clear" w:color="auto" w:fill="FFFFFF"/>
        </w:rPr>
        <w:t>2.教育支出（类）普通教育（款）初中教育（项）</w:t>
      </w:r>
    </w:p>
    <w:p>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cs="仿宋_GB2312"/>
          <w:kern w:val="0"/>
          <w:sz w:val="32"/>
          <w:szCs w:val="32"/>
          <w:shd w:val="clear" w:color="auto" w:fill="FFFFFF"/>
        </w:rPr>
        <w:t>年初预算为</w:t>
      </w:r>
      <w:r>
        <w:rPr>
          <w:rFonts w:hint="eastAsia" w:ascii="仿宋_GB2312" w:hAnsi="ˎ̥" w:eastAsia="仿宋_GB2312" w:cs="仿宋_GB2312"/>
          <w:kern w:val="0"/>
          <w:sz w:val="32"/>
          <w:szCs w:val="32"/>
          <w:shd w:val="clear" w:color="auto" w:fill="FFFFFF"/>
          <w:lang w:val="en-US" w:eastAsia="zh-CN"/>
        </w:rPr>
        <w:t>930.19</w:t>
      </w:r>
      <w:r>
        <w:rPr>
          <w:rFonts w:hint="eastAsia" w:ascii="仿宋_GB2312" w:hAnsi="ˎ̥" w:eastAsia="仿宋_GB2312" w:cs="仿宋_GB2312"/>
          <w:kern w:val="0"/>
          <w:sz w:val="32"/>
          <w:szCs w:val="32"/>
          <w:shd w:val="clear" w:color="auto" w:fill="FFFFFF"/>
        </w:rPr>
        <w:t>万元，支出决算为</w:t>
      </w:r>
      <w:r>
        <w:rPr>
          <w:rFonts w:hint="eastAsia" w:ascii="仿宋_GB2312" w:hAnsi="ˎ̥" w:eastAsia="仿宋_GB2312" w:cs="仿宋_GB2312"/>
          <w:kern w:val="0"/>
          <w:sz w:val="32"/>
          <w:szCs w:val="32"/>
          <w:shd w:val="clear" w:color="auto" w:fill="FFFFFF"/>
          <w:lang w:val="en-US" w:eastAsia="zh-CN"/>
        </w:rPr>
        <w:t>929.28</w:t>
      </w:r>
      <w:r>
        <w:rPr>
          <w:rFonts w:hint="eastAsia"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kern w:val="0"/>
          <w:sz w:val="32"/>
          <w:szCs w:val="32"/>
          <w:shd w:val="clear" w:color="auto" w:fill="FFFFFF"/>
          <w:lang w:val="en-US" w:eastAsia="zh-CN"/>
        </w:rPr>
        <w:t>99.80</w:t>
      </w:r>
      <w:r>
        <w:rPr>
          <w:rFonts w:hint="eastAsia" w:ascii="仿宋_GB2312" w:hAnsi="ˎ̥" w:eastAsia="仿宋_GB2312" w:cs="仿宋_GB2312"/>
          <w:kern w:val="0"/>
          <w:sz w:val="32"/>
          <w:szCs w:val="32"/>
          <w:shd w:val="clear" w:color="auto" w:fill="FFFFFF"/>
        </w:rPr>
        <w:t>%。决算数</w:t>
      </w:r>
      <w:r>
        <w:rPr>
          <w:rFonts w:hint="eastAsia" w:ascii="仿宋_GB2312" w:hAnsi="ˎ̥" w:eastAsia="仿宋_GB2312" w:cs="仿宋_GB2312"/>
          <w:kern w:val="0"/>
          <w:sz w:val="32"/>
          <w:szCs w:val="32"/>
          <w:shd w:val="clear" w:color="auto" w:fill="FFFFFF"/>
          <w:lang w:eastAsia="zh-CN"/>
        </w:rPr>
        <w:t>小于</w:t>
      </w:r>
      <w:r>
        <w:rPr>
          <w:rFonts w:hint="eastAsia" w:ascii="仿宋_GB2312" w:hAnsi="ˎ̥" w:eastAsia="仿宋_GB2312" w:cs="仿宋_GB2312"/>
          <w:kern w:val="0"/>
          <w:sz w:val="32"/>
          <w:szCs w:val="32"/>
          <w:shd w:val="clear" w:color="auto" w:fill="FFFFFF"/>
        </w:rPr>
        <w:t>预算数的主要原因：一</w:t>
      </w:r>
      <w:r>
        <w:rPr>
          <w:rFonts w:hint="eastAsia" w:ascii="仿宋_GB2312" w:hAnsi="ˎ̥" w:eastAsia="仿宋_GB2312" w:cs="仿宋_GB2312"/>
          <w:kern w:val="0"/>
          <w:sz w:val="32"/>
          <w:szCs w:val="32"/>
          <w:shd w:val="clear" w:color="auto" w:fill="FFFFFF"/>
          <w:lang w:val="en-US" w:eastAsia="zh-CN"/>
        </w:rPr>
        <w:t>年初预算数据相应增加</w:t>
      </w:r>
      <w:r>
        <w:rPr>
          <w:rFonts w:hint="eastAsia" w:ascii="仿宋_GB2312" w:hAnsi="ˎ̥" w:eastAsia="仿宋_GB2312" w:cs="仿宋_GB2312"/>
          <w:kern w:val="0"/>
          <w:sz w:val="32"/>
          <w:szCs w:val="32"/>
          <w:shd w:val="clear" w:color="auto" w:fill="FFFFFF"/>
          <w:lang w:eastAsia="zh-CN"/>
        </w:rPr>
        <w:t>，避免年末出现资金缺口</w:t>
      </w:r>
    </w:p>
    <w:p>
      <w:pPr>
        <w:keepNext w:val="0"/>
        <w:keepLines w:val="0"/>
        <w:widowControl/>
        <w:numPr>
          <w:ilvl w:val="0"/>
          <w:numId w:val="3"/>
        </w:numPr>
        <w:suppressLineNumbers w:val="0"/>
        <w:spacing w:before="0" w:beforeAutospacing="0" w:after="0" w:afterAutospacing="0"/>
        <w:ind w:left="0" w:leftChars="0" w:right="0" w:rightChars="0" w:firstLine="0" w:firstLineChars="0"/>
        <w:jc w:val="left"/>
        <w:rPr>
          <w:rFonts w:hint="eastAsia" w:ascii="仿宋_GB2312" w:hAnsi="ˎ̥" w:eastAsia="仿宋_GB2312" w:cs="仿宋_GB2312"/>
          <w:b/>
          <w:bCs/>
          <w:kern w:val="0"/>
          <w:sz w:val="32"/>
          <w:szCs w:val="32"/>
          <w:shd w:val="clear" w:color="auto" w:fill="FFFFFF"/>
        </w:rPr>
      </w:pPr>
      <w:r>
        <w:rPr>
          <w:rFonts w:hint="eastAsia" w:ascii="仿宋_GB2312" w:hAnsi="ˎ̥" w:eastAsia="仿宋_GB2312" w:cs="仿宋_GB2312"/>
          <w:b/>
          <w:bCs/>
          <w:kern w:val="0"/>
          <w:sz w:val="32"/>
          <w:szCs w:val="32"/>
          <w:shd w:val="clear" w:color="auto" w:fill="FFFFFF"/>
        </w:rPr>
        <w:t>社会保障和就业（类）行政事业单位离退休（款）机关事业单位基本养老保险缴费支出（项）</w:t>
      </w:r>
    </w:p>
    <w:p>
      <w:pPr>
        <w:keepNext w:val="0"/>
        <w:keepLines w:val="0"/>
        <w:widowControl/>
        <w:suppressLineNumbers w:val="0"/>
        <w:ind w:left="0" w:firstLine="640" w:firstLineChars="200"/>
        <w:rPr>
          <w:rFonts w:hint="eastAsia" w:ascii="仿宋_GB2312" w:hAnsi="宋体" w:eastAsia="仿宋_GB2312" w:cs="仿宋_GB2312"/>
          <w:color w:val="auto"/>
          <w:kern w:val="0"/>
          <w:sz w:val="32"/>
          <w:szCs w:val="32"/>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174.71</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olor w:val="auto"/>
          <w:sz w:val="32"/>
          <w:szCs w:val="32"/>
          <w:lang w:val="en-US" w:eastAsia="zh-CN"/>
        </w:rPr>
        <w:t>176.73</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101.15</w:t>
      </w:r>
      <w:r>
        <w:rPr>
          <w:rFonts w:hint="eastAsia" w:ascii="仿宋_GB2312" w:hAnsi="ˎ̥" w:eastAsia="仿宋_GB2312" w:cs="仿宋_GB2312"/>
          <w:color w:val="auto"/>
          <w:kern w:val="0"/>
          <w:sz w:val="32"/>
          <w:szCs w:val="32"/>
          <w:shd w:val="clear" w:color="auto" w:fill="FFFFFF"/>
        </w:rPr>
        <w:t>%。决算数大于预算数的主要原因：一是年初预算数相应减少</w:t>
      </w:r>
      <w:r>
        <w:rPr>
          <w:rFonts w:hint="eastAsia" w:ascii="仿宋_GB2312" w:hAnsi="宋体" w:eastAsia="仿宋_GB2312" w:cs="仿宋_GB2312"/>
          <w:color w:val="auto"/>
          <w:kern w:val="0"/>
          <w:sz w:val="32"/>
          <w:szCs w:val="32"/>
        </w:rPr>
        <w:t>；二是本年度有新增人员，人员经费增加。</w:t>
      </w:r>
    </w:p>
    <w:p>
      <w:pPr>
        <w:keepNext w:val="0"/>
        <w:keepLines w:val="0"/>
        <w:widowControl/>
        <w:suppressLineNumbers w:val="0"/>
        <w:spacing w:before="0" w:beforeAutospacing="0" w:after="0" w:afterAutospacing="0"/>
        <w:ind w:leftChars="0" w:right="0" w:rightChars="0"/>
        <w:jc w:val="left"/>
        <w:rPr>
          <w:rFonts w:hint="eastAsia" w:ascii="仿宋_GB2312" w:hAnsi="ˎ̥" w:eastAsia="仿宋_GB2312" w:cs="仿宋_GB2312"/>
          <w:b/>
          <w:bCs/>
          <w:color w:val="auto"/>
          <w:kern w:val="0"/>
          <w:sz w:val="32"/>
          <w:szCs w:val="32"/>
          <w:shd w:val="clear" w:color="auto" w:fill="FFFFFF"/>
        </w:rPr>
      </w:pPr>
      <w:r>
        <w:rPr>
          <w:rFonts w:hint="eastAsia" w:ascii="仿宋_GB2312" w:hAnsi="宋体" w:eastAsia="仿宋_GB2312" w:cs="仿宋_GB2312"/>
          <w:b/>
          <w:bCs/>
          <w:color w:val="auto"/>
          <w:kern w:val="0"/>
          <w:sz w:val="32"/>
          <w:szCs w:val="32"/>
        </w:rPr>
        <w:t>4.卫生健康</w:t>
      </w:r>
      <w:r>
        <w:rPr>
          <w:rFonts w:hint="eastAsia" w:ascii="仿宋_GB2312" w:hAnsi="ˎ̥" w:eastAsia="仿宋_GB2312" w:cs="仿宋_GB2312"/>
          <w:b/>
          <w:bCs/>
          <w:color w:val="auto"/>
          <w:kern w:val="0"/>
          <w:sz w:val="32"/>
          <w:szCs w:val="32"/>
          <w:shd w:val="clear" w:color="auto" w:fill="FFFFFF"/>
        </w:rPr>
        <w:t>（类）行政事业单位医疗（款）事业单位医疗、公补（项）</w:t>
      </w:r>
    </w:p>
    <w:p>
      <w:pPr>
        <w:keepNext w:val="0"/>
        <w:keepLines w:val="0"/>
        <w:widowControl/>
        <w:suppressLineNumbers w:val="0"/>
        <w:spacing w:before="0" w:beforeAutospacing="0" w:after="0" w:afterAutospacing="0"/>
        <w:ind w:left="0" w:leftChars="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211.66</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olor w:val="auto"/>
          <w:sz w:val="32"/>
          <w:szCs w:val="32"/>
          <w:lang w:val="en-US" w:eastAsia="zh-CN"/>
        </w:rPr>
        <w:t>198.38</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93.73</w:t>
      </w:r>
      <w:r>
        <w:rPr>
          <w:rFonts w:hint="eastAsia"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eastAsia"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shd w:val="clear" w:color="auto" w:fill="FFFFFF"/>
          <w:lang w:eastAsia="zh-CN"/>
        </w:rPr>
        <w:t>避免年末出现资金缺口</w:t>
      </w:r>
      <w:r>
        <w:rPr>
          <w:rFonts w:hint="eastAsia" w:ascii="仿宋_GB2312" w:hAnsi="宋体" w:eastAsia="仿宋_GB2312" w:cs="仿宋_GB2312"/>
          <w:color w:val="auto"/>
          <w:kern w:val="0"/>
          <w:sz w:val="32"/>
          <w:szCs w:val="32"/>
        </w:rPr>
        <w:t>。</w:t>
      </w:r>
    </w:p>
    <w:p>
      <w:pPr>
        <w:keepNext w:val="0"/>
        <w:keepLines w:val="0"/>
        <w:widowControl/>
        <w:suppressLineNumbers w:val="0"/>
        <w:spacing w:before="0" w:beforeAutospacing="0" w:after="0" w:afterAutospacing="0"/>
        <w:ind w:right="0" w:rightChars="0"/>
        <w:jc w:val="left"/>
        <w:rPr>
          <w:rFonts w:hint="eastAsia" w:ascii="仿宋_GB2312" w:hAnsi="ˎ̥" w:eastAsia="仿宋_GB2312" w:cs="仿宋_GB2312"/>
          <w:b/>
          <w:bCs/>
          <w:color w:val="auto"/>
          <w:kern w:val="0"/>
          <w:sz w:val="32"/>
          <w:szCs w:val="32"/>
          <w:shd w:val="clear" w:color="auto" w:fill="FFFFFF"/>
        </w:rPr>
      </w:pPr>
      <w:r>
        <w:rPr>
          <w:rFonts w:hint="eastAsia" w:ascii="仿宋_GB2312" w:hAnsi="ˎ̥" w:eastAsia="仿宋_GB2312" w:cs="仿宋_GB2312"/>
          <w:b/>
          <w:bCs/>
          <w:color w:val="auto"/>
          <w:kern w:val="0"/>
          <w:sz w:val="32"/>
          <w:szCs w:val="32"/>
          <w:shd w:val="clear" w:color="auto" w:fill="FFFFFF"/>
        </w:rPr>
        <w:t>5、住房保障支出（类）住房改革支出（款）住房公积金（项）</w:t>
      </w:r>
    </w:p>
    <w:p>
      <w:pPr>
        <w:keepNext w:val="0"/>
        <w:keepLines w:val="0"/>
        <w:widowControl/>
        <w:suppressLineNumbers w:val="0"/>
        <w:spacing w:before="0" w:beforeAutospacing="0" w:after="0" w:afterAutospacing="0"/>
        <w:ind w:left="0" w:leftChars="0" w:right="0" w:rightChars="0" w:firstLine="640" w:firstLineChars="200"/>
        <w:jc w:val="left"/>
        <w:rPr>
          <w:rFonts w:hint="eastAsia" w:ascii="仿宋_GB2312" w:hAnsi="ˎ̥" w:eastAsia="仿宋_GB2312" w:cs="仿宋_GB2312"/>
          <w:color w:val="auto"/>
          <w:kern w:val="0"/>
          <w:sz w:val="32"/>
          <w:szCs w:val="32"/>
          <w:lang w:val="en-US" w:eastAsia="zh-CN"/>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101.88</w:t>
      </w:r>
      <w:r>
        <w:rPr>
          <w:rFonts w:hint="eastAsia" w:ascii="仿宋_GB2312" w:hAnsi="ˎ̥" w:eastAsia="仿宋_GB2312" w:cs="仿宋_GB2312"/>
          <w:color w:val="auto"/>
          <w:kern w:val="0"/>
          <w:sz w:val="32"/>
          <w:szCs w:val="32"/>
          <w:shd w:val="clear" w:color="auto" w:fill="FFFFFF"/>
        </w:rPr>
        <w:t>万元，支出决算为</w:t>
      </w:r>
      <w:r>
        <w:rPr>
          <w:rFonts w:hint="eastAsia" w:ascii="仿宋_GB2312" w:hAnsi="ˎ̥" w:eastAsia="仿宋_GB2312"/>
          <w:color w:val="auto"/>
          <w:sz w:val="32"/>
          <w:szCs w:val="32"/>
          <w:lang w:val="en-US" w:eastAsia="zh-CN"/>
        </w:rPr>
        <w:t>82.91</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81.38</w:t>
      </w:r>
      <w:r>
        <w:rPr>
          <w:rFonts w:hint="eastAsia"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val="en-US" w:eastAsia="zh-CN"/>
        </w:rPr>
        <w:t>小</w:t>
      </w:r>
      <w:r>
        <w:rPr>
          <w:rFonts w:hint="eastAsia" w:ascii="仿宋_GB2312" w:hAnsi="ˎ̥" w:eastAsia="仿宋_GB2312" w:cs="仿宋_GB2312"/>
          <w:color w:val="auto"/>
          <w:kern w:val="0"/>
          <w:sz w:val="32"/>
          <w:szCs w:val="32"/>
          <w:shd w:val="clear" w:color="auto" w:fill="FFFFFF"/>
        </w:rPr>
        <w:t>于预算数的主要原因：一</w:t>
      </w:r>
      <w:r>
        <w:rPr>
          <w:rFonts w:hint="eastAsia" w:ascii="仿宋_GB2312" w:hAnsi="ˎ̥" w:eastAsia="仿宋_GB2312" w:cs="仿宋_GB2312"/>
          <w:color w:val="auto"/>
          <w:kern w:val="0"/>
          <w:sz w:val="32"/>
          <w:szCs w:val="32"/>
          <w:shd w:val="clear" w:color="auto" w:fill="FFFFFF"/>
          <w:lang w:val="en-US" w:eastAsia="zh-CN"/>
        </w:rPr>
        <w:t>为避免年末出现资金缺口，年初预算金额相应提高。</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eastAsia="zh-CN"/>
        </w:rPr>
        <w:t>1284.87</w:t>
      </w:r>
      <w:r>
        <w:rPr>
          <w:rFonts w:hint="eastAsia" w:ascii="仿宋_GB2312" w:hAnsi="ˎ̥" w:eastAsia="仿宋_GB2312"/>
          <w:sz w:val="32"/>
          <w:szCs w:val="32"/>
        </w:rPr>
        <w:t>万元，其中：人员经费</w:t>
      </w:r>
      <w:r>
        <w:rPr>
          <w:rFonts w:ascii="仿宋_GB2312" w:hAnsi="ˎ̥" w:eastAsia="仿宋_GB2312"/>
          <w:color w:val="auto"/>
          <w:sz w:val="32"/>
          <w:szCs w:val="32"/>
          <w:lang w:val="en-US"/>
        </w:rPr>
        <w:t>1,267.07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17.80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w:t>
      </w:r>
      <w:r>
        <w:rPr>
          <w:rFonts w:hint="eastAsia" w:ascii="仿宋_GB2312" w:hAnsi="ˎ̥" w:eastAsia="仿宋_GB2312"/>
          <w:sz w:val="32"/>
          <w:szCs w:val="32"/>
          <w:lang w:val="en-US" w:eastAsia="zh-CN"/>
        </w:rPr>
        <w:t>未产生相关预决算数据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%，主要原因是主要</w:t>
      </w:r>
      <w:r>
        <w:rPr>
          <w:rFonts w:hint="eastAsia" w:ascii="仿宋_GB2312" w:hAnsi="ˎ̥" w:eastAsia="仿宋_GB2312"/>
          <w:color w:val="auto"/>
          <w:sz w:val="32"/>
          <w:szCs w:val="32"/>
          <w:lang w:val="en-US" w:eastAsia="zh-CN"/>
        </w:rPr>
        <w:t>我校无国（境）外公务接待。</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辆，主要用于</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我校无公务用车</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我校无公务接待</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bidi="ar"/>
        </w:rPr>
      </w:pPr>
      <w:r>
        <w:rPr>
          <w:rFonts w:hint="eastAsia" w:ascii="仿宋_GB2312" w:eastAsia="仿宋_GB2312"/>
          <w:color w:val="auto"/>
          <w:sz w:val="32"/>
          <w:szCs w:val="32"/>
        </w:rPr>
        <w:t>根据预算管理要求，</w:t>
      </w:r>
      <w:r>
        <w:rPr>
          <w:rFonts w:hint="eastAsia" w:ascii="仿宋_GB2312" w:eastAsia="仿宋_GB2312"/>
          <w:color w:val="auto"/>
          <w:sz w:val="32"/>
          <w:szCs w:val="32"/>
          <w:lang w:eastAsia="zh-CN"/>
        </w:rPr>
        <w:t>我校</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共涉及资金1388.14万元，占一般公共预算项目支出总额的98.14%</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eastAsia="zh-CN" w:bidi="ar"/>
        </w:rPr>
        <w:t>三公</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bidi="ar"/>
        </w:rPr>
      </w:pPr>
      <w:r>
        <w:rPr>
          <w:rFonts w:hint="eastAsia" w:ascii="楷体" w:hAnsi="楷体" w:eastAsia="楷体" w:cs="楷体"/>
          <w:bCs/>
          <w:sz w:val="32"/>
          <w:szCs w:val="32"/>
        </w:rPr>
        <w:t>（二）部门决算中项目绩效自评结果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right="0" w:firstLine="640" w:firstLineChars="200"/>
        <w:jc w:val="left"/>
        <w:textAlignment w:val="auto"/>
        <w:rPr>
          <w:rFonts w:hint="eastAsia" w:ascii="仿宋_GB2312" w:hAnsi="宋体" w:eastAsia="仿宋_GB2312" w:cs="仿宋_GB2312"/>
          <w:kern w:val="0"/>
          <w:sz w:val="32"/>
          <w:szCs w:val="32"/>
          <w:shd w:val="clear" w:color="auto" w:fill="FFFFFF"/>
        </w:rPr>
      </w:pPr>
      <w:r>
        <w:rPr>
          <w:rFonts w:hint="eastAsia" w:ascii="仿宋_GB2312" w:hAnsi="宋体" w:eastAsia="仿宋_GB2312" w:cs="仿宋_GB2312"/>
          <w:kern w:val="0"/>
          <w:sz w:val="32"/>
          <w:szCs w:val="32"/>
          <w:shd w:val="clear" w:color="auto" w:fill="FFFFFF"/>
        </w:rPr>
        <w:t>西昌镇晨星学校组织对202</w:t>
      </w:r>
      <w:r>
        <w:rPr>
          <w:rFonts w:hint="eastAsia" w:ascii="仿宋_GB2312" w:hAnsi="宋体" w:eastAsia="仿宋_GB2312" w:cs="仿宋_GB2312"/>
          <w:kern w:val="0"/>
          <w:sz w:val="32"/>
          <w:szCs w:val="32"/>
          <w:shd w:val="clear" w:color="auto" w:fill="FFFFFF"/>
          <w:lang w:val="en-US" w:eastAsia="zh-CN"/>
        </w:rPr>
        <w:t>4</w:t>
      </w:r>
      <w:r>
        <w:rPr>
          <w:rFonts w:hint="eastAsia" w:ascii="仿宋_GB2312" w:hAnsi="宋体" w:eastAsia="仿宋_GB2312" w:cs="仿宋_GB2312"/>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kern w:val="0"/>
          <w:sz w:val="32"/>
          <w:szCs w:val="32"/>
          <w:shd w:val="clear" w:color="auto" w:fill="FFFFFF"/>
          <w:lang w:val="en-US" w:eastAsia="zh-CN"/>
        </w:rPr>
        <w:t>5.45</w:t>
      </w:r>
      <w:r>
        <w:rPr>
          <w:rFonts w:hint="eastAsia" w:ascii="仿宋_GB2312" w:hAnsi="宋体" w:eastAsia="仿宋_GB2312" w:cs="仿宋_GB2312"/>
          <w:kern w:val="0"/>
          <w:sz w:val="32"/>
          <w:szCs w:val="32"/>
          <w:shd w:val="clear" w:color="auto" w:fill="FFFFFF"/>
        </w:rPr>
        <w:t>万元，从评价情况来看，确保了教职工的福利，解除了教职工的后顾之忧。</w:t>
      </w:r>
    </w:p>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right="0" w:firstLine="320" w:firstLineChars="100"/>
        <w:jc w:val="left"/>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w:t>
      </w:r>
      <w:r>
        <w:rPr>
          <w:rFonts w:hint="eastAsia" w:ascii="仿宋_GB2312" w:hAnsi="宋体" w:eastAsia="仿宋_GB2312" w:cs="仿宋_GB2312"/>
          <w:kern w:val="0"/>
          <w:sz w:val="32"/>
          <w:szCs w:val="32"/>
          <w:shd w:val="clear" w:color="auto" w:fill="FFFFFF"/>
          <w:lang w:val="en-US" w:eastAsia="zh-CN"/>
        </w:rPr>
        <w:t xml:space="preserve">               </w:t>
      </w:r>
    </w:p>
    <w:p>
      <w:pPr>
        <w:keepNext w:val="0"/>
        <w:keepLines w:val="0"/>
        <w:widowControl/>
        <w:suppressLineNumbers w:val="0"/>
        <w:spacing w:before="0" w:beforeAutospacing="0" w:after="100" w:afterAutospacing="1"/>
        <w:ind w:left="0" w:right="0" w:firstLine="640" w:firstLineChars="200"/>
        <w:jc w:val="left"/>
        <w:rPr>
          <w:rFonts w:hint="eastAsia" w:ascii="仿宋_GB2312" w:hAnsi="宋体" w:eastAsia="仿宋_GB2312" w:cs="仿宋_GB2312"/>
          <w:kern w:val="0"/>
          <w:sz w:val="32"/>
          <w:szCs w:val="32"/>
          <w:shd w:val="clear" w:color="auto" w:fill="FFFFFF"/>
        </w:rPr>
      </w:pPr>
      <w:r>
        <w:rPr>
          <w:rFonts w:hint="eastAsia" w:ascii="仿宋_GB2312" w:hAnsi="宋体" w:eastAsia="仿宋_GB2312" w:cs="仿宋_GB2312"/>
          <w:kern w:val="0"/>
          <w:sz w:val="32"/>
          <w:szCs w:val="32"/>
          <w:shd w:val="clear" w:color="auto" w:fill="FFFFFF"/>
        </w:rPr>
        <w:t>西昌镇晨星学校组织对202</w:t>
      </w:r>
      <w:r>
        <w:rPr>
          <w:rFonts w:hint="eastAsia" w:ascii="仿宋_GB2312" w:hAnsi="宋体" w:eastAsia="仿宋_GB2312" w:cs="仿宋_GB2312"/>
          <w:kern w:val="0"/>
          <w:sz w:val="32"/>
          <w:szCs w:val="32"/>
          <w:shd w:val="clear" w:color="auto" w:fill="FFFFFF"/>
          <w:lang w:val="en-US" w:eastAsia="zh-CN"/>
        </w:rPr>
        <w:t>4</w:t>
      </w:r>
      <w:r>
        <w:rPr>
          <w:rFonts w:hint="eastAsia" w:ascii="仿宋_GB2312" w:hAnsi="宋体" w:eastAsia="仿宋_GB2312" w:cs="仿宋_GB2312"/>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kern w:val="0"/>
          <w:sz w:val="32"/>
          <w:szCs w:val="32"/>
          <w:shd w:val="clear" w:color="auto" w:fill="FFFFFF"/>
          <w:lang w:val="en-US" w:eastAsia="zh-CN"/>
        </w:rPr>
        <w:t>5.45</w:t>
      </w:r>
      <w:r>
        <w:rPr>
          <w:rFonts w:hint="eastAsia" w:ascii="仿宋_GB2312" w:hAnsi="宋体" w:eastAsia="仿宋_GB2312" w:cs="仿宋_GB2312"/>
          <w:kern w:val="0"/>
          <w:sz w:val="32"/>
          <w:szCs w:val="32"/>
          <w:shd w:val="clear" w:color="auto" w:fill="FFFFFF"/>
        </w:rPr>
        <w:t>万元，从评价情况来看，确保了教职工的福利，解除了教职工的后顾之忧。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Cs/>
          <w:sz w:val="32"/>
          <w:szCs w:val="32"/>
        </w:rPr>
      </w:pPr>
      <w:r>
        <w:rPr>
          <w:rFonts w:hint="eastAsia" w:ascii="楷体" w:hAnsi="楷体" w:eastAsia="楷体" w:cs="楷体"/>
          <w:bCs/>
          <w:sz w:val="32"/>
          <w:szCs w:val="32"/>
          <w:lang w:eastAsia="zh-CN"/>
        </w:rPr>
        <w:t>（四）</w:t>
      </w:r>
      <w:r>
        <w:rPr>
          <w:rFonts w:hint="eastAsia" w:ascii="楷体" w:hAnsi="楷体" w:eastAsia="楷体" w:cs="楷体"/>
          <w:bCs/>
          <w:sz w:val="32"/>
          <w:szCs w:val="32"/>
        </w:rPr>
        <w:t>财政评价结果</w:t>
      </w:r>
    </w:p>
    <w:p>
      <w:pPr>
        <w:spacing w:line="578" w:lineRule="exact"/>
        <w:ind w:firstLine="2560" w:firstLineChars="800"/>
        <w:rPr>
          <w:rFonts w:hint="eastAsia" w:ascii="仿宋_GB2312" w:eastAsia="仿宋_GB2312"/>
          <w:sz w:val="32"/>
          <w:szCs w:val="32"/>
          <w:lang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18325_WPSOffice_Level2"/>
      <w:bookmarkStart w:id="98" w:name="_Toc32639_WPSOffice_Level2"/>
      <w:bookmarkStart w:id="99" w:name="_Toc5978_WPSOffice_Level2"/>
      <w:bookmarkStart w:id="100" w:name="_Toc15262_WPSOffice_Level2"/>
      <w:bookmarkStart w:id="101" w:name="_Toc23598_WPSOffice_Level2"/>
      <w:bookmarkStart w:id="102" w:name="_Toc15565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bidi="ar"/>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西昌镇晨星学校</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bookmarkStart w:id="103" w:name="_Toc23966_WPSOffice_Level2"/>
      <w:bookmarkStart w:id="104" w:name="_Toc13084_WPSOffice_Level2"/>
      <w:bookmarkStart w:id="105" w:name="_Toc30383_WPSOffice_Level2"/>
      <w:bookmarkStart w:id="106" w:name="_Toc25333_WPSOffice_Level2"/>
      <w:bookmarkStart w:id="107" w:name="_Toc32689_WPSOffice_Level2"/>
      <w:bookmarkStart w:id="108" w:name="_Toc3131_WPSOffice_Level2"/>
      <w:r>
        <w:rPr>
          <w:rFonts w:ascii="仿宋_GB2312" w:hAnsi="ˎ̥" w:eastAsia="仿宋_GB2312"/>
          <w:color w:val="auto"/>
          <w:sz w:val="32"/>
          <w:szCs w:val="32"/>
        </w:rPr>
        <w:t>是</w:t>
      </w:r>
      <w:r>
        <w:rPr>
          <w:rFonts w:hint="eastAsia" w:ascii="仿宋_GB2312" w:hAnsi="ˎ̥" w:eastAsia="仿宋_GB2312"/>
          <w:color w:val="auto"/>
          <w:sz w:val="32"/>
          <w:szCs w:val="32"/>
          <w:lang w:val="en-US" w:eastAsia="zh-CN"/>
        </w:rPr>
        <w:t>本年度未产生相关预决算数据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部门（单位）政府采购支出总额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29584_WPSOffice_Level2"/>
      <w:bookmarkStart w:id="111" w:name="_Toc6016_WPSOffice_Level2"/>
      <w:bookmarkStart w:id="112" w:name="_Toc15129_WPSOffice_Level2"/>
      <w:bookmarkStart w:id="113" w:name="_Toc527_WPSOffice_Level2"/>
      <w:bookmarkStart w:id="114" w:name="_Toc10902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auto"/>
          <w:sz w:val="32"/>
          <w:szCs w:val="32"/>
          <w:lang w:val="en-US" w:eastAsia="zh-CN"/>
        </w:rPr>
        <w:t>5511.08</w:t>
      </w:r>
      <w:r>
        <w:rPr>
          <w:rFonts w:hint="eastAsia" w:ascii="仿宋_GB2312" w:hAnsi="ˎ̥" w:eastAsia="仿宋_GB2312"/>
          <w:sz w:val="32"/>
          <w:szCs w:val="32"/>
        </w:rPr>
        <w:t>平方米</w:t>
      </w:r>
      <w:r>
        <w:rPr>
          <w:rFonts w:hint="eastAsia" w:ascii="仿宋_GB2312" w:hAnsi="ˎ̥" w:eastAsia="仿宋_GB2312"/>
          <w:sz w:val="32"/>
          <w:szCs w:val="32"/>
          <w:lang w:eastAsia="zh-CN"/>
        </w:rPr>
        <w:t>。</w:t>
      </w:r>
      <w:r>
        <w:rPr>
          <w:rFonts w:hint="eastAsia" w:ascii="仿宋_GB2312" w:hAnsi="ˎ̥" w:eastAsia="仿宋_GB2312"/>
          <w:color w:val="auto"/>
          <w:sz w:val="32"/>
          <w:szCs w:val="32"/>
        </w:rPr>
        <w:t>其中：办公用房</w:t>
      </w:r>
      <w:r>
        <w:rPr>
          <w:rFonts w:hint="eastAsia" w:ascii="仿宋_GB2312" w:hAnsi="ˎ̥" w:eastAsia="仿宋_GB2312"/>
          <w:color w:val="auto"/>
          <w:sz w:val="32"/>
          <w:szCs w:val="32"/>
          <w:lang w:val="en-US" w:eastAsia="zh-CN"/>
        </w:rPr>
        <w:t>1800</w:t>
      </w:r>
      <w:r>
        <w:rPr>
          <w:rFonts w:hint="eastAsia" w:ascii="仿宋_GB2312" w:hAnsi="ˎ̥" w:eastAsia="仿宋_GB2312"/>
          <w:color w:val="auto"/>
          <w:sz w:val="32"/>
          <w:szCs w:val="32"/>
        </w:rPr>
        <w:t>平方米，业务用房</w:t>
      </w:r>
      <w:r>
        <w:rPr>
          <w:rFonts w:hint="eastAsia" w:ascii="仿宋_GB2312" w:hAnsi="ˎ̥" w:eastAsia="仿宋_GB2312"/>
          <w:color w:val="auto"/>
          <w:sz w:val="32"/>
          <w:szCs w:val="32"/>
          <w:lang w:val="en-US" w:eastAsia="zh-CN"/>
        </w:rPr>
        <w:t>2253.1</w:t>
      </w:r>
      <w:r>
        <w:rPr>
          <w:rFonts w:hint="eastAsia" w:ascii="仿宋_GB2312" w:hAnsi="ˎ̥" w:eastAsia="仿宋_GB2312"/>
          <w:color w:val="auto"/>
          <w:sz w:val="32"/>
          <w:szCs w:val="32"/>
        </w:rPr>
        <w:t>平方米，其他（不含构筑物）</w:t>
      </w:r>
      <w:r>
        <w:rPr>
          <w:rFonts w:hint="eastAsia" w:ascii="仿宋_GB2312" w:hAnsi="ˎ̥" w:eastAsia="仿宋_GB2312"/>
          <w:color w:val="auto"/>
          <w:sz w:val="32"/>
          <w:szCs w:val="32"/>
          <w:lang w:val="en-US" w:eastAsia="zh-CN"/>
        </w:rPr>
        <w:t>1457.98</w:t>
      </w:r>
      <w:r>
        <w:rPr>
          <w:rFonts w:hint="eastAsia" w:ascii="仿宋_GB2312" w:hAnsi="ˎ̥" w:eastAsia="仿宋_GB2312"/>
          <w:color w:val="auto"/>
          <w:sz w:val="32"/>
          <w:szCs w:val="32"/>
        </w:rPr>
        <w:t>平方米。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8808_WPSOffice_Level1"/>
      <w:bookmarkStart w:id="116" w:name="_Toc8874_WPSOffice_Level1"/>
      <w:bookmarkStart w:id="117" w:name="_Toc15425_WPSOffice_Level1"/>
      <w:bookmarkStart w:id="118" w:name="_Toc17580_WPSOffice_Level1"/>
      <w:bookmarkStart w:id="119" w:name="_Toc11039_WPSOffice_Level1"/>
      <w:bookmarkStart w:id="120"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560620C"/>
    <w:multiLevelType w:val="singleLevel"/>
    <w:tmpl w:val="0560620C"/>
    <w:lvl w:ilvl="0" w:tentative="0">
      <w:start w:val="1"/>
      <w:numFmt w:val="chineseCounting"/>
      <w:suff w:val="nothing"/>
      <w:lvlText w:val="%1、"/>
      <w:lvlJc w:val="left"/>
      <w:rPr>
        <w:rFonts w:hint="eastAsia"/>
      </w:rPr>
    </w:lvl>
  </w:abstractNum>
  <w:abstractNum w:abstractNumId="2">
    <w:nsid w:val="13345EB3"/>
    <w:multiLevelType w:val="singleLevel"/>
    <w:tmpl w:val="13345EB3"/>
    <w:lvl w:ilvl="0" w:tentative="0">
      <w:start w:val="3"/>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3E1CB5"/>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0F7FF3"/>
    <w:rsid w:val="03123BE6"/>
    <w:rsid w:val="05B15015"/>
    <w:rsid w:val="071C0D97"/>
    <w:rsid w:val="09201287"/>
    <w:rsid w:val="0B1A5559"/>
    <w:rsid w:val="0B3568A8"/>
    <w:rsid w:val="0F97247B"/>
    <w:rsid w:val="0FC80124"/>
    <w:rsid w:val="10C85AC8"/>
    <w:rsid w:val="10CF0651"/>
    <w:rsid w:val="129C5D80"/>
    <w:rsid w:val="136F98C7"/>
    <w:rsid w:val="15583EAD"/>
    <w:rsid w:val="16086DD0"/>
    <w:rsid w:val="17427E68"/>
    <w:rsid w:val="174335E8"/>
    <w:rsid w:val="17530E72"/>
    <w:rsid w:val="1755065F"/>
    <w:rsid w:val="196A1BDD"/>
    <w:rsid w:val="1AFC29C9"/>
    <w:rsid w:val="1CA52F2E"/>
    <w:rsid w:val="1E3630B9"/>
    <w:rsid w:val="1F2A3348"/>
    <w:rsid w:val="22B54604"/>
    <w:rsid w:val="26EEC2B5"/>
    <w:rsid w:val="274746AB"/>
    <w:rsid w:val="29472309"/>
    <w:rsid w:val="2B406E77"/>
    <w:rsid w:val="2C2A0C43"/>
    <w:rsid w:val="2D1E73A5"/>
    <w:rsid w:val="32717154"/>
    <w:rsid w:val="34B63260"/>
    <w:rsid w:val="35DC4272"/>
    <w:rsid w:val="37FDA7E2"/>
    <w:rsid w:val="395E5096"/>
    <w:rsid w:val="3A314D88"/>
    <w:rsid w:val="3A746883"/>
    <w:rsid w:val="3C79611A"/>
    <w:rsid w:val="3CA15DE9"/>
    <w:rsid w:val="3FE61EE5"/>
    <w:rsid w:val="406508EE"/>
    <w:rsid w:val="408D6263"/>
    <w:rsid w:val="41B40CEE"/>
    <w:rsid w:val="426217EC"/>
    <w:rsid w:val="4395603C"/>
    <w:rsid w:val="43A4604A"/>
    <w:rsid w:val="466B1E36"/>
    <w:rsid w:val="48317291"/>
    <w:rsid w:val="485F7024"/>
    <w:rsid w:val="48E70666"/>
    <w:rsid w:val="4B8F0C30"/>
    <w:rsid w:val="4C6877E5"/>
    <w:rsid w:val="4D6A468D"/>
    <w:rsid w:val="4EA86137"/>
    <w:rsid w:val="52DD5DD5"/>
    <w:rsid w:val="55063A2D"/>
    <w:rsid w:val="55344AA7"/>
    <w:rsid w:val="56CA7FD0"/>
    <w:rsid w:val="57FA38D1"/>
    <w:rsid w:val="59AE7F4F"/>
    <w:rsid w:val="5F7D3333"/>
    <w:rsid w:val="61385890"/>
    <w:rsid w:val="641A477D"/>
    <w:rsid w:val="66A65723"/>
    <w:rsid w:val="687436E1"/>
    <w:rsid w:val="6AD0578E"/>
    <w:rsid w:val="6C6B4A74"/>
    <w:rsid w:val="6DA45C50"/>
    <w:rsid w:val="6E9A7825"/>
    <w:rsid w:val="6F670F9B"/>
    <w:rsid w:val="70180724"/>
    <w:rsid w:val="737450E0"/>
    <w:rsid w:val="73B66B95"/>
    <w:rsid w:val="74054476"/>
    <w:rsid w:val="742F38C4"/>
    <w:rsid w:val="74AB66DC"/>
    <w:rsid w:val="74C4154C"/>
    <w:rsid w:val="75956FFF"/>
    <w:rsid w:val="7750356B"/>
    <w:rsid w:val="77AA2D01"/>
    <w:rsid w:val="7C2102A9"/>
    <w:rsid w:val="7CDE1DBD"/>
    <w:rsid w:val="7D943A85"/>
    <w:rsid w:val="7DB0448C"/>
    <w:rsid w:val="7E5F9AA4"/>
    <w:rsid w:val="7EC6046B"/>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6458</Words>
  <Characters>7120</Characters>
  <Lines>67</Lines>
  <Paragraphs>18</Paragraphs>
  <TotalTime>4</TotalTime>
  <ScaleCrop>false</ScaleCrop>
  <LinksUpToDate>false</LinksUpToDate>
  <CharactersWithSpaces>7205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2025-10-26T03:02:00Z</cp:lastPrinted>
  <dcterms:modified xsi:type="dcterms:W3CDTF">2025-10-27T01:24:50Z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eyJoZGlkIjoiMmE3YzVkZjE4NDMzNGEwNWViNDc0ZjNmY2YxMThjZDciLCJ1c2VySWQiOiIzNjQ4MDk4NzEifQ==</vt:lpwstr>
  </property>
</Properties>
</file>