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海南屯昌思源实验学校2024年度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黑体" w:eastAsia="黑体" w:cs="黑体"/>
          <w:sz w:val="44"/>
          <w:szCs w:val="44"/>
        </w:rPr>
      </w:pPr>
      <w:bookmarkStart w:id="0" w:name="_Toc11440_WPSOffice_Type2"/>
    </w:p>
    <w:p>
      <w:pPr>
        <w:spacing w:line="578" w:lineRule="exact"/>
        <w:jc w:val="center"/>
        <w:rPr>
          <w:rFonts w:hint="eastAsia" w:ascii="黑体" w:hAnsi="黑体" w:eastAsia="黑体" w:cs="黑体"/>
          <w:sz w:val="44"/>
          <w:szCs w:val="44"/>
        </w:rPr>
      </w:pPr>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2" w:name="_Toc32433_WPSOffice_Level1"/>
      <w:bookmarkStart w:id="3" w:name="_Toc22941_WPSOffice_Level1"/>
      <w:bookmarkStart w:id="4" w:name="_Toc10049_WPSOffice_Level1"/>
      <w:bookmarkStart w:id="5" w:name="_Toc10720_WPSOffice_Level1"/>
      <w:bookmarkStart w:id="6" w:name="_Toc1704_WPSOffice_Level1"/>
      <w:bookmarkStart w:id="7" w:name="_Toc23465_WPSOffice_Level1"/>
      <w:bookmarkStart w:id="8" w:name="_Toc24238_WPSOffice_Level2"/>
      <w:bookmarkStart w:id="9" w:name="_Toc14159_WPSOffice_Level2"/>
      <w:bookmarkStart w:id="10" w:name="_Toc32622_WPSOffice_Level2"/>
      <w:bookmarkStart w:id="11" w:name="_Toc26580_WPSOffice_Level2"/>
      <w:bookmarkStart w:id="12" w:name="_Toc20205_WPSOffice_Level2"/>
      <w:bookmarkStart w:id="13" w:name="_Toc20274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059_WPSOffice_Level2"/>
      <w:bookmarkStart w:id="16" w:name="_Toc4833_WPSOffice_Level2"/>
      <w:bookmarkStart w:id="17" w:name="_Toc24474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纳入海南屯昌思源实验学校2024年度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决算编制范围的单位共1个，为海南屯昌思源实验学校</w:t>
      </w:r>
      <w:r>
        <w:rPr>
          <w:rFonts w:hint="eastAsia" w:ascii="仿宋_GB2312" w:hAnsi="ˎ̥" w:eastAsia="仿宋_GB2312"/>
          <w:sz w:val="32"/>
          <w:szCs w:val="32"/>
          <w:lang w:eastAsia="zh-CN"/>
        </w:rPr>
        <w:t>单位</w:t>
      </w:r>
      <w:r>
        <w:rPr>
          <w:rFonts w:hint="eastAsia" w:ascii="仿宋_GB2312" w:hAnsi="ˎ̥" w:eastAsia="仿宋_GB2312"/>
          <w:sz w:val="32"/>
          <w:szCs w:val="32"/>
        </w:rPr>
        <w:t>本级，包含小学、初中两个教学学段，无下属独立核算单位。</w:t>
      </w:r>
    </w:p>
    <w:p>
      <w:pPr>
        <w:spacing w:line="578" w:lineRule="exact"/>
        <w:jc w:val="center"/>
        <w:rPr>
          <w:rFonts w:hint="eastAsia" w:ascii="黑体" w:hAnsi="ˎ̥" w:eastAsia="黑体"/>
          <w:sz w:val="32"/>
          <w:szCs w:val="32"/>
        </w:rPr>
      </w:pPr>
      <w:bookmarkStart w:id="19" w:name="_Toc15521_WPSOffice_Level1"/>
      <w:bookmarkStart w:id="20" w:name="_Toc8164_WPSOffice_Level1"/>
      <w:bookmarkStart w:id="21" w:name="_Toc28253_WPSOffice_Level1"/>
      <w:bookmarkStart w:id="22" w:name="_Toc6234_WPSOffice_Level1"/>
      <w:bookmarkStart w:id="23" w:name="_Toc30451_WPSOffice_Level1"/>
      <w:bookmarkStart w:id="24" w:name="_Toc30690_WPSOffice_Level1"/>
      <w:bookmarkStart w:id="25" w:name="_Toc4029_WPSOffice_Level2"/>
      <w:bookmarkStart w:id="26" w:name="_Toc32472_WPSOffice_Level2"/>
      <w:bookmarkStart w:id="27" w:name="_Toc6211_WPSOffice_Level2"/>
      <w:bookmarkStart w:id="28" w:name="_Toc11518_WPSOffice_Level2"/>
      <w:bookmarkStart w:id="29" w:name="_Toc8867_WPSOffice_Level2"/>
      <w:bookmarkStart w:id="30"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14349_WPSOffice_Level2"/>
      <w:bookmarkStart w:id="32" w:name="_Toc30334_WPSOffice_Level2"/>
      <w:bookmarkStart w:id="33" w:name="_Toc23139_WPSOffice_Level2"/>
      <w:bookmarkStart w:id="34" w:name="_Toc25608_WPSOffice_Level2"/>
      <w:bookmarkStart w:id="35" w:name="_Toc26621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3262_WPSOffice_Level2"/>
      <w:bookmarkStart w:id="39" w:name="_Toc5489_WPSOffice_Level2"/>
      <w:bookmarkStart w:id="40" w:name="_Toc13854_WPSOffice_Level2"/>
      <w:bookmarkStart w:id="41" w:name="_Toc17858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23591_WPSOffice_Level2"/>
      <w:bookmarkStart w:id="45" w:name="_Toc23493_WPSOffice_Level2"/>
      <w:bookmarkStart w:id="46" w:name="_Toc13701_WPSOffice_Level2"/>
      <w:bookmarkStart w:id="47" w:name="_Toc4265_WPSOffice_Level2"/>
      <w:bookmarkStart w:id="48" w:name="_Toc2141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5166_WPSOffice_Level2"/>
      <w:bookmarkStart w:id="51" w:name="_Toc7879_WPSOffice_Level2"/>
      <w:bookmarkStart w:id="52" w:name="_Toc22783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632_WPSOffice_Level2"/>
      <w:bookmarkStart w:id="56" w:name="_Toc17833_WPSOffice_Level2"/>
      <w:bookmarkStart w:id="57" w:name="_Toc5343_WPSOffice_Level2"/>
      <w:bookmarkStart w:id="58" w:name="_Toc8373_WPSOffice_Level2"/>
      <w:bookmarkStart w:id="59" w:name="_Toc25362_WPSOffice_Level2"/>
      <w:bookmarkStart w:id="60"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6020_WPSOffice_Level2"/>
      <w:bookmarkStart w:id="63" w:name="_Toc11799_WPSOffice_Level2"/>
      <w:bookmarkStart w:id="64" w:name="_Toc13345_WPSOffice_Level2"/>
      <w:bookmarkStart w:id="65" w:name="_Toc5594_WPSOffice_Level2"/>
      <w:bookmarkStart w:id="66" w:name="_Toc2131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820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rPr>
          <w:rFonts w:hint="eastAsia" w:ascii="黑体" w:hAnsi="黑体" w:eastAsia="黑体" w:cs="黑体"/>
          <w:sz w:val="32"/>
          <w:szCs w:val="32"/>
        </w:rPr>
      </w:pPr>
      <w:r>
        <w:rPr>
          <w:rFonts w:hint="eastAsia" w:ascii="黑体" w:hAnsi="黑体" w:eastAsia="黑体" w:cs="黑体"/>
          <w:sz w:val="32"/>
          <w:szCs w:val="32"/>
        </w:rPr>
        <w:br w:type="page"/>
      </w:r>
    </w:p>
    <w:p>
      <w:pPr>
        <w:spacing w:line="578" w:lineRule="exact"/>
        <w:jc w:val="center"/>
        <w:rPr>
          <w:rFonts w:hint="eastAsia" w:ascii="黑体" w:hAnsi="ˎ̥" w:eastAsia="黑体"/>
          <w:sz w:val="32"/>
          <w:szCs w:val="32"/>
        </w:rPr>
      </w:pPr>
      <w:bookmarkStart w:id="125" w:name="_GoBack"/>
      <w:bookmarkEnd w:id="125"/>
      <w:bookmarkStart w:id="71" w:name="_Toc4402_WPSOffice_Level1"/>
      <w:bookmarkStart w:id="72" w:name="_Toc28629_WPSOffice_Level1"/>
      <w:bookmarkStart w:id="73" w:name="_Toc29683_WPSOffice_Level1"/>
      <w:bookmarkStart w:id="74" w:name="_Toc27590_WPSOffice_Level1"/>
      <w:bookmarkStart w:id="75" w:name="_Toc31264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spacing w:before="120" w:after="120" w:line="288" w:lineRule="auto"/>
        <w:ind w:left="0"/>
        <w:jc w:val="left"/>
      </w:pPr>
      <w:r>
        <w:rPr>
          <w:rFonts w:hint="eastAsia" w:ascii="黑体" w:hAnsi="黑体" w:eastAsia="黑体" w:cs="黑体"/>
          <w:bCs/>
          <w:sz w:val="32"/>
          <w:szCs w:val="32"/>
        </w:rPr>
        <w:t>一、收入支出总体情况说明</w:t>
      </w:r>
    </w:p>
    <w:p>
      <w:pPr>
        <w:spacing w:before="120" w:after="120" w:line="288" w:lineRule="auto"/>
        <w:ind w:left="0" w:firstLine="640" w:firstLineChars="200"/>
        <w:jc w:val="left"/>
        <w:rPr>
          <w:rFonts w:hint="default" w:ascii="仿宋_GB2312" w:hAnsi="ˎ̥" w:eastAsia="仿宋_GB2312"/>
          <w:sz w:val="32"/>
          <w:szCs w:val="32"/>
          <w:lang w:val="en-US"/>
        </w:rPr>
      </w:pPr>
      <w:r>
        <w:rPr>
          <w:rFonts w:hint="default" w:ascii="仿宋_GB2312" w:hAnsi="ˎ̥" w:eastAsia="仿宋_GB2312"/>
          <w:sz w:val="32"/>
          <w:szCs w:val="32"/>
          <w:lang w:val="en-US"/>
        </w:rPr>
        <w:t>2024年度收入总计2,783.05万元，支出总计2,783.05万元，与2023年度（收入、支出总计均为3,190.04万元）相比，收入、支出总计各减少406.99万元，下降12.76%。主要原因：一是本年度一般公共预算财政拨款较上年减少，主要因部分非刚性教育项目经费压缩；二是无额外上级补助收入及经营收入补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2,777.65</w:t>
      </w:r>
      <w:r>
        <w:rPr>
          <w:rFonts w:hint="eastAsia" w:ascii="仿宋_GB2312" w:hAnsi="ˎ̥" w:eastAsia="仿宋_GB2312"/>
          <w:sz w:val="32"/>
          <w:szCs w:val="32"/>
        </w:rPr>
        <w:t>万元。</w:t>
      </w:r>
    </w:p>
    <w:p>
      <w:pPr>
        <w:numPr>
          <w:ilvl w:val="0"/>
          <w:numId w:val="0"/>
        </w:numPr>
        <w:spacing w:before="120" w:after="120" w:line="288" w:lineRule="auto"/>
        <w:ind w:firstLine="640" w:firstLineChars="200"/>
        <w:jc w:val="left"/>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万元，较2023年度决算数（0.02万元）减少0.02万元，主要原因是本年度无往期非财政拨款结余资金可用于弥补收支缺口。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5.41</w:t>
      </w:r>
      <w:r>
        <w:rPr>
          <w:rFonts w:hint="eastAsia" w:ascii="仿宋_GB2312" w:hAnsi="ˎ̥" w:eastAsia="仿宋_GB2312"/>
          <w:sz w:val="32"/>
          <w:szCs w:val="32"/>
        </w:rPr>
        <w:t>万元，主要为2023年度结转的义务教育公用经费，较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2.19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2,777.29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万元，与2023年度决算数持平，主要原因是本年度无结余资金可供分配。</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5.76</w:t>
      </w:r>
      <w:r>
        <w:rPr>
          <w:rFonts w:hint="eastAsia" w:ascii="仿宋_GB2312" w:hAnsi="ˎ̥" w:eastAsia="仿宋_GB2312"/>
          <w:sz w:val="32"/>
          <w:szCs w:val="32"/>
        </w:rPr>
        <w:t>万元，主要为2024年度义务教育公用经费少量结余，较2023年度决算数（5.41万元）增加0.35万元，增长6.47%，主要原因是本年度公用经费使用进度略有延迟，剩余资金需结转至下年继续用于教学保障。</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numPr>
          <w:ilvl w:val="0"/>
          <w:numId w:val="2"/>
        </w:numPr>
        <w:spacing w:before="120" w:after="120" w:line="288" w:lineRule="auto"/>
        <w:ind w:left="0"/>
        <w:jc w:val="left"/>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2,777.65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万元，占本年收入合计的98.07%</w:t>
      </w:r>
      <w:r>
        <w:rPr>
          <w:rFonts w:hint="eastAsia" w:ascii="仿宋_GB2312" w:hAnsi="ˎ̥" w:eastAsia="仿宋_GB2312"/>
          <w:sz w:val="32"/>
          <w:szCs w:val="32"/>
          <w:lang w:val="en-US" w:eastAsia="zh-CN"/>
        </w:rPr>
        <w:t>；</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53.63</w:t>
      </w:r>
      <w:r>
        <w:rPr>
          <w:rFonts w:hint="eastAsia" w:ascii="仿宋_GB2312" w:hAnsi="ˎ̥" w:eastAsia="仿宋_GB2312"/>
          <w:sz w:val="32"/>
          <w:szCs w:val="32"/>
        </w:rPr>
        <w:t>万元，占本年收入合计的1.93%。</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2,777.29</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2,406.44</w:t>
      </w:r>
      <w:r>
        <w:rPr>
          <w:rFonts w:hint="eastAsia" w:ascii="仿宋_GB2312" w:hAnsi="ˎ̥" w:eastAsia="仿宋_GB2312"/>
          <w:sz w:val="32"/>
          <w:szCs w:val="32"/>
        </w:rPr>
        <w:t>万元，占本年支出合计的86.65%；项目支出</w:t>
      </w:r>
      <w:r>
        <w:rPr>
          <w:rFonts w:hint="default" w:ascii="仿宋_GB2312" w:hAnsi="ˎ̥" w:eastAsia="仿宋_GB2312"/>
          <w:color w:val="FF0000"/>
          <w:sz w:val="32"/>
          <w:szCs w:val="32"/>
          <w:lang w:val="en-US"/>
        </w:rPr>
        <w:t>370.85</w:t>
      </w:r>
      <w:r>
        <w:rPr>
          <w:rFonts w:hint="eastAsia" w:ascii="仿宋_GB2312" w:hAnsi="ˎ̥" w:eastAsia="仿宋_GB2312"/>
          <w:sz w:val="32"/>
          <w:szCs w:val="32"/>
        </w:rPr>
        <w:t>万元，</w:t>
      </w:r>
      <w:r>
        <w:rPr>
          <w:rFonts w:hint="eastAsia" w:ascii="仿宋_GB2312" w:hAnsi="ˎ̥" w:eastAsia="仿宋_GB2312" w:cs="Times New Roman"/>
          <w:kern w:val="2"/>
          <w:sz w:val="32"/>
          <w:szCs w:val="32"/>
          <w:lang w:val="en-US" w:eastAsia="zh-CN" w:bidi="ar-SA"/>
        </w:rPr>
        <w:t>占本年支出合计的13.35%</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w:t>
      </w:r>
      <w:r>
        <w:rPr>
          <w:rFonts w:hint="eastAsia" w:ascii="仿宋_GB2312" w:hAnsi="ˎ̥" w:eastAsia="仿宋_GB2312" w:cs="Times New Roman"/>
          <w:kern w:val="2"/>
          <w:sz w:val="32"/>
          <w:szCs w:val="32"/>
          <w:lang w:val="en-US" w:eastAsia="zh-CN" w:bidi="ar-SA"/>
        </w:rPr>
        <w:t>财政拨款收入减少416.97万元（2023年为3,140.99万元），下降13.28%，主要原因是本年度教育专项项目经费压缩。财政拨款支出减少417.12万元（2023年为3,141.14万元），下降13.28%，与收入下降幅度一致，主要因项目支出随预算同步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0.79</w:t>
      </w:r>
      <w:r>
        <w:rPr>
          <w:rFonts w:hint="eastAsia" w:ascii="仿宋_GB2312" w:hAnsi="ˎ̥" w:eastAsia="仿宋_GB2312"/>
          <w:sz w:val="32"/>
          <w:szCs w:val="32"/>
        </w:rPr>
        <w:t>万元，</w:t>
      </w:r>
      <w:r>
        <w:rPr>
          <w:rFonts w:hint="eastAsia" w:ascii="仿宋_GB2312" w:hAnsi="ˎ̥" w:eastAsia="仿宋_GB2312" w:cs="Times New Roman"/>
          <w:kern w:val="2"/>
          <w:sz w:val="32"/>
          <w:szCs w:val="32"/>
          <w:lang w:val="en-US" w:eastAsia="zh-CN" w:bidi="ar-SA"/>
        </w:rPr>
        <w:t>主要为2023年度财政拨款公用经费结余，较2023年度决算数（0.79万元）持平，主要原因是上年结转资金全额转入本年使用。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19665_WPSOffice_Level2"/>
      <w:bookmarkStart w:id="79" w:name="_Toc17398_WPSOffice_Level2"/>
      <w:bookmarkStart w:id="80" w:name="_Toc9989_WPSOffice_Level2"/>
      <w:bookmarkStart w:id="81" w:name="_Toc21737_WPSOffice_Level2"/>
      <w:bookmarkStart w:id="82" w:name="_Toc2300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w:t>
      </w:r>
      <w:r>
        <w:rPr>
          <w:rFonts w:hint="eastAsia" w:ascii="仿宋_GB2312" w:hAnsi="ˎ̥" w:eastAsia="仿宋_GB2312" w:cs="Times New Roman"/>
          <w:kern w:val="2"/>
          <w:sz w:val="32"/>
          <w:szCs w:val="32"/>
          <w:lang w:val="en-US" w:eastAsia="zh-CN" w:bidi="ar-SA"/>
        </w:rPr>
        <w:t>占本年支出合计的98.08%</w:t>
      </w:r>
      <w:r>
        <w:rPr>
          <w:rFonts w:hint="eastAsia" w:ascii="仿宋_GB2312" w:hAnsi="ˎ̥" w:eastAsia="仿宋_GB2312"/>
          <w:sz w:val="32"/>
          <w:szCs w:val="32"/>
        </w:rPr>
        <w:t>。</w:t>
      </w:r>
      <w:bookmarkStart w:id="83" w:name="_Toc27767_WPSOffice_Level2"/>
      <w:bookmarkStart w:id="84" w:name="_Toc2711_WPSOffice_Level2"/>
      <w:bookmarkStart w:id="85" w:name="_Toc23864_WPSOffice_Level2"/>
      <w:bookmarkStart w:id="86" w:name="_Toc18793_WPSOffice_Level2"/>
      <w:bookmarkStart w:id="87" w:name="_Toc19535_WPSOffice_Level2"/>
      <w:bookmarkStart w:id="88" w:name="_Toc19075_WPSOffice_Level2"/>
      <w:r>
        <w:rPr>
          <w:rFonts w:hint="eastAsia" w:ascii="仿宋_GB2312" w:hAnsi="ˎ̥" w:eastAsia="仿宋_GB2312" w:cs="Times New Roman"/>
          <w:kern w:val="2"/>
          <w:sz w:val="32"/>
          <w:szCs w:val="32"/>
          <w:lang w:val="en-US" w:eastAsia="zh-CN" w:bidi="ar-SA"/>
        </w:rPr>
        <w:t>2023年度（3,141.14万元）相比，减少417.12万元，下降13.28%，主要原因是本年度项目支出预算压缩，且无新增人员导致人员经费增长放缓。</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万元，主要用于以下方面：</w:t>
      </w:r>
      <w:r>
        <w:rPr>
          <w:rFonts w:hint="eastAsia" w:ascii="仿宋_GB2312" w:hAnsi="ˎ̥" w:eastAsia="仿宋_GB2312"/>
          <w:b/>
          <w:sz w:val="32"/>
          <w:szCs w:val="32"/>
          <w:lang w:val="en-US" w:eastAsia="zh-CN"/>
        </w:rPr>
        <w:t>教育（类）</w:t>
      </w:r>
      <w:r>
        <w:rPr>
          <w:rFonts w:hint="eastAsia" w:ascii="仿宋_GB2312" w:hAnsi="ˎ̥" w:eastAsia="仿宋_GB2312" w:cs="Times New Roman"/>
          <w:kern w:val="2"/>
          <w:sz w:val="32"/>
          <w:szCs w:val="32"/>
          <w:lang w:val="en-US" w:eastAsia="zh-CN" w:bidi="ar-SA"/>
        </w:rPr>
        <w:t>支出1,978.71万元，占比72.64%；</w:t>
      </w:r>
      <w:r>
        <w:rPr>
          <w:rFonts w:hint="eastAsia" w:ascii="仿宋_GB2312" w:hAnsi="ˎ̥" w:eastAsia="仿宋_GB2312"/>
          <w:b/>
          <w:sz w:val="32"/>
          <w:szCs w:val="32"/>
          <w:lang w:val="en-US" w:eastAsia="zh-CN"/>
        </w:rPr>
        <w:t>社会保障和就业（类）</w:t>
      </w:r>
      <w:r>
        <w:rPr>
          <w:rFonts w:hint="eastAsia" w:ascii="仿宋_GB2312" w:hAnsi="ˎ̥" w:eastAsia="仿宋_GB2312" w:cs="Times New Roman"/>
          <w:kern w:val="2"/>
          <w:sz w:val="32"/>
          <w:szCs w:val="32"/>
          <w:lang w:val="en-US" w:eastAsia="zh-CN" w:bidi="ar-SA"/>
        </w:rPr>
        <w:t>支出320.43万元，占比11.76%；</w:t>
      </w:r>
      <w:r>
        <w:rPr>
          <w:rFonts w:hint="eastAsia" w:ascii="仿宋_GB2312" w:hAnsi="ˎ̥" w:eastAsia="仿宋_GB2312"/>
          <w:b/>
          <w:sz w:val="32"/>
          <w:szCs w:val="32"/>
          <w:lang w:val="en-US" w:eastAsia="zh-CN"/>
        </w:rPr>
        <w:t>卫生健康（类）</w:t>
      </w:r>
      <w:r>
        <w:rPr>
          <w:rFonts w:hint="eastAsia" w:ascii="仿宋_GB2312" w:hAnsi="ˎ̥" w:eastAsia="仿宋_GB2312" w:cs="Times New Roman"/>
          <w:kern w:val="2"/>
          <w:sz w:val="32"/>
          <w:szCs w:val="32"/>
          <w:lang w:val="en-US" w:eastAsia="zh-CN" w:bidi="ar-SA"/>
        </w:rPr>
        <w:t>支出251.03万元，占比9.22%；</w:t>
      </w:r>
      <w:r>
        <w:rPr>
          <w:rFonts w:hint="eastAsia" w:ascii="仿宋_GB2312" w:hAnsi="ˎ̥" w:eastAsia="仿宋_GB2312"/>
          <w:b/>
          <w:sz w:val="32"/>
          <w:szCs w:val="32"/>
          <w:lang w:val="en-US" w:eastAsia="zh-CN"/>
        </w:rPr>
        <w:t>住房保障（类）</w:t>
      </w:r>
      <w:r>
        <w:rPr>
          <w:rFonts w:hint="eastAsia" w:ascii="仿宋_GB2312" w:hAnsi="ˎ̥" w:eastAsia="仿宋_GB2312" w:cs="Times New Roman"/>
          <w:kern w:val="2"/>
          <w:sz w:val="32"/>
          <w:szCs w:val="32"/>
          <w:lang w:val="en-US" w:eastAsia="zh-CN" w:bidi="ar-SA"/>
        </w:rPr>
        <w:t>支出173.84万元，占比6.38%。</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21701_WPSOffice_Level2"/>
      <w:bookmarkStart w:id="91" w:name="_Toc22318_WPSOffice_Level2"/>
      <w:bookmarkStart w:id="92" w:name="_Toc15415_WPSOffice_Level2"/>
      <w:bookmarkStart w:id="93" w:name="_Toc9502_WPSOffice_Level2"/>
      <w:bookmarkStart w:id="94" w:name="_Toc29364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年度一般公共预算财政拨款支出年初预算为2740.15万元，支出决算为</w:t>
      </w:r>
      <w:r>
        <w:rPr>
          <w:rFonts w:hint="default" w:ascii="仿宋_GB2312" w:hAnsi="ˎ̥" w:eastAsia="仿宋_GB2312"/>
          <w:color w:val="FF0000"/>
          <w:sz w:val="32"/>
          <w:szCs w:val="32"/>
          <w:lang w:val="en-US"/>
        </w:rPr>
        <w:t>2,724.02</w:t>
      </w:r>
      <w:r>
        <w:rPr>
          <w:rFonts w:hint="eastAsia" w:ascii="仿宋_GB2312" w:hAnsi="ˎ̥" w:eastAsia="仿宋_GB2312"/>
          <w:sz w:val="32"/>
          <w:szCs w:val="32"/>
        </w:rPr>
        <w:t>万元，完成年初预算的99.41%。其中：</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教育支出（类）普通教育（款）小学教育（项）</w:t>
      </w:r>
      <w:r>
        <w:rPr>
          <w:rFonts w:hint="eastAsia" w:ascii="仿宋_GB2312" w:hAnsi="ˎ̥" w:eastAsia="仿宋_GB2312"/>
          <w:sz w:val="32"/>
          <w:szCs w:val="32"/>
        </w:rPr>
        <w:t xml:space="preserve"> 年初预算为0万元（预算表中未单独列示该科目，相关预算合并在普通教育其他项）； 支出决算为63.97万元；因预算未单独列示，不计算完成预算比例；决算数与预算数差异原因：年初预算未单独明确小学教育财政拨款额度，本年度根据学校小学阶段办学实际需求，经财政</w:t>
      </w:r>
      <w:r>
        <w:rPr>
          <w:rFonts w:hint="eastAsia" w:ascii="仿宋_GB2312" w:hAnsi="ˎ̥" w:eastAsia="仿宋_GB2312"/>
          <w:sz w:val="32"/>
          <w:szCs w:val="32"/>
          <w:lang w:eastAsia="zh-CN"/>
        </w:rPr>
        <w:t>单位</w:t>
      </w:r>
      <w:r>
        <w:rPr>
          <w:rFonts w:hint="eastAsia" w:ascii="仿宋_GB2312" w:hAnsi="ˎ̥" w:eastAsia="仿宋_GB2312"/>
          <w:sz w:val="32"/>
          <w:szCs w:val="32"/>
        </w:rPr>
        <w:t>核定后安排专项拨款，形成实际支出。</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教育支出（类）普通教育（款）初中教育（项）</w:t>
      </w:r>
      <w:r>
        <w:rPr>
          <w:rFonts w:hint="eastAsia" w:ascii="仿宋_GB2312" w:hAnsi="ˎ̥" w:eastAsia="仿宋_GB2312"/>
          <w:sz w:val="32"/>
          <w:szCs w:val="32"/>
        </w:rPr>
        <w:t xml:space="preserve"> 年初预算为1844.53万元； 支出决算为1914.75万元； 完成年初预算的103.81%；决算数大于预算数的主要原因：一是本年度初中按生均经费财政拨款56.22万元。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3.</w:t>
      </w:r>
      <w:r>
        <w:rPr>
          <w:rFonts w:hint="eastAsia" w:ascii="仿宋_GB2312" w:hAnsi="ˎ̥" w:eastAsia="仿宋_GB2312" w:cs="Times New Roman"/>
          <w:b/>
          <w:bCs/>
          <w:kern w:val="2"/>
          <w:sz w:val="32"/>
          <w:szCs w:val="32"/>
          <w:lang w:val="en-US" w:eastAsia="zh-CN" w:bidi="ar-SA"/>
        </w:rPr>
        <w:t>社会保障和就业（类）行政事业单位养老（款）机关事业单位基本养老保险缴费支出（项）</w:t>
      </w:r>
      <w:r>
        <w:rPr>
          <w:rFonts w:hint="eastAsia" w:ascii="仿宋_GB2312" w:hAnsi="ˎ̥" w:eastAsia="仿宋_GB2312" w:cs="Times New Roman"/>
          <w:kern w:val="2"/>
          <w:sz w:val="32"/>
          <w:szCs w:val="32"/>
          <w:lang w:val="en-US" w:eastAsia="zh-CN" w:bidi="ar-SA"/>
        </w:rPr>
        <w:t>：年初预算210万元，支出决算213.62万元，完成年初预算的101.72%。决算数大于预算数的主要原因是缴费基数随工资增长上调。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4.</w:t>
      </w:r>
      <w:r>
        <w:rPr>
          <w:rFonts w:hint="eastAsia" w:ascii="仿宋_GB2312" w:hAnsi="ˎ̥" w:eastAsia="仿宋_GB2312" w:cs="Times New Roman"/>
          <w:b/>
          <w:bCs/>
          <w:kern w:val="2"/>
          <w:sz w:val="32"/>
          <w:szCs w:val="32"/>
          <w:lang w:val="en-US" w:eastAsia="zh-CN" w:bidi="ar-SA"/>
        </w:rPr>
        <w:t>社会保障和就业（类）行政事业单位养老（款）机关事业单位职业年金缴费支出（项）</w:t>
      </w:r>
      <w:r>
        <w:rPr>
          <w:rFonts w:hint="eastAsia" w:ascii="仿宋_GB2312" w:hAnsi="ˎ̥" w:eastAsia="仿宋_GB2312" w:cs="Times New Roman"/>
          <w:kern w:val="2"/>
          <w:sz w:val="32"/>
          <w:szCs w:val="32"/>
          <w:lang w:val="en-US" w:eastAsia="zh-CN" w:bidi="ar-SA"/>
        </w:rPr>
        <w:t>：年初预算105万元，支出决算106.81万元，完成年初预算的101.72%。决算数大于预算数的主要原因与养老保险一致，缴费基数上调。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4.</w:t>
      </w:r>
      <w:r>
        <w:rPr>
          <w:rFonts w:hint="eastAsia" w:ascii="仿宋_GB2312" w:hAnsi="ˎ̥" w:eastAsia="仿宋_GB2312" w:cs="Times New Roman"/>
          <w:b/>
          <w:bCs/>
          <w:kern w:val="2"/>
          <w:sz w:val="32"/>
          <w:szCs w:val="32"/>
          <w:lang w:val="en-US" w:eastAsia="zh-CN" w:bidi="ar-SA"/>
        </w:rPr>
        <w:t>卫生健康（类）行政事业单位医疗（款）事业单位医疗（项）</w:t>
      </w:r>
      <w:r>
        <w:rPr>
          <w:rFonts w:hint="eastAsia" w:ascii="仿宋_GB2312" w:hAnsi="ˎ̥" w:eastAsia="仿宋_GB2312" w:cs="Times New Roman"/>
          <w:kern w:val="2"/>
          <w:sz w:val="32"/>
          <w:szCs w:val="32"/>
          <w:lang w:val="en-US" w:eastAsia="zh-CN" w:bidi="ar-SA"/>
        </w:rPr>
        <w:t>：年初预算85万元，支出决算88.13万元，完成年初预算的103.68%。决算数大于预算数的主要原因是医疗缴费基数随工资调整增加。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5.卫生健康（类）行政事业单位医疗（款）公务员医疗补助（项）：年初预算155万元，支出决算157.24万元，完成年初预算的101.45%。决算数大于预算数的主要原因是缴费基数上调。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6.</w:t>
      </w:r>
      <w:r>
        <w:rPr>
          <w:rFonts w:hint="eastAsia" w:ascii="仿宋_GB2312" w:hAnsi="ˎ̥" w:eastAsia="仿宋_GB2312" w:cs="Times New Roman"/>
          <w:b/>
          <w:bCs/>
          <w:kern w:val="2"/>
          <w:sz w:val="32"/>
          <w:szCs w:val="32"/>
          <w:lang w:val="en-US" w:eastAsia="zh-CN" w:bidi="ar-SA"/>
        </w:rPr>
        <w:t>卫生健康（类）行政事业单位医疗（款）其他行政事业单位医疗支出（项）</w:t>
      </w:r>
      <w:r>
        <w:rPr>
          <w:rFonts w:hint="eastAsia" w:ascii="仿宋_GB2312" w:hAnsi="ˎ̥" w:eastAsia="仿宋_GB2312" w:cs="Times New Roman"/>
          <w:kern w:val="2"/>
          <w:sz w:val="32"/>
          <w:szCs w:val="32"/>
          <w:lang w:val="en-US" w:eastAsia="zh-CN" w:bidi="ar-SA"/>
        </w:rPr>
        <w:t>：年初预算6万元，支出决算5.66万元，完成年初预算的94.33%。决算数小于预算数的主要原因是部分教师因个人原因未参加年度体检，体检经费未使用完毕。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7.</w:t>
      </w:r>
      <w:r>
        <w:rPr>
          <w:rFonts w:hint="eastAsia" w:ascii="仿宋_GB2312" w:hAnsi="ˎ̥" w:eastAsia="仿宋_GB2312" w:cs="Times New Roman"/>
          <w:b/>
          <w:bCs/>
          <w:kern w:val="2"/>
          <w:sz w:val="32"/>
          <w:szCs w:val="32"/>
          <w:lang w:val="en-US" w:eastAsia="zh-CN" w:bidi="ar-SA"/>
        </w:rPr>
        <w:t>住房保障（类）住房改革（款）住房公积金（项）</w:t>
      </w:r>
      <w:r>
        <w:rPr>
          <w:rFonts w:hint="eastAsia" w:ascii="仿宋_GB2312" w:hAnsi="ˎ̥" w:eastAsia="仿宋_GB2312" w:cs="Times New Roman"/>
          <w:kern w:val="2"/>
          <w:sz w:val="32"/>
          <w:szCs w:val="32"/>
          <w:lang w:val="en-US" w:eastAsia="zh-CN" w:bidi="ar-SA"/>
        </w:rPr>
        <w:t>：年初预算175万元，支出决算173.84万元，完成年初预算的99.34%。决算数小于预算数的主要原因是本年度教职工调动人员减少，减少了公积金缴费支出。</w:t>
      </w: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s="Times New Roman"/>
          <w:kern w:val="2"/>
          <w:sz w:val="32"/>
          <w:szCs w:val="32"/>
          <w:lang w:val="en-US" w:eastAsia="zh-CN" w:bidi="ar-SA"/>
        </w:rPr>
        <w:t>2,406.44</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2,370.26</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36.18</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2024年度政府性基金预算财政拨款支出0.00万元，占本年支出合计的0%。与2023年度相比，政府性基金预算财政拨款支出持平，主要原因是单位无政府性基金预算相关项目，无需使用该类资金。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因本年度政府性基金预算财政拨款支出为0.00万元，无支出结构分类。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2024年度政府性基金预算财政拨款支出年初预算为0万元，支出决算为0.00万元，完成年初预算的0%。无具体支出项目。</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2024年度国有资本经营预算财政拨款支出0.00万元，占本年支出合计的0%。与2023年度相比，国有资本经营预算财政拨款支出持平，主要原因是单位为义务教育事业单位，无国有资本经营活动，无需使用该类资金。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因本年度国有资本经营预算财政拨款支出为0.00万元，无支出结构分类。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2024年度国有资本经营预算财政拨款支出年初预算为0万元，支出决算为0.00万元，完成年初预算的0%。无具体支出项目。</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sz w:val="32"/>
          <w:szCs w:val="32"/>
        </w:rPr>
        <w:t xml:space="preserve">   </w:t>
      </w:r>
      <w:r>
        <w:rPr>
          <w:rFonts w:hint="eastAsia" w:ascii="仿宋_GB2312" w:hAnsi="ˎ̥" w:eastAsia="仿宋_GB2312" w:cs="Times New Roman"/>
          <w:kern w:val="2"/>
          <w:sz w:val="32"/>
          <w:szCs w:val="32"/>
          <w:lang w:val="en-US" w:eastAsia="zh-CN" w:bidi="ar-SA"/>
        </w:rPr>
        <w:t>2024年度财政拨款“三公”经费支出预算为0.00万元，支出决算为0.00万元，完成预算的0%，与2023年度相比，“三公”经费支出持平，主要原因是单位严格执行勤俭节约要求，无因公出国（境）、公务用车购置及运行维护、公务接待需求。</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2024年度财政拨款“三公”经费支出决算中，各项支出均为0.00万元，具体如下：</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因公出国（境）费支出0.00万元：全年未安排因公出国（境）团组，无因公出国（境）人次，无相关费用支出。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公务用车购置及运行维护费支出0.00万元：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公务用车购置支出0.00万元：全年未购置公务用车，年末公务用车保有量0辆。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公务用车运行维护费支出0.00万元：无公务用车，无需承担燃料费、维修费、保险费等运行费用。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公务接待费支出0.00万元：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国内接待费支出0.00万元：全年未开展国内公务接待活动，无接待批次及人次。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国（境）外接待费支出0.00万元：无国（境）外公务接待需求，无相关支出。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根据财政预算绩效管理要求，我</w:t>
      </w:r>
      <w:r>
        <w:rPr>
          <w:rFonts w:hint="eastAsia" w:ascii="仿宋_GB2312" w:eastAsia="仿宋_GB2312"/>
          <w:sz w:val="32"/>
          <w:szCs w:val="32"/>
          <w:lang w:eastAsia="zh-CN"/>
        </w:rPr>
        <w:t>单位</w:t>
      </w:r>
      <w:r>
        <w:rPr>
          <w:rFonts w:hint="eastAsia" w:ascii="仿宋_GB2312" w:eastAsia="仿宋_GB2312"/>
          <w:sz w:val="32"/>
          <w:szCs w:val="32"/>
        </w:rPr>
        <w:t>（单位）组织对2024年度一般公共预算项目支出全面开展绩效自评。其中，一级项目20个，无二级项目，共涉及资金2724.02万元，占一般公共预算项目支出总额的100%（一般公共预算项目支出总额依据《财政拨款收入支出决算公开表》（财决公开04表）中“本年支出合计”2724.02万元确定）。组织对2024年度政府性基金预算项目开展绩效自评，共涉及资金0.00万元，占政府性基金预算项目支出总额的0%（因本年度无政府性基金预算收入及支出，依据《政府性基金预算财政拨款收入支出决算公开表》（财决公开07表）数据）。组织对2024年度国有资本经营预算项目开展绩效自评，共涉及资金0.00万元，占国有资本经营预算项目支出总额的0%（因本年度无国有资本经营预算收入及支出，依据《国有资本经营预算财政拨款收入支出决算公开表》（财决公开08表）数据）。 未组织对“XXXX”等项目开展</w:t>
      </w:r>
      <w:r>
        <w:rPr>
          <w:rFonts w:hint="eastAsia" w:ascii="仿宋_GB2312" w:eastAsia="仿宋_GB2312"/>
          <w:sz w:val="32"/>
          <w:szCs w:val="32"/>
          <w:lang w:eastAsia="zh-CN"/>
        </w:rPr>
        <w:t>单位</w:t>
      </w:r>
      <w:r>
        <w:rPr>
          <w:rFonts w:hint="eastAsia" w:ascii="仿宋_GB2312" w:eastAsia="仿宋_GB2312"/>
          <w:sz w:val="32"/>
          <w:szCs w:val="32"/>
        </w:rPr>
        <w:t>评价，涉及一般公共预算支出0.00万元，政府性基金预算支出0.00万元，国有资本经营预算支出0.00万元。从评价情况来看，本年未进行相关</w:t>
      </w:r>
      <w:r>
        <w:rPr>
          <w:rFonts w:hint="eastAsia" w:ascii="仿宋_GB2312" w:eastAsia="仿宋_GB2312"/>
          <w:sz w:val="32"/>
          <w:szCs w:val="32"/>
          <w:lang w:eastAsia="zh-CN"/>
        </w:rPr>
        <w:t>单位</w:t>
      </w:r>
      <w:r>
        <w:rPr>
          <w:rFonts w:hint="eastAsia" w:ascii="仿宋_GB2312" w:eastAsia="仿宋_GB2312"/>
          <w:sz w:val="32"/>
          <w:szCs w:val="32"/>
        </w:rPr>
        <w:t>评价工作，理由是重点聚焦项目支出基础绩效自评，优先保障教育教学核心工作相关资金的绩效管控，暂未额外组织专项</w:t>
      </w:r>
      <w:r>
        <w:rPr>
          <w:rFonts w:hint="eastAsia" w:ascii="仿宋_GB2312" w:eastAsia="仿宋_GB2312"/>
          <w:sz w:val="32"/>
          <w:szCs w:val="32"/>
          <w:lang w:eastAsia="zh-CN"/>
        </w:rPr>
        <w:t>单位</w:t>
      </w:r>
      <w:r>
        <w:rPr>
          <w:rFonts w:hint="eastAsia" w:ascii="仿宋_GB2312" w:eastAsia="仿宋_GB2312"/>
          <w:sz w:val="32"/>
          <w:szCs w:val="32"/>
        </w:rPr>
        <w:t>评价。 完成</w:t>
      </w:r>
      <w:r>
        <w:rPr>
          <w:rFonts w:hint="eastAsia" w:ascii="仿宋_GB2312" w:eastAsia="仿宋_GB2312"/>
          <w:sz w:val="32"/>
          <w:szCs w:val="32"/>
          <w:lang w:eastAsia="zh-CN"/>
        </w:rPr>
        <w:t>单位</w:t>
      </w:r>
      <w:r>
        <w:rPr>
          <w:rFonts w:hint="eastAsia" w:ascii="仿宋_GB2312" w:eastAsia="仿宋_GB2312"/>
          <w:sz w:val="32"/>
          <w:szCs w:val="32"/>
        </w:rPr>
        <w:t>整体支出绩效评价基础工作，涉及一般公共预算支出2724.02万元，政府性基金预算支出0.00万元。从评价情况来看，</w:t>
      </w:r>
      <w:r>
        <w:rPr>
          <w:rFonts w:hint="eastAsia" w:ascii="仿宋_GB2312" w:eastAsia="仿宋_GB2312"/>
          <w:sz w:val="32"/>
          <w:szCs w:val="32"/>
          <w:lang w:eastAsia="zh-CN"/>
        </w:rPr>
        <w:t>单位</w:t>
      </w:r>
      <w:r>
        <w:rPr>
          <w:rFonts w:hint="eastAsia" w:ascii="仿宋_GB2312" w:eastAsia="仿宋_GB2312"/>
          <w:sz w:val="32"/>
          <w:szCs w:val="32"/>
        </w:rPr>
        <w:t>整体支出严格遵循预算管理规定，资金主要用于教育教学保障、人员工资福利、社会保障及住房保障等核心领域，支出方向与学校“保障义务教育教学运转、提升教育服务质量”的职能高度契合，全年收支基本平衡，未发生违规支出，整体绩效水平良好，有效支撑了学校2024年度教育教学工作的有序开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单位</w:t>
      </w:r>
      <w:r>
        <w:rPr>
          <w:rFonts w:hint="eastAsia" w:ascii="仿宋_GB2312" w:eastAsia="仿宋_GB2312"/>
          <w:sz w:val="32"/>
          <w:szCs w:val="32"/>
        </w:rPr>
        <w:t>（单位）在</w:t>
      </w:r>
      <w:r>
        <w:rPr>
          <w:rFonts w:hint="eastAsia" w:ascii="仿宋_GB2312" w:eastAsia="仿宋_GB2312"/>
          <w:sz w:val="32"/>
          <w:szCs w:val="32"/>
          <w:lang w:eastAsia="zh-CN"/>
        </w:rPr>
        <w:t>单位</w:t>
      </w:r>
      <w:r>
        <w:rPr>
          <w:rFonts w:hint="eastAsia" w:ascii="仿宋_GB2312" w:eastAsia="仿宋_GB2312"/>
          <w:sz w:val="32"/>
          <w:szCs w:val="32"/>
        </w:rPr>
        <w:t>决算中反映“46000021R000000006640-工资奖金津补贴”“46902222T000000167389-城乡义务教育补助经费”“46902222T000000725260-课后服务（单位资金）”等3个重点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95" w:name="heading_3"/>
      <w:r>
        <w:rPr>
          <w:rFonts w:hint="eastAsia" w:ascii="仿宋_GB2312" w:eastAsia="仿宋_GB2312"/>
          <w:sz w:val="32"/>
          <w:szCs w:val="32"/>
        </w:rPr>
        <w:t>1. “46000021R000000006640-工资奖金津补贴”项目绩效自评表</w:t>
      </w:r>
      <w:bookmarkEnd w:id="95"/>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eastAsia="仿宋_GB2312"/>
          <w:sz w:val="32"/>
          <w:szCs w:val="32"/>
        </w:rPr>
      </w:pPr>
    </w:p>
    <w:tbl>
      <w:tblPr>
        <w:tblStyle w:val="7"/>
        <w:tblW w:w="9159" w:type="dxa"/>
        <w:jc w:val="center"/>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826"/>
        <w:gridCol w:w="1157"/>
        <w:gridCol w:w="1171"/>
        <w:gridCol w:w="827"/>
        <w:gridCol w:w="1001"/>
        <w:gridCol w:w="827"/>
        <w:gridCol w:w="1001"/>
        <w:gridCol w:w="870"/>
        <w:gridCol w:w="785"/>
        <w:gridCol w:w="694"/>
      </w:tblGrid>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tblHeader/>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一级指标</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二级指标</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三级指标</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指标性质</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年度指标值</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度量单位</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实际完成值</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完成率</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分值</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得分</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产出指标</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数量指标</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发放（缴纳）覆盖率</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20.00</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产出指标</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质量指标</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标准执行率</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20.00</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产出指标</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质量指标</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科目调整次数</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5</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次</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0</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20.00</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20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效益指标</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社会效益指标</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足额保障率（参保率）</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30.00</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30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26"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合计</w:t>
            </w:r>
          </w:p>
        </w:tc>
        <w:tc>
          <w:tcPr>
            <w:tcW w:w="115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b/>
                <w:sz w:val="18"/>
                <w:szCs w:val="18"/>
              </w:rPr>
            </w:pPr>
            <w:r>
              <w:rPr>
                <w:rFonts w:hint="eastAsia" w:ascii="仿宋_GB2312" w:eastAsia="仿宋_GB2312"/>
                <w:b/>
                <w:sz w:val="18"/>
                <w:szCs w:val="18"/>
              </w:rPr>
              <w:t>-</w:t>
            </w:r>
          </w:p>
        </w:tc>
        <w:tc>
          <w:tcPr>
            <w:tcW w:w="117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b/>
                <w:sz w:val="18"/>
                <w:szCs w:val="18"/>
              </w:rPr>
            </w:pPr>
            <w:r>
              <w:rPr>
                <w:rFonts w:hint="eastAsia" w:ascii="仿宋_GB2312" w:eastAsia="仿宋_GB2312"/>
                <w:b/>
                <w:sz w:val="18"/>
                <w:szCs w:val="18"/>
              </w:rPr>
              <w:t>-</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827"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1001"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870"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785"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100.00</w:t>
            </w:r>
          </w:p>
        </w:tc>
        <w:tc>
          <w:tcPr>
            <w:tcW w:w="694" w:type="dxa"/>
            <w:tcMar>
              <w:top w:w="60" w:type="dxa"/>
              <w:left w:w="120" w:type="dxa"/>
              <w:bottom w:w="30" w:type="dxa"/>
              <w:right w:w="120"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99.09</w:t>
            </w:r>
          </w:p>
        </w:tc>
      </w:tr>
    </w:tbl>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96" w:name="heading_4"/>
      <w:r>
        <w:rPr>
          <w:rFonts w:hint="eastAsia" w:ascii="仿宋_GB2312" w:eastAsia="仿宋_GB2312"/>
          <w:sz w:val="32"/>
          <w:szCs w:val="32"/>
        </w:rPr>
        <w:t>“46000021R000000006640-工资奖金津补贴”项目绩效自评报告</w:t>
      </w:r>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年初设定的绩效目标，项目绩效自评得分为99.09分。全年预算数为1798.652206万元（财政资金），执行数为1635.3679万元，完成预算的90.92%。项目绩效目标完成情况：一是实现工资奖金津补贴发放覆盖率100%，保障了全校教职工工资待遇按时足额发放；二是严格执行工资发放标准，标准执行率100%，未发生违规发放情况；三是科目调整次数为0，预算执行规范性强；四是足额保障率（参保率）100%，间接支撑了教职工社会保障权益的落实。发现的主要问题及原因：是部分资金未完全执行（未执行金额163.284306万元），原因是预算编制时基于教职工人数及待遇标准测算，实际执行中因个别人员岗位调整、待遇核算周期差异，导致支出略低于预算。下一步改进措施：优化预算编制精度，结合上年度实际支出及本年度人员变动计划，细化预算测算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97" w:name="heading_5"/>
      <w:r>
        <w:rPr>
          <w:rFonts w:hint="eastAsia" w:ascii="仿宋_GB2312" w:eastAsia="仿宋_GB2312"/>
          <w:sz w:val="32"/>
          <w:szCs w:val="32"/>
        </w:rPr>
        <w:t>2. “46902222T000000167389-城乡义务教育补助经费”项目绩效自评表</w:t>
      </w:r>
      <w:bookmarkEnd w:id="97"/>
    </w:p>
    <w:tbl>
      <w:tblPr>
        <w:tblStyle w:val="7"/>
        <w:tblW w:w="9516" w:type="dxa"/>
        <w:jc w:val="center"/>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952"/>
        <w:gridCol w:w="1346"/>
        <w:gridCol w:w="1912"/>
        <w:gridCol w:w="654"/>
        <w:gridCol w:w="673"/>
        <w:gridCol w:w="654"/>
        <w:gridCol w:w="884"/>
        <w:gridCol w:w="975"/>
        <w:gridCol w:w="875"/>
        <w:gridCol w:w="591"/>
      </w:tblGrid>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tblHeader/>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一级指标</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二级指标</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三级指标</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指标性质</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年度指标值</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度量单位</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实际完成值</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完成率</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分值</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得分</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产出指标</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数量指标</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科目调整次数</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5</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次</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0</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100.00%</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20.00</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20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产出指标</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质量指标</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预算编制质量（∣（执行数-预算数）/预算数∣）</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99.99</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100.00%</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30.00</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30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效益指标</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经济效益指标</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运转保障率</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100.00%</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30.00</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30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效益指标</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经济效益指标</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21"/>
                <w:szCs w:val="21"/>
              </w:rPr>
            </w:pPr>
            <w:r>
              <w:rPr>
                <w:rFonts w:hint="eastAsia" w:ascii="仿宋_GB2312" w:eastAsia="仿宋_GB2312"/>
                <w:sz w:val="21"/>
                <w:szCs w:val="21"/>
              </w:rPr>
              <w:t>“三公经费控制率”</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5</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0</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100.00%</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10.00</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21"/>
                <w:szCs w:val="21"/>
              </w:rPr>
            </w:pPr>
            <w:r>
              <w:rPr>
                <w:rFonts w:hint="eastAsia" w:ascii="仿宋_GB2312" w:eastAsia="仿宋_GB2312"/>
                <w:sz w:val="21"/>
                <w:szCs w:val="21"/>
              </w:rPr>
              <w:t>10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9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合计</w:t>
            </w:r>
          </w:p>
        </w:tc>
        <w:tc>
          <w:tcPr>
            <w:tcW w:w="134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b/>
                <w:sz w:val="21"/>
                <w:szCs w:val="21"/>
              </w:rPr>
            </w:pPr>
            <w:r>
              <w:rPr>
                <w:rFonts w:hint="eastAsia" w:ascii="仿宋_GB2312" w:eastAsia="仿宋_GB2312"/>
                <w:b/>
                <w:sz w:val="21"/>
                <w:szCs w:val="21"/>
              </w:rPr>
              <w:t>-</w:t>
            </w:r>
          </w:p>
        </w:tc>
        <w:tc>
          <w:tcPr>
            <w:tcW w:w="191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b/>
                <w:sz w:val="21"/>
                <w:szCs w:val="21"/>
              </w:rPr>
            </w:pPr>
            <w:r>
              <w:rPr>
                <w:rFonts w:hint="eastAsia" w:ascii="仿宋_GB2312" w:eastAsia="仿宋_GB2312"/>
                <w:b/>
                <w:sz w:val="21"/>
                <w:szCs w:val="21"/>
              </w:rPr>
              <w:t>-</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w:t>
            </w:r>
          </w:p>
        </w:tc>
        <w:tc>
          <w:tcPr>
            <w:tcW w:w="673"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w:t>
            </w:r>
          </w:p>
        </w:tc>
        <w:tc>
          <w:tcPr>
            <w:tcW w:w="65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w:t>
            </w:r>
          </w:p>
        </w:tc>
        <w:tc>
          <w:tcPr>
            <w:tcW w:w="88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w:t>
            </w:r>
          </w:p>
        </w:tc>
        <w:tc>
          <w:tcPr>
            <w:tcW w:w="9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w:t>
            </w:r>
          </w:p>
        </w:tc>
        <w:tc>
          <w:tcPr>
            <w:tcW w:w="87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100.00</w:t>
            </w:r>
          </w:p>
        </w:tc>
        <w:tc>
          <w:tcPr>
            <w:tcW w:w="59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21"/>
                <w:szCs w:val="21"/>
              </w:rPr>
            </w:pPr>
            <w:r>
              <w:rPr>
                <w:rFonts w:hint="eastAsia" w:ascii="仿宋_GB2312" w:eastAsia="仿宋_GB2312"/>
                <w:b/>
                <w:sz w:val="21"/>
                <w:szCs w:val="21"/>
              </w:rPr>
              <w:t>100</w:t>
            </w:r>
          </w:p>
        </w:tc>
      </w:tr>
    </w:tbl>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98" w:name="heading_6"/>
      <w:r>
        <w:rPr>
          <w:rFonts w:hint="eastAsia" w:ascii="仿宋_GB2312" w:eastAsia="仿宋_GB2312"/>
          <w:sz w:val="32"/>
          <w:szCs w:val="32"/>
        </w:rPr>
        <w:t>“46902222T000000167389-城乡义务教育补助经费”项目绩效自评报告</w:t>
      </w:r>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年初设定的绩效目标，项目绩效自评得分为100分。全年预算数为210.3048万元（财政资金），执行数为210.291181万元，完成预算的99.99%。项目绩效目标完成情况：一是科目调整次数为0，预算执行合规性强，未发生资金用途调整情况；二是预算编制质量高，执行数与预算数差异仅0.001619万元，差异率低于0.01%；三是运转保障率100%，资金主要用于教学设备维护、教材购置、水电费补贴等，有效保障了城乡义务教育教学正常运转；四是“三公经费”实际支出0万元，控制率0%，严格落实“三公经费”压减要求。发现的主要问题及原因：无明显问题，仅存在0.012819万元未执行资金，属于正常财务核算误差。下一步改进措施：继续维持现有预算管理模式，加强结算，尽量减少核算误差；二是将该项目的预算执行经验推广至其他教育类项目，进一步提升整体预算执行质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99" w:name="heading_7"/>
      <w:r>
        <w:rPr>
          <w:rFonts w:hint="eastAsia" w:ascii="仿宋_GB2312" w:eastAsia="仿宋_GB2312"/>
          <w:sz w:val="32"/>
          <w:szCs w:val="32"/>
        </w:rPr>
        <w:t>3. “46902222T000000725260-课后服务（单位资金）”项目绩效自评表</w:t>
      </w:r>
      <w:bookmarkEnd w:id="9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tbl>
      <w:tblPr>
        <w:tblStyle w:val="7"/>
        <w:tblW w:w="9060" w:type="dxa"/>
        <w:jc w:val="center"/>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852"/>
        <w:gridCol w:w="1187"/>
        <w:gridCol w:w="852"/>
        <w:gridCol w:w="852"/>
        <w:gridCol w:w="1021"/>
        <w:gridCol w:w="926"/>
        <w:gridCol w:w="1021"/>
        <w:gridCol w:w="870"/>
        <w:gridCol w:w="785"/>
        <w:gridCol w:w="694"/>
      </w:tblGrid>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tblHeader/>
          <w:jc w:val="center"/>
        </w:trPr>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一级指标</w:t>
            </w:r>
          </w:p>
        </w:tc>
        <w:tc>
          <w:tcPr>
            <w:tcW w:w="1187"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二级指标</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三级指标</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指标性质</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年度指标值</w:t>
            </w:r>
          </w:p>
        </w:tc>
        <w:tc>
          <w:tcPr>
            <w:tcW w:w="92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度量单位</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实际完成值</w:t>
            </w:r>
          </w:p>
        </w:tc>
        <w:tc>
          <w:tcPr>
            <w:tcW w:w="870"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完成率</w:t>
            </w:r>
          </w:p>
        </w:tc>
        <w:tc>
          <w:tcPr>
            <w:tcW w:w="78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分值</w:t>
            </w:r>
          </w:p>
        </w:tc>
        <w:tc>
          <w:tcPr>
            <w:tcW w:w="69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得分</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产出指标</w:t>
            </w:r>
          </w:p>
        </w:tc>
        <w:tc>
          <w:tcPr>
            <w:tcW w:w="1187"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数量指标</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课后服务</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92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元/人·次</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870"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50.00</w:t>
            </w:r>
          </w:p>
        </w:tc>
        <w:tc>
          <w:tcPr>
            <w:tcW w:w="69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50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效益指标</w:t>
            </w:r>
          </w:p>
        </w:tc>
        <w:tc>
          <w:tcPr>
            <w:tcW w:w="1187"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社会效益指标</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课后服务</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92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元/人·次</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870"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30.00</w:t>
            </w:r>
          </w:p>
        </w:tc>
        <w:tc>
          <w:tcPr>
            <w:tcW w:w="69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30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成本指标</w:t>
            </w:r>
          </w:p>
        </w:tc>
        <w:tc>
          <w:tcPr>
            <w:tcW w:w="1187"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sz w:val="18"/>
                <w:szCs w:val="18"/>
              </w:rPr>
            </w:pPr>
            <w:r>
              <w:rPr>
                <w:rFonts w:hint="eastAsia" w:ascii="仿宋_GB2312" w:eastAsia="仿宋_GB2312"/>
                <w:sz w:val="18"/>
                <w:szCs w:val="18"/>
              </w:rPr>
              <w:t>社会成本指标</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课后服务</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92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元/人·次</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w:t>
            </w:r>
          </w:p>
        </w:tc>
        <w:tc>
          <w:tcPr>
            <w:tcW w:w="870"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100.00%</w:t>
            </w:r>
          </w:p>
        </w:tc>
        <w:tc>
          <w:tcPr>
            <w:tcW w:w="78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sz w:val="18"/>
                <w:szCs w:val="18"/>
              </w:rPr>
            </w:pPr>
            <w:r>
              <w:rPr>
                <w:rFonts w:hint="eastAsia" w:ascii="仿宋_GB2312" w:eastAsia="仿宋_GB2312"/>
                <w:sz w:val="18"/>
                <w:szCs w:val="18"/>
              </w:rPr>
              <w:t>10.00</w:t>
            </w:r>
          </w:p>
        </w:tc>
        <w:tc>
          <w:tcPr>
            <w:tcW w:w="69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sz w:val="18"/>
                <w:szCs w:val="18"/>
              </w:rPr>
            </w:pPr>
            <w:r>
              <w:rPr>
                <w:rFonts w:hint="eastAsia" w:ascii="仿宋_GB2312" w:eastAsia="仿宋_GB2312"/>
                <w:sz w:val="18"/>
                <w:szCs w:val="18"/>
              </w:rPr>
              <w:t>10</w:t>
            </w:r>
          </w:p>
        </w:tc>
      </w:tr>
      <w:tr>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Ex>
        <w:trPr>
          <w:trHeight w:val="0" w:hRule="atLeast"/>
          <w:jc w:val="center"/>
        </w:trPr>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合计</w:t>
            </w:r>
          </w:p>
        </w:tc>
        <w:tc>
          <w:tcPr>
            <w:tcW w:w="1187"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eastAsia="仿宋_GB2312"/>
                <w:b/>
                <w:sz w:val="18"/>
                <w:szCs w:val="18"/>
              </w:rPr>
            </w:pPr>
            <w:r>
              <w:rPr>
                <w:rFonts w:hint="eastAsia" w:ascii="仿宋_GB2312" w:eastAsia="仿宋_GB2312"/>
                <w:b/>
                <w:sz w:val="18"/>
                <w:szCs w:val="18"/>
              </w:rPr>
              <w:t>-</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852"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926"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1021"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w:t>
            </w:r>
          </w:p>
        </w:tc>
        <w:tc>
          <w:tcPr>
            <w:tcW w:w="870"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b/>
                <w:sz w:val="18"/>
                <w:szCs w:val="18"/>
              </w:rPr>
            </w:pPr>
            <w:r>
              <w:rPr>
                <w:rFonts w:hint="eastAsia" w:ascii="仿宋_GB2312" w:eastAsia="仿宋_GB2312"/>
                <w:b/>
                <w:sz w:val="18"/>
                <w:szCs w:val="18"/>
              </w:rPr>
              <w:t>-</w:t>
            </w:r>
          </w:p>
        </w:tc>
        <w:tc>
          <w:tcPr>
            <w:tcW w:w="785"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right"/>
              <w:textAlignment w:val="auto"/>
              <w:rPr>
                <w:rFonts w:hint="eastAsia" w:ascii="仿宋_GB2312" w:eastAsia="仿宋_GB2312"/>
                <w:b/>
                <w:sz w:val="18"/>
                <w:szCs w:val="18"/>
              </w:rPr>
            </w:pPr>
            <w:r>
              <w:rPr>
                <w:rFonts w:hint="eastAsia" w:ascii="仿宋_GB2312" w:eastAsia="仿宋_GB2312"/>
                <w:b/>
                <w:sz w:val="18"/>
                <w:szCs w:val="18"/>
              </w:rPr>
              <w:t>100.00</w:t>
            </w:r>
          </w:p>
        </w:tc>
        <w:tc>
          <w:tcPr>
            <w:tcW w:w="694" w:type="dxa"/>
            <w:tcMar>
              <w:top w:w="60" w:type="dxa"/>
              <w:left w:w="120" w:type="dxa"/>
              <w:bottom w:w="30" w:type="dxa"/>
              <w:right w:w="120" w:type="dxa"/>
            </w:tcMar>
            <w:vAlign w:val="center"/>
          </w:tcPr>
          <w:p>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仿宋_GB2312" w:eastAsia="仿宋_GB2312"/>
                <w:b/>
                <w:sz w:val="18"/>
                <w:szCs w:val="18"/>
              </w:rPr>
            </w:pPr>
            <w:r>
              <w:rPr>
                <w:rFonts w:hint="eastAsia" w:ascii="仿宋_GB2312" w:eastAsia="仿宋_GB2312"/>
                <w:b/>
                <w:sz w:val="18"/>
                <w:szCs w:val="18"/>
              </w:rPr>
              <w:t>96.26</w:t>
            </w:r>
          </w:p>
        </w:tc>
      </w:tr>
    </w:tbl>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bookmarkStart w:id="100" w:name="heading_8"/>
      <w:r>
        <w:rPr>
          <w:rFonts w:hint="eastAsia" w:ascii="仿宋_GB2312" w:eastAsia="仿宋_GB2312"/>
          <w:sz w:val="32"/>
          <w:szCs w:val="32"/>
        </w:rPr>
        <w:t>“46902222T000000725260-课后服务（单位资金）”项目绩效自评报告</w:t>
      </w:r>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年初设定的绩效目标，项目绩效自评得分为96.26分。全年预算数为85.00万元（单位资金），执行数为53.229536万元，完成预算的62.62%。项目绩效目标完成情况：一是课后服务成本标准达标，实际支出1元/人·次，满足课后服务人员劳务、耗材等基础成本需求；二是如期开展课后服务，覆盖全校有需求的学生，提供作业辅导、兴趣活动等服务，社会效益良好；三是成本控制有效，未发生超标准支出情况。发现的主要问题及原因：一是资金执行率较低，未执行金额31.770464万元，原因是年初预算基于预计参与课后服务学生人数</w:t>
      </w:r>
      <w:r>
        <w:rPr>
          <w:rFonts w:hint="eastAsia" w:ascii="仿宋_GB2312" w:eastAsia="仿宋_GB2312"/>
          <w:sz w:val="32"/>
          <w:szCs w:val="32"/>
          <w:lang w:val="en-US" w:eastAsia="zh-CN"/>
        </w:rPr>
        <w:t>给与</w:t>
      </w:r>
      <w:r>
        <w:rPr>
          <w:rFonts w:hint="eastAsia" w:ascii="仿宋_GB2312" w:eastAsia="仿宋_GB2312"/>
          <w:sz w:val="32"/>
          <w:szCs w:val="32"/>
        </w:rPr>
        <w:t>实际参与人数约</w:t>
      </w:r>
      <w:r>
        <w:rPr>
          <w:rFonts w:hint="eastAsia" w:ascii="仿宋_GB2312" w:eastAsia="仿宋_GB2312"/>
          <w:sz w:val="32"/>
          <w:szCs w:val="32"/>
          <w:lang w:val="en-US" w:eastAsia="zh-CN"/>
        </w:rPr>
        <w:t>差异</w:t>
      </w:r>
      <w:r>
        <w:rPr>
          <w:rFonts w:hint="eastAsia" w:ascii="仿宋_GB2312" w:eastAsia="仿宋_GB2312"/>
          <w:sz w:val="32"/>
          <w:szCs w:val="32"/>
        </w:rPr>
        <w:t>，导致服务频次及人员投入低于预期，支出减少；二是课后服务</w:t>
      </w:r>
      <w:r>
        <w:rPr>
          <w:rFonts w:hint="eastAsia" w:ascii="仿宋_GB2312" w:eastAsia="仿宋_GB2312"/>
          <w:sz w:val="32"/>
          <w:szCs w:val="32"/>
          <w:lang w:val="en-US" w:eastAsia="zh-CN"/>
        </w:rPr>
        <w:t>开展每周的日数减少</w:t>
      </w:r>
      <w:r>
        <w:rPr>
          <w:rFonts w:hint="eastAsia" w:ascii="仿宋_GB2312" w:eastAsia="仿宋_GB2312"/>
          <w:sz w:val="32"/>
          <w:szCs w:val="32"/>
        </w:rPr>
        <w:t>。下一步改进措施：一是动态调整预算编制，结合上学期课后服务参与率，按“实际需求+10%弹性”测算预算；二是开展学生及家长需求调研，增设科技、艺术等热门兴趣课程，提升课后服务吸引力，提高参与率及资金使用效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评价项目数量在3个以内的，至少将1个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评价项目数量大于3个的，至少将2个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反映财政单位组织开展的预算单位（单位）重点项目财政评价情况，如有，可将评价报告附后。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15262_WPSOffice_Level2"/>
      <w:bookmarkStart w:id="102" w:name="_Toc32639_WPSOffice_Level2"/>
      <w:bookmarkStart w:id="103" w:name="_Toc18325_WPSOffice_Level2"/>
      <w:bookmarkStart w:id="104" w:name="_Toc23598_WPSOffice_Level2"/>
      <w:bookmarkStart w:id="105" w:name="_Toc5978_WPSOffice_Level2"/>
      <w:bookmarkStart w:id="106" w:name="_Toc15565_WPSOffice_Level2"/>
      <w:r>
        <w:rPr>
          <w:rFonts w:hint="eastAsia" w:ascii="楷体" w:hAnsi="楷体" w:eastAsia="楷体" w:cs="楷体"/>
          <w:bCs/>
          <w:sz w:val="32"/>
          <w:szCs w:val="32"/>
        </w:rPr>
        <w:t>（一）机关运行经费支出情况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2024年度海南屯昌思源实验学校为事业单位，无机关运行经费支出（机关运行经费仅适用于行政单位及参公事业单位），与年初预算（0万元）持平，与2023年度相比持平。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23966_WPSOffice_Level2"/>
      <w:bookmarkStart w:id="108" w:name="_Toc13084_WPSOffice_Level2"/>
      <w:bookmarkStart w:id="109" w:name="_Toc30383_WPSOffice_Level2"/>
      <w:bookmarkStart w:id="110" w:name="_Toc3131_WPSOffice_Level2"/>
      <w:bookmarkStart w:id="111" w:name="_Toc32689_WPSOffice_Level2"/>
      <w:bookmarkStart w:id="112" w:name="_Toc25333_WPSOffice_Level2"/>
      <w:r>
        <w:rPr>
          <w:rFonts w:hint="eastAsia" w:ascii="楷体" w:hAnsi="楷体" w:eastAsia="楷体" w:cs="楷体"/>
          <w:bCs/>
          <w:sz w:val="32"/>
          <w:szCs w:val="32"/>
        </w:rPr>
        <w:t>（二）政府采购支出情况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s="Times New Roman"/>
          <w:kern w:val="2"/>
          <w:sz w:val="32"/>
          <w:szCs w:val="32"/>
          <w:lang w:val="en-US" w:eastAsia="zh-CN" w:bidi="ar-SA"/>
        </w:rPr>
        <w:t>2024年度海南屯昌思源实验学校政府采购支出总额0万元，其中：政府采购货物支出0万元、政府采购工程支出0万元、政府采购服务支出0万元。授予中小企业合同金额0万元，占政府采购支出总额的0%，授予小微企业合同金额0万元，占授予中小企业合同金额的0%。主要原因是本年度教学设备更新、校园维护等项目金额未达到政府采购限额标准，均通过自行采购完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3" w:name="_Toc15129_WPSOffice_Level2"/>
      <w:bookmarkStart w:id="114" w:name="_Toc10902_WPSOffice_Level2"/>
      <w:bookmarkStart w:id="115" w:name="_Toc29584_WPSOffice_Level2"/>
      <w:bookmarkStart w:id="116" w:name="_Toc19989_WPSOffice_Level2"/>
      <w:bookmarkStart w:id="117" w:name="_Toc6016_WPSOffice_Level2"/>
      <w:bookmarkStart w:id="118" w:name="_Toc527_WPSOffice_Level2"/>
      <w:r>
        <w:rPr>
          <w:rFonts w:hint="eastAsia" w:ascii="楷体" w:hAnsi="楷体" w:eastAsia="楷体" w:cs="楷体"/>
          <w:bCs/>
          <w:sz w:val="32"/>
          <w:szCs w:val="32"/>
        </w:rPr>
        <w:t>（三）国有资产占用情况</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截至2024年12月31日，本单位国有资产占用情况如下：</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房屋面积：33,904.62平方米，其中办公用房1,278平方米（用于行政办公）、业务用房32,428.62平方米（包括教室、实验室、图书馆、操场等教学及辅助用房），无其他房屋（不含构筑物）。</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车辆：0辆，无副部（省）级及以上领导用车、主要负责人用车、机要通信用车等各类公务用车。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单价100万元（含）以上设备（不含车辆）：0台（套），无高价值专用设备。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年末在建工程：0万元，本年度无在建工程项目。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9" w:name="_Toc8808_WPSOffice_Level1"/>
      <w:bookmarkStart w:id="120" w:name="_Toc15425_WPSOffice_Level1"/>
      <w:bookmarkStart w:id="121" w:name="_Toc17580_WPSOffice_Level1"/>
      <w:bookmarkStart w:id="122" w:name="_Toc8874_WPSOffice_Level1"/>
      <w:bookmarkStart w:id="123" w:name="_Toc11039_WPSOffice_Level1"/>
      <w:bookmarkStart w:id="124"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9"/>
      <w:bookmarkEnd w:id="120"/>
      <w:bookmarkEnd w:id="121"/>
      <w:bookmarkEnd w:id="122"/>
      <w:bookmarkEnd w:id="123"/>
      <w:bookmarkEnd w:id="124"/>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教育（类）普通教育（款）小学教育（项）：反映各单位举办的小学教育支出，我校用于小学学段教学保障。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教育（类）普通教育（款）初中教育（项）：反映各单位举办的初中教育支出，我校用于初中学段教学保障。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社会保障和就业（类）行政事业单位养老（款）机关事业单位基本养老保险缴费支出（项）：反映机关事业单位按规定缴纳的基本养老保险费，我校用于教职工养老保险缴费。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卫生健康（类）行政事业单位医疗（款）事业单位医疗（项）：反映财政单位集中安排的事业单位基本医疗保险缴费经费，我校用于教职工基本医疗缴费。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住房保障（类）住房改革（款）住房公积金（项）：反映行政事业单位按规定为职工缴纳的住房公积金，我校用于教职工住房公积金缴费。</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D6567F5"/>
    <w:multiLevelType w:val="singleLevel"/>
    <w:tmpl w:val="BD6567F5"/>
    <w:lvl w:ilvl="0" w:tentative="0">
      <w:start w:val="1"/>
      <w:numFmt w:val="decimal"/>
      <w:suff w:val="space"/>
      <w:lvlText w:val="%1."/>
      <w:lvlJc w:val="left"/>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DEC2089"/>
    <w:multiLevelType w:val="singleLevel"/>
    <w:tmpl w:val="7DEC2089"/>
    <w:lvl w:ilvl="0" w:tentative="0">
      <w:start w:val="0"/>
      <w:numFmt w:val="bullet"/>
      <w:lvlText w:val="•"/>
      <w:lvlJc w:val="left"/>
      <w:rPr>
        <w:color w:val="3370FF"/>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48E64B9"/>
    <w:rsid w:val="09201287"/>
    <w:rsid w:val="0FC80124"/>
    <w:rsid w:val="136F98C7"/>
    <w:rsid w:val="17427E68"/>
    <w:rsid w:val="1755065F"/>
    <w:rsid w:val="1AFC29C9"/>
    <w:rsid w:val="1B530CA1"/>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B343FB0"/>
    <w:rsid w:val="4C6877E5"/>
    <w:rsid w:val="4D6A468D"/>
    <w:rsid w:val="4EA86137"/>
    <w:rsid w:val="56CA7FD0"/>
    <w:rsid w:val="57FA38D1"/>
    <w:rsid w:val="5F7D3333"/>
    <w:rsid w:val="61385890"/>
    <w:rsid w:val="66654018"/>
    <w:rsid w:val="687436E1"/>
    <w:rsid w:val="6DA45C50"/>
    <w:rsid w:val="6E9A7825"/>
    <w:rsid w:val="6F670F9B"/>
    <w:rsid w:val="737450E0"/>
    <w:rsid w:val="74054476"/>
    <w:rsid w:val="742F38C4"/>
    <w:rsid w:val="74AB66DC"/>
    <w:rsid w:val="74C4154C"/>
    <w:rsid w:val="75956FFF"/>
    <w:rsid w:val="77AA2D01"/>
    <w:rsid w:val="7CAC2525"/>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9406</Words>
  <Characters>10659</Characters>
  <Lines>67</Lines>
  <Paragraphs>18</Paragraphs>
  <TotalTime>14</TotalTime>
  <ScaleCrop>false</ScaleCrop>
  <LinksUpToDate>false</LinksUpToDate>
  <CharactersWithSpaces>10723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2025-10-27T08:01:57Z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eyJoZGlkIjoiNWQwMGJkYTdhOTVjMWY4YzczNDFkZWVhMzUzOGYwNTUiLCJ1c2VySWQiOiIzNjUxMTQ2NjkifQ==</vt:lpwstr>
  </property>
</Properties>
</file>