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397834">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屯昌县实验小学2024年度</w:t>
      </w:r>
      <w:r>
        <w:rPr>
          <w:rFonts w:hint="eastAsia" w:ascii="方正小标宋_GBK" w:hAnsi="方正小标宋_GBK" w:eastAsia="方正小标宋_GBK" w:cs="方正小标宋_GBK"/>
          <w:b w:val="0"/>
          <w:bCs w:val="0"/>
          <w:sz w:val="44"/>
          <w:szCs w:val="44"/>
          <w:lang w:eastAsia="zh-CN"/>
        </w:rPr>
        <w:t>单位</w:t>
      </w:r>
      <w:r>
        <w:rPr>
          <w:rFonts w:hint="eastAsia" w:ascii="方正小标宋_GBK" w:hAnsi="方正小标宋_GBK" w:eastAsia="方正小标宋_GBK" w:cs="方正小标宋_GBK"/>
          <w:b w:val="0"/>
          <w:bCs w:val="0"/>
          <w:sz w:val="44"/>
          <w:szCs w:val="44"/>
        </w:rPr>
        <w:t>决算公开报告</w:t>
      </w:r>
    </w:p>
    <w:p w14:paraId="038C5BAE">
      <w:pPr>
        <w:spacing w:line="578" w:lineRule="exact"/>
        <w:jc w:val="center"/>
        <w:rPr>
          <w:rFonts w:hint="eastAsia" w:ascii="黑体" w:hAnsi="ˎ̥" w:eastAsia="黑体"/>
          <w:b/>
          <w:sz w:val="32"/>
          <w:szCs w:val="32"/>
        </w:rPr>
      </w:pPr>
    </w:p>
    <w:p w14:paraId="27546778">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14:paraId="607ED7D0">
      <w:pPr>
        <w:pStyle w:val="16"/>
        <w:tabs>
          <w:tab w:val="right" w:leader="dot" w:pos="8306"/>
        </w:tabs>
        <w:spacing w:line="578" w:lineRule="exact"/>
        <w:rPr>
          <w:sz w:val="32"/>
          <w:szCs w:val="32"/>
        </w:rPr>
      </w:pPr>
      <w:r>
        <w:fldChar w:fldCharType="begin"/>
      </w:r>
      <w:r>
        <w:instrText xml:space="preserve"> HYPERLINK \l "_Toc1704_WPSOffice_Level1" </w:instrText>
      </w:r>
      <w: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14:paraId="64C756A9">
      <w:pPr>
        <w:pStyle w:val="17"/>
        <w:tabs>
          <w:tab w:val="right" w:leader="dot" w:pos="8306"/>
        </w:tabs>
        <w:spacing w:line="578" w:lineRule="exact"/>
        <w:ind w:leftChars="0"/>
        <w:rPr>
          <w:rFonts w:hint="eastAsia" w:ascii="仿宋" w:hAnsi="仿宋" w:eastAsia="仿宋" w:cs="仿宋"/>
          <w:sz w:val="32"/>
          <w:szCs w:val="32"/>
        </w:rPr>
      </w:pPr>
      <w:r>
        <w:fldChar w:fldCharType="begin"/>
      </w:r>
      <w:r>
        <w:instrText xml:space="preserve"> HYPERLINK \l "_Toc20274_WPSOffice_Level2" </w:instrText>
      </w:r>
      <w:r>
        <w:fldChar w:fldCharType="separate"/>
      </w:r>
      <w:r>
        <w:rPr>
          <w:rFonts w:hint="eastAsia" w:ascii="仿宋" w:hAnsi="仿宋" w:eastAsia="仿宋" w:cs="仿宋"/>
          <w:sz w:val="32"/>
          <w:szCs w:val="32"/>
        </w:rPr>
        <w:t>一、单位职责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776F406C">
      <w:pPr>
        <w:pStyle w:val="17"/>
        <w:tabs>
          <w:tab w:val="right" w:leader="dot" w:pos="8306"/>
        </w:tabs>
        <w:spacing w:line="578" w:lineRule="exact"/>
        <w:ind w:leftChars="0"/>
        <w:rPr>
          <w:rFonts w:hint="eastAsia" w:ascii="仿宋" w:hAnsi="仿宋" w:eastAsia="仿宋" w:cs="仿宋"/>
          <w:sz w:val="32"/>
          <w:szCs w:val="32"/>
        </w:rPr>
      </w:pPr>
      <w:r>
        <w:fldChar w:fldCharType="begin"/>
      </w:r>
      <w:r>
        <w:instrText xml:space="preserve"> HYPERLINK \l "_Toc4833_WPSOffice_Level2" </w:instrText>
      </w:r>
      <w: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3482CD7B">
      <w:pPr>
        <w:pStyle w:val="16"/>
        <w:tabs>
          <w:tab w:val="right" w:leader="dot" w:pos="8306"/>
        </w:tabs>
        <w:spacing w:line="578" w:lineRule="exact"/>
        <w:rPr>
          <w:sz w:val="32"/>
          <w:szCs w:val="32"/>
        </w:rPr>
      </w:pPr>
      <w:r>
        <w:fldChar w:fldCharType="begin"/>
      </w:r>
      <w:r>
        <w:instrText xml:space="preserve"> HYPERLINK \l "_Toc28253_WPSOffice_Level1" </w:instrText>
      </w:r>
      <w:r>
        <w:fldChar w:fldCharType="separate"/>
      </w:r>
      <w:r>
        <w:rPr>
          <w:rFonts w:hint="eastAsia" w:ascii="黑体" w:hAnsi="ˎ̥" w:eastAsia="黑体"/>
          <w:sz w:val="32"/>
          <w:szCs w:val="32"/>
        </w:rPr>
        <w:t xml:space="preserve">第二部分  </w:t>
      </w:r>
      <w:r>
        <w:rPr>
          <w:rFonts w:ascii="黑体" w:hAnsi="ˎ̥" w:eastAsia="黑体"/>
          <w:sz w:val="32"/>
          <w:szCs w:val="32"/>
        </w:rPr>
        <w:t>2024</w:t>
      </w:r>
      <w:r>
        <w:rPr>
          <w:rFonts w:hint="eastAsia" w:ascii="黑体" w:hAnsi="ˎ̥" w:eastAsia="黑体"/>
          <w:sz w:val="32"/>
          <w:szCs w:val="32"/>
        </w:rPr>
        <w:t>年度单位决算公开表</w:t>
      </w:r>
      <w:r>
        <w:rPr>
          <w:sz w:val="32"/>
          <w:szCs w:val="32"/>
        </w:rPr>
        <w:tab/>
      </w:r>
      <w:r>
        <w:rPr>
          <w:sz w:val="32"/>
          <w:szCs w:val="32"/>
        </w:rPr>
        <w:fldChar w:fldCharType="end"/>
      </w:r>
      <w:r>
        <w:rPr>
          <w:rFonts w:hint="eastAsia"/>
          <w:sz w:val="32"/>
          <w:szCs w:val="32"/>
        </w:rPr>
        <w:t>2</w:t>
      </w:r>
    </w:p>
    <w:p w14:paraId="706A2ECA">
      <w:pPr>
        <w:pStyle w:val="16"/>
        <w:tabs>
          <w:tab w:val="right" w:leader="dot" w:pos="8306"/>
        </w:tabs>
        <w:spacing w:line="578" w:lineRule="exact"/>
        <w:rPr>
          <w:sz w:val="32"/>
          <w:szCs w:val="32"/>
        </w:rPr>
      </w:pPr>
      <w:r>
        <w:fldChar w:fldCharType="begin"/>
      </w:r>
      <w:r>
        <w:instrText xml:space="preserve"> HYPERLINK \l "_Toc27590_WPSOffice_Level1" </w:instrText>
      </w:r>
      <w:r>
        <w:fldChar w:fldCharType="separate"/>
      </w:r>
      <w:r>
        <w:rPr>
          <w:rFonts w:hint="eastAsia" w:ascii="黑体" w:hAnsi="黑体" w:eastAsia="黑体" w:cs="黑体"/>
          <w:sz w:val="32"/>
          <w:szCs w:val="32"/>
        </w:rPr>
        <w:t>第三部分</w:t>
      </w:r>
      <w:r>
        <w:rPr>
          <w:rFonts w:hint="eastAsia"/>
          <w:sz w:val="32"/>
          <w:szCs w:val="32"/>
        </w:rPr>
        <w:t xml:space="preserve">  </w:t>
      </w:r>
      <w:r>
        <w:rPr>
          <w:rFonts w:ascii="黑体" w:hAnsi="ˎ̥" w:eastAsia="黑体"/>
          <w:sz w:val="32"/>
          <w:szCs w:val="32"/>
        </w:rPr>
        <w:t>2024</w:t>
      </w:r>
      <w:r>
        <w:rPr>
          <w:rFonts w:hint="eastAsia" w:ascii="黑体" w:hAnsi="ˎ̥" w:eastAsia="黑体"/>
          <w:sz w:val="32"/>
          <w:szCs w:val="32"/>
        </w:rPr>
        <w:t>年度单位决算情况说明</w:t>
      </w:r>
      <w:r>
        <w:rPr>
          <w:sz w:val="32"/>
          <w:szCs w:val="32"/>
        </w:rPr>
        <w:tab/>
      </w:r>
      <w:r>
        <w:rPr>
          <w:sz w:val="32"/>
          <w:szCs w:val="32"/>
        </w:rPr>
        <w:fldChar w:fldCharType="end"/>
      </w:r>
      <w:r>
        <w:rPr>
          <w:rFonts w:hint="eastAsia"/>
          <w:sz w:val="32"/>
          <w:szCs w:val="32"/>
        </w:rPr>
        <w:t>3</w:t>
      </w:r>
    </w:p>
    <w:p w14:paraId="35118DAD">
      <w:pPr>
        <w:pStyle w:val="17"/>
        <w:tabs>
          <w:tab w:val="right" w:leader="dot" w:pos="8306"/>
        </w:tabs>
        <w:spacing w:line="578" w:lineRule="exact"/>
        <w:ind w:leftChars="0"/>
        <w:rPr>
          <w:rFonts w:hint="eastAsia" w:ascii="仿宋" w:hAnsi="仿宋" w:eastAsia="仿宋" w:cs="仿宋"/>
          <w:sz w:val="32"/>
          <w:szCs w:val="32"/>
        </w:rPr>
      </w:pPr>
      <w:r>
        <w:fldChar w:fldCharType="begin"/>
      </w:r>
      <w:r>
        <w:instrText xml:space="preserve"> HYPERLINK \l "_Toc21737_WPSOffice_Level2" </w:instrText>
      </w:r>
      <w: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14:paraId="08FF35AE">
      <w:pPr>
        <w:pStyle w:val="17"/>
        <w:tabs>
          <w:tab w:val="right" w:leader="dot" w:pos="8306"/>
        </w:tabs>
        <w:spacing w:line="578" w:lineRule="exact"/>
        <w:ind w:leftChars="0"/>
        <w:rPr>
          <w:rFonts w:hint="eastAsia"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394FF70F">
      <w:pPr>
        <w:pStyle w:val="17"/>
        <w:tabs>
          <w:tab w:val="right" w:leader="dot" w:pos="8306"/>
        </w:tabs>
        <w:spacing w:line="578" w:lineRule="exact"/>
        <w:ind w:leftChars="0"/>
        <w:rPr>
          <w:rFonts w:hint="eastAsia"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17393536">
      <w:pPr>
        <w:pStyle w:val="17"/>
        <w:tabs>
          <w:tab w:val="right" w:leader="dot" w:pos="8306"/>
        </w:tabs>
        <w:spacing w:line="578" w:lineRule="exact"/>
        <w:ind w:leftChars="0"/>
        <w:rPr>
          <w:rFonts w:hint="eastAsia"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四、财政拨款收入支出决算总体情况说明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3155988E">
      <w:pPr>
        <w:pStyle w:val="17"/>
        <w:tabs>
          <w:tab w:val="right" w:leader="dot" w:pos="8306"/>
        </w:tabs>
        <w:spacing w:line="578" w:lineRule="exact"/>
        <w:ind w:leftChars="0"/>
        <w:rPr>
          <w:rFonts w:hint="eastAsia"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14:paraId="2025E869">
      <w:pPr>
        <w:pStyle w:val="17"/>
        <w:tabs>
          <w:tab w:val="right" w:leader="dot" w:pos="8306"/>
        </w:tabs>
        <w:spacing w:line="578" w:lineRule="exact"/>
        <w:ind w:leftChars="0"/>
        <w:rPr>
          <w:rFonts w:hint="eastAsia"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bCs/>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14:paraId="5E784D06">
      <w:pPr>
        <w:pStyle w:val="17"/>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14:paraId="09C1E1F0">
      <w:pPr>
        <w:pStyle w:val="17"/>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14:paraId="17A14F40">
      <w:pPr>
        <w:pStyle w:val="17"/>
        <w:tabs>
          <w:tab w:val="right" w:leader="dot" w:pos="8306"/>
        </w:tabs>
        <w:spacing w:line="578" w:lineRule="exact"/>
        <w:ind w:leftChars="0"/>
        <w:rPr>
          <w:rFonts w:hint="eastAsia"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14:paraId="7EC0D29A">
      <w:pPr>
        <w:pStyle w:val="17"/>
        <w:tabs>
          <w:tab w:val="right" w:leader="dot" w:pos="8306"/>
        </w:tabs>
        <w:spacing w:line="578" w:lineRule="exact"/>
        <w:ind w:leftChars="0"/>
        <w:rPr>
          <w:rFonts w:hint="eastAsia"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14:paraId="066D86B0">
      <w:pPr>
        <w:pStyle w:val="17"/>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14:paraId="793F1790">
      <w:pPr>
        <w:pStyle w:val="16"/>
        <w:tabs>
          <w:tab w:val="right" w:leader="dot" w:pos="8306"/>
        </w:tabs>
        <w:spacing w:line="578" w:lineRule="exact"/>
        <w:rPr>
          <w:rFonts w:hint="eastAsia" w:ascii="黑体" w:hAnsi="ˎ̥"/>
          <w:b/>
          <w:sz w:val="32"/>
          <w:szCs w:val="32"/>
        </w:rPr>
      </w:pPr>
      <w:r>
        <w:fldChar w:fldCharType="begin"/>
      </w:r>
      <w:r>
        <w:instrText xml:space="preserve"> HYPERLINK \l "_Toc15425_WPSOffice_Level1" </w:instrText>
      </w:r>
      <w: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14:paraId="6ED65CAF">
      <w:pPr>
        <w:spacing w:line="578" w:lineRule="exact"/>
        <w:rPr>
          <w:rFonts w:hint="eastAsia" w:ascii="黑体" w:hAnsi="ˎ̥" w:eastAsia="黑体"/>
          <w:sz w:val="32"/>
          <w:szCs w:val="32"/>
        </w:rPr>
      </w:pPr>
      <w:bookmarkStart w:id="2" w:name="_Toc23465_WPSOffice_Level1"/>
      <w:bookmarkStart w:id="3" w:name="_Toc22941_WPSOffice_Level1"/>
      <w:bookmarkStart w:id="4" w:name="_Toc10049_WPSOffice_Level1"/>
      <w:bookmarkStart w:id="5" w:name="_Toc1704_WPSOffice_Level1"/>
      <w:bookmarkStart w:id="6" w:name="_Toc10720_WPSOffice_Level1"/>
      <w:bookmarkStart w:id="7" w:name="_Toc32433_WPSOffice_Level1"/>
      <w:bookmarkStart w:id="8" w:name="_Toc24238_WPSOffice_Level2"/>
      <w:bookmarkStart w:id="9" w:name="_Toc14159_WPSOffice_Level2"/>
      <w:bookmarkStart w:id="10" w:name="_Toc20274_WPSOffice_Level2"/>
      <w:bookmarkStart w:id="11" w:name="_Toc32622_WPSOffice_Level2"/>
      <w:bookmarkStart w:id="12" w:name="_Toc20205_WPSOffice_Level2"/>
      <w:bookmarkStart w:id="13" w:name="_Toc26580_WPSOffice_Level2"/>
    </w:p>
    <w:p w14:paraId="63F06C96">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14:paraId="5D8BAEF1">
      <w:pPr>
        <w:spacing w:line="578" w:lineRule="exact"/>
        <w:ind w:firstLine="640" w:firstLineChars="200"/>
        <w:rPr>
          <w:rFonts w:hint="eastAsia" w:ascii="楷体" w:hAnsi="楷体" w:eastAsia="楷体" w:cs="楷体"/>
          <w:sz w:val="32"/>
          <w:szCs w:val="32"/>
        </w:rPr>
      </w:pPr>
    </w:p>
    <w:bookmarkEnd w:id="8"/>
    <w:p w14:paraId="0702DA69">
      <w:pPr>
        <w:pStyle w:val="19"/>
        <w:numPr>
          <w:ilvl w:val="0"/>
          <w:numId w:val="2"/>
        </w:numPr>
        <w:spacing w:line="578" w:lineRule="exact"/>
        <w:ind w:firstLineChars="0"/>
        <w:rPr>
          <w:rFonts w:ascii="黑体" w:hAnsi="黑体" w:eastAsia="黑体" w:cs="黑体"/>
          <w:sz w:val="32"/>
          <w:szCs w:val="32"/>
        </w:rPr>
      </w:pPr>
      <w:r>
        <w:rPr>
          <w:rFonts w:hint="eastAsia" w:ascii="黑体" w:hAnsi="黑体" w:eastAsia="黑体" w:cs="黑体"/>
          <w:sz w:val="32"/>
          <w:szCs w:val="32"/>
        </w:rPr>
        <w:t>单位职责</w:t>
      </w:r>
      <w:bookmarkEnd w:id="9"/>
      <w:bookmarkEnd w:id="10"/>
      <w:bookmarkEnd w:id="11"/>
      <w:bookmarkEnd w:id="12"/>
      <w:bookmarkEnd w:id="13"/>
    </w:p>
    <w:p w14:paraId="3B15B285">
      <w:pPr>
        <w:spacing w:after="100" w:afterAutospacing="1"/>
        <w:ind w:firstLine="640" w:firstLineChars="200"/>
        <w:rPr>
          <w:rFonts w:hint="eastAsia" w:ascii="仿宋" w:hAnsi="仿宋" w:eastAsia="仿宋" w:cs="仿宋"/>
          <w:sz w:val="32"/>
          <w:szCs w:val="32"/>
          <w:shd w:val="clear" w:color="auto" w:fill="FFFFFF"/>
        </w:rPr>
      </w:pPr>
      <w:r>
        <w:rPr>
          <w:rFonts w:hint="eastAsia" w:ascii="仿宋" w:hAnsi="仿宋" w:eastAsia="仿宋" w:cs="仿宋"/>
          <w:sz w:val="32"/>
          <w:szCs w:val="32"/>
          <w:shd w:val="clear" w:color="auto" w:fill="FFFFFF"/>
        </w:rPr>
        <w:t>我校实施小学义务教育，促进基础教育发展。小学学历教育，以及相关社会服务。认真贯彻落实党和国家的方针、政策，正确执行上级主管</w:t>
      </w:r>
      <w:r>
        <w:rPr>
          <w:rFonts w:hint="eastAsia" w:ascii="仿宋" w:hAnsi="仿宋" w:eastAsia="仿宋" w:cs="仿宋"/>
          <w:sz w:val="32"/>
          <w:szCs w:val="32"/>
          <w:shd w:val="clear" w:color="auto" w:fill="FFFFFF"/>
          <w:lang w:eastAsia="zh-CN"/>
        </w:rPr>
        <w:t>单位</w:t>
      </w:r>
      <w:r>
        <w:rPr>
          <w:rFonts w:hint="eastAsia" w:ascii="仿宋" w:hAnsi="仿宋" w:eastAsia="仿宋" w:cs="仿宋"/>
          <w:sz w:val="32"/>
          <w:szCs w:val="32"/>
          <w:shd w:val="clear" w:color="auto" w:fill="FFFFFF"/>
        </w:rPr>
        <w:t>的决议和指示，全面实施素质教育，培养德、智、体、美等方面全面发展的社会主义事业的建设者和接班人。</w:t>
      </w:r>
    </w:p>
    <w:p w14:paraId="221626EA">
      <w:pPr>
        <w:spacing w:line="578" w:lineRule="exact"/>
        <w:ind w:firstLine="640" w:firstLineChars="200"/>
        <w:rPr>
          <w:rFonts w:hint="eastAsia" w:ascii="黑体" w:hAnsi="黑体" w:eastAsia="黑体" w:cs="黑体"/>
          <w:sz w:val="32"/>
          <w:szCs w:val="32"/>
        </w:rPr>
      </w:pPr>
      <w:bookmarkStart w:id="14" w:name="_Toc24474_WPSOffice_Level2"/>
      <w:bookmarkStart w:id="15" w:name="_Toc6572_WPSOffice_Level2"/>
      <w:bookmarkStart w:id="16" w:name="_Toc24059_WPSOffice_Level2"/>
      <w:bookmarkStart w:id="17" w:name="_Toc4833_WPSOffice_Level2"/>
      <w:bookmarkStart w:id="18" w:name="_Toc17796_WPSOffice_Level2"/>
      <w:r>
        <w:rPr>
          <w:rFonts w:hint="eastAsia" w:ascii="黑体" w:hAnsi="黑体" w:eastAsia="黑体" w:cs="黑体"/>
          <w:sz w:val="32"/>
          <w:szCs w:val="32"/>
        </w:rPr>
        <w:t>二、机构设置</w:t>
      </w:r>
      <w:bookmarkEnd w:id="14"/>
      <w:bookmarkEnd w:id="15"/>
      <w:bookmarkEnd w:id="16"/>
      <w:bookmarkEnd w:id="17"/>
      <w:bookmarkEnd w:id="18"/>
    </w:p>
    <w:p w14:paraId="4DC032C6">
      <w:pPr>
        <w:spacing w:line="578" w:lineRule="exact"/>
        <w:ind w:firstLine="640" w:firstLineChars="200"/>
        <w:rPr>
          <w:rFonts w:hint="eastAsia" w:ascii="仿宋_GB2312" w:hAnsi="ˎ̥" w:eastAsia="仿宋_GB2312"/>
          <w:sz w:val="32"/>
          <w:szCs w:val="32"/>
        </w:rPr>
      </w:pPr>
      <w:bookmarkStart w:id="19" w:name="_Toc24421_WPSOffice_Level2"/>
      <w:bookmarkStart w:id="20" w:name="_Toc25738_WPSOffice_Level2"/>
      <w:r>
        <w:rPr>
          <w:rFonts w:hint="eastAsia" w:ascii="仿宋_GB2312" w:hAnsi="ˎ̥" w:eastAsia="仿宋_GB2312"/>
          <w:sz w:val="32"/>
          <w:szCs w:val="32"/>
        </w:rPr>
        <w:t>纳入屯昌县实验小学2024年度</w:t>
      </w:r>
      <w:r>
        <w:rPr>
          <w:rFonts w:hint="eastAsia" w:ascii="仿宋_GB2312" w:hAnsi="ˎ̥" w:eastAsia="仿宋_GB2312"/>
          <w:sz w:val="32"/>
          <w:szCs w:val="32"/>
          <w:lang w:eastAsia="zh-CN"/>
        </w:rPr>
        <w:t>单位</w:t>
      </w:r>
      <w:r>
        <w:rPr>
          <w:rFonts w:hint="eastAsia" w:ascii="仿宋_GB2312" w:hAnsi="ˎ̥" w:eastAsia="仿宋_GB2312"/>
          <w:sz w:val="32"/>
          <w:szCs w:val="32"/>
        </w:rPr>
        <w:t>决算编制范围的单位共1个，包括：屯昌县实验小学本级</w:t>
      </w:r>
    </w:p>
    <w:bookmarkEnd w:id="19"/>
    <w:bookmarkEnd w:id="20"/>
    <w:p w14:paraId="7173A5F6">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（注：如果是基层预算单位，没有下属单位的，可只说明单位内设机构即可。）</w:t>
      </w:r>
    </w:p>
    <w:p w14:paraId="785BBE50">
      <w:pPr>
        <w:spacing w:line="578" w:lineRule="exact"/>
        <w:jc w:val="center"/>
        <w:rPr>
          <w:rFonts w:hint="eastAsia" w:ascii="黑体" w:hAnsi="ˎ̥" w:eastAsia="黑体"/>
          <w:sz w:val="32"/>
          <w:szCs w:val="32"/>
        </w:rPr>
      </w:pPr>
      <w:bookmarkStart w:id="21" w:name="_Toc15521_WPSOffice_Level1"/>
      <w:bookmarkStart w:id="22" w:name="_Toc30690_WPSOffice_Level1"/>
      <w:bookmarkStart w:id="23" w:name="_Toc30451_WPSOffice_Level1"/>
      <w:bookmarkStart w:id="24" w:name="_Toc6234_WPSOffice_Level1"/>
      <w:bookmarkStart w:id="25" w:name="_Toc28253_WPSOffice_Level1"/>
      <w:bookmarkStart w:id="26" w:name="_Toc8164_WPSOffice_Level1"/>
      <w:bookmarkStart w:id="27" w:name="_Toc32472_WPSOffice_Level2"/>
      <w:bookmarkStart w:id="28" w:name="_Toc6211_WPSOffice_Level2"/>
      <w:bookmarkStart w:id="29" w:name="_Toc32695_WPSOffice_Level2"/>
      <w:bookmarkStart w:id="30" w:name="_Toc4029_WPSOffice_Level2"/>
      <w:bookmarkStart w:id="31" w:name="_Toc8867_WPSOffice_Level2"/>
      <w:bookmarkStart w:id="32" w:name="_Toc11518_WPSOffice_Level2"/>
    </w:p>
    <w:p w14:paraId="71E6208D">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ascii="黑体" w:hAnsi="ˎ̥" w:eastAsia="黑体"/>
          <w:sz w:val="32"/>
          <w:szCs w:val="32"/>
        </w:rPr>
        <w:t>2024</w:t>
      </w:r>
      <w:r>
        <w:rPr>
          <w:rFonts w:hint="eastAsia" w:ascii="黑体" w:hAnsi="ˎ̥" w:eastAsia="黑体"/>
          <w:sz w:val="32"/>
          <w:szCs w:val="32"/>
        </w:rPr>
        <w:t>年度单位决算公开报表</w:t>
      </w:r>
      <w:bookmarkEnd w:id="21"/>
      <w:bookmarkEnd w:id="22"/>
      <w:bookmarkEnd w:id="23"/>
      <w:bookmarkEnd w:id="24"/>
      <w:bookmarkEnd w:id="25"/>
      <w:bookmarkEnd w:id="26"/>
    </w:p>
    <w:p w14:paraId="13407429">
      <w:pPr>
        <w:spacing w:line="578" w:lineRule="exact"/>
        <w:ind w:firstLine="645"/>
        <w:rPr>
          <w:rFonts w:hint="eastAsia" w:ascii="黑体" w:hAnsi="黑体" w:eastAsia="黑体" w:cs="黑体"/>
          <w:sz w:val="32"/>
          <w:szCs w:val="32"/>
        </w:rPr>
      </w:pPr>
    </w:p>
    <w:p w14:paraId="7420EA0C">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7"/>
      <w:bookmarkEnd w:id="28"/>
      <w:bookmarkEnd w:id="29"/>
      <w:bookmarkEnd w:id="30"/>
      <w:bookmarkEnd w:id="31"/>
      <w:bookmarkEnd w:id="32"/>
    </w:p>
    <w:p w14:paraId="7CE80174">
      <w:pPr>
        <w:spacing w:line="578" w:lineRule="exact"/>
        <w:ind w:firstLine="645"/>
        <w:rPr>
          <w:rFonts w:hint="eastAsia" w:ascii="黑体" w:hAnsi="黑体" w:eastAsia="黑体" w:cs="黑体"/>
          <w:sz w:val="32"/>
          <w:szCs w:val="32"/>
        </w:rPr>
      </w:pPr>
      <w:bookmarkStart w:id="33" w:name="_Toc26621_WPSOffice_Level2"/>
      <w:bookmarkStart w:id="34" w:name="_Toc30334_WPSOffice_Level2"/>
      <w:bookmarkStart w:id="35" w:name="_Toc28622_WPSOffice_Level2"/>
      <w:bookmarkStart w:id="36" w:name="_Toc23139_WPSOffice_Level2"/>
      <w:bookmarkStart w:id="37" w:name="_Toc14349_WPSOffice_Level2"/>
      <w:bookmarkStart w:id="38" w:name="_Toc25608_WPSOffice_Level2"/>
      <w:r>
        <w:rPr>
          <w:rFonts w:hint="eastAsia" w:ascii="黑体" w:hAnsi="黑体" w:eastAsia="黑体" w:cs="黑体"/>
          <w:sz w:val="32"/>
          <w:szCs w:val="32"/>
        </w:rPr>
        <w:t>二、收入决算公开表</w:t>
      </w:r>
      <w:bookmarkEnd w:id="33"/>
      <w:bookmarkEnd w:id="34"/>
      <w:bookmarkEnd w:id="35"/>
      <w:bookmarkEnd w:id="36"/>
      <w:bookmarkEnd w:id="37"/>
      <w:bookmarkEnd w:id="38"/>
      <w:bookmarkStart w:id="39" w:name="_Toc17626_WPSOffice_Level2"/>
      <w:bookmarkStart w:id="40" w:name="_Toc17858_WPSOffice_Level2"/>
      <w:bookmarkStart w:id="41" w:name="_Toc13854_WPSOffice_Level2"/>
      <w:bookmarkStart w:id="42" w:name="_Toc5489_WPSOffice_Level2"/>
      <w:bookmarkStart w:id="43" w:name="_Toc14658_WPSOffice_Level2"/>
      <w:bookmarkStart w:id="44" w:name="_Toc3262_WPSOffice_Level2"/>
    </w:p>
    <w:p w14:paraId="6217485B">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9"/>
      <w:bookmarkEnd w:id="40"/>
      <w:bookmarkEnd w:id="41"/>
      <w:bookmarkEnd w:id="42"/>
      <w:bookmarkEnd w:id="43"/>
      <w:bookmarkEnd w:id="44"/>
      <w:bookmarkStart w:id="45" w:name="_Toc21415_WPSOffice_Level2"/>
      <w:bookmarkStart w:id="46" w:name="_Toc23493_WPSOffice_Level2"/>
      <w:bookmarkStart w:id="47" w:name="_Toc4265_WPSOffice_Level2"/>
      <w:bookmarkStart w:id="48" w:name="_Toc23591_WPSOffice_Level2"/>
      <w:bookmarkStart w:id="49" w:name="_Toc7988_WPSOffice_Level2"/>
      <w:bookmarkStart w:id="50" w:name="_Toc13701_WPSOffice_Level2"/>
    </w:p>
    <w:p w14:paraId="1EA02165">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5"/>
      <w:bookmarkEnd w:id="46"/>
      <w:bookmarkEnd w:id="47"/>
      <w:bookmarkEnd w:id="48"/>
      <w:bookmarkEnd w:id="49"/>
      <w:bookmarkEnd w:id="50"/>
    </w:p>
    <w:p w14:paraId="2D009F2B">
      <w:pPr>
        <w:spacing w:line="578" w:lineRule="exact"/>
        <w:ind w:firstLine="645"/>
        <w:rPr>
          <w:rFonts w:hint="eastAsia" w:ascii="黑体" w:hAnsi="黑体" w:eastAsia="黑体" w:cs="黑体"/>
          <w:sz w:val="32"/>
          <w:szCs w:val="32"/>
        </w:rPr>
      </w:pPr>
      <w:bookmarkStart w:id="51" w:name="_Toc23829_WPSOffice_Level2"/>
      <w:bookmarkStart w:id="52" w:name="_Toc25166_WPSOffice_Level2"/>
      <w:bookmarkStart w:id="53" w:name="_Toc22783_WPSOffice_Level2"/>
      <w:bookmarkStart w:id="54" w:name="_Toc7879_WPSOffice_Level2"/>
      <w:bookmarkStart w:id="55" w:name="_Toc2158_WPSOffice_Level2"/>
      <w:bookmarkStart w:id="56" w:name="_Toc13516_WPSOffice_Level2"/>
      <w:r>
        <w:rPr>
          <w:rFonts w:hint="eastAsia" w:ascii="黑体" w:hAnsi="黑体" w:eastAsia="黑体" w:cs="黑体"/>
          <w:sz w:val="32"/>
          <w:szCs w:val="32"/>
        </w:rPr>
        <w:t>五、一般公共预算财政拨款收入支出决算</w:t>
      </w:r>
      <w:bookmarkEnd w:id="51"/>
      <w:bookmarkEnd w:id="52"/>
      <w:bookmarkEnd w:id="53"/>
      <w:bookmarkEnd w:id="54"/>
      <w:r>
        <w:rPr>
          <w:rFonts w:hint="eastAsia" w:ascii="黑体" w:hAnsi="黑体" w:eastAsia="黑体" w:cs="黑体"/>
          <w:sz w:val="32"/>
          <w:szCs w:val="32"/>
        </w:rPr>
        <w:t>公开表</w:t>
      </w:r>
      <w:bookmarkEnd w:id="55"/>
      <w:bookmarkEnd w:id="56"/>
      <w:bookmarkStart w:id="57" w:name="_Toc17283_WPSOffice_Level2"/>
      <w:bookmarkStart w:id="58" w:name="_Toc8373_WPSOffice_Level2"/>
      <w:bookmarkStart w:id="59" w:name="_Toc17833_WPSOffice_Level2"/>
      <w:bookmarkStart w:id="60" w:name="_Toc5343_WPSOffice_Level2"/>
      <w:bookmarkStart w:id="61" w:name="_Toc2632_WPSOffice_Level2"/>
      <w:bookmarkStart w:id="62" w:name="_Toc25362_WPSOffice_Level2"/>
    </w:p>
    <w:p w14:paraId="3C43C4D6">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7"/>
      <w:bookmarkEnd w:id="58"/>
      <w:bookmarkEnd w:id="59"/>
      <w:bookmarkEnd w:id="60"/>
      <w:bookmarkEnd w:id="61"/>
      <w:bookmarkEnd w:id="62"/>
      <w:r>
        <w:rPr>
          <w:rFonts w:hint="eastAsia" w:ascii="黑体" w:hAnsi="黑体" w:eastAsia="黑体" w:cs="黑体"/>
          <w:sz w:val="32"/>
          <w:szCs w:val="32"/>
        </w:rPr>
        <w:t>公开表</w:t>
      </w:r>
    </w:p>
    <w:p w14:paraId="3CB494A9">
      <w:pPr>
        <w:spacing w:line="578" w:lineRule="exact"/>
        <w:ind w:left="1118" w:leftChars="304" w:hanging="480" w:hangingChars="150"/>
        <w:rPr>
          <w:rFonts w:hint="eastAsia" w:ascii="黑体" w:hAnsi="黑体" w:eastAsia="黑体" w:cs="黑体"/>
          <w:sz w:val="32"/>
          <w:szCs w:val="32"/>
        </w:rPr>
      </w:pPr>
      <w:bookmarkStart w:id="63" w:name="_Toc1533_WPSOffice_Level2"/>
      <w:bookmarkStart w:id="64" w:name="_Toc11799_WPSOffice_Level2"/>
      <w:bookmarkStart w:id="65" w:name="_Toc5594_WPSOffice_Level2"/>
      <w:bookmarkStart w:id="66" w:name="_Toc13345_WPSOffice_Level2"/>
      <w:bookmarkStart w:id="67" w:name="_Toc6020_WPSOffice_Level2"/>
      <w:bookmarkStart w:id="68" w:name="_Toc21310_WPSOffice_Level2"/>
      <w:r>
        <w:rPr>
          <w:rFonts w:hint="eastAsia" w:ascii="黑体" w:hAnsi="黑体" w:eastAsia="黑体" w:cs="黑体"/>
          <w:sz w:val="32"/>
          <w:szCs w:val="32"/>
        </w:rPr>
        <w:t>七、政府性基金预算财政拨款收入支出决算</w:t>
      </w:r>
      <w:bookmarkEnd w:id="63"/>
      <w:bookmarkEnd w:id="64"/>
      <w:bookmarkEnd w:id="65"/>
      <w:bookmarkEnd w:id="66"/>
      <w:bookmarkEnd w:id="67"/>
      <w:bookmarkEnd w:id="68"/>
      <w:r>
        <w:rPr>
          <w:rFonts w:hint="eastAsia" w:ascii="黑体" w:hAnsi="黑体" w:eastAsia="黑体" w:cs="黑体"/>
          <w:sz w:val="32"/>
          <w:szCs w:val="32"/>
        </w:rPr>
        <w:t>公开表</w:t>
      </w:r>
    </w:p>
    <w:p w14:paraId="3FA95759">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14:paraId="764A0B56">
      <w:pPr>
        <w:spacing w:line="578" w:lineRule="exact"/>
        <w:ind w:firstLine="640"/>
        <w:rPr>
          <w:rFonts w:hint="eastAsia" w:ascii="黑体" w:hAnsi="黑体" w:eastAsia="黑体" w:cs="黑体"/>
          <w:sz w:val="32"/>
          <w:szCs w:val="32"/>
        </w:rPr>
      </w:pPr>
      <w:bookmarkStart w:id="69" w:name="_Toc1820_WPSOffice_Level2"/>
      <w:bookmarkStart w:id="70" w:name="_Toc9377_WPSOffice_Level2"/>
      <w:bookmarkStart w:id="71" w:name="_Toc19961_WPSOffice_Level2"/>
      <w:bookmarkStart w:id="72" w:name="_Toc29886_WPSOffice_Level2"/>
      <w:r>
        <w:rPr>
          <w:rFonts w:hint="eastAsia" w:ascii="黑体" w:hAnsi="黑体" w:eastAsia="黑体" w:cs="黑体"/>
          <w:sz w:val="32"/>
          <w:szCs w:val="32"/>
        </w:rPr>
        <w:t>九、财政拨款“三公”经费支出决算</w:t>
      </w:r>
      <w:bookmarkEnd w:id="69"/>
      <w:bookmarkEnd w:id="70"/>
      <w:bookmarkEnd w:id="71"/>
      <w:bookmarkEnd w:id="72"/>
      <w:r>
        <w:rPr>
          <w:rFonts w:hint="eastAsia" w:ascii="黑体" w:hAnsi="黑体" w:eastAsia="黑体" w:cs="黑体"/>
          <w:sz w:val="32"/>
          <w:szCs w:val="32"/>
        </w:rPr>
        <w:t>公开表</w:t>
      </w:r>
    </w:p>
    <w:p w14:paraId="2208F4B6">
      <w:pPr>
        <w:spacing w:line="578" w:lineRule="exact"/>
        <w:ind w:firstLine="640"/>
        <w:rPr>
          <w:rFonts w:hint="eastAsia" w:ascii="仿宋" w:hAnsi="仿宋" w:eastAsia="仿宋" w:cs="仿宋"/>
          <w:sz w:val="32"/>
          <w:szCs w:val="32"/>
        </w:rPr>
      </w:pPr>
      <w:r>
        <w:rPr>
          <w:rFonts w:hint="eastAsia" w:ascii="仿宋" w:hAnsi="仿宋" w:eastAsia="仿宋" w:cs="仿宋"/>
          <w:sz w:val="32"/>
          <w:szCs w:val="32"/>
        </w:rPr>
        <w:t xml:space="preserve">以上报表见附件1。   </w:t>
      </w:r>
    </w:p>
    <w:p w14:paraId="755877C2">
      <w:pPr>
        <w:spacing w:line="578" w:lineRule="exact"/>
        <w:rPr>
          <w:rFonts w:hint="eastAsia" w:ascii="黑体" w:hAnsi="黑体" w:eastAsia="黑体" w:cs="黑体"/>
          <w:sz w:val="32"/>
          <w:szCs w:val="32"/>
        </w:rPr>
      </w:pPr>
    </w:p>
    <w:p w14:paraId="46BD6763">
      <w:pPr>
        <w:spacing w:line="578" w:lineRule="exact"/>
        <w:jc w:val="center"/>
        <w:rPr>
          <w:rFonts w:hint="eastAsia" w:ascii="黑体" w:hAnsi="ˎ̥" w:eastAsia="黑体"/>
          <w:sz w:val="32"/>
          <w:szCs w:val="32"/>
        </w:rPr>
      </w:pPr>
      <w:bookmarkStart w:id="73" w:name="_Toc16686_WPSOffice_Level1"/>
      <w:bookmarkStart w:id="74" w:name="_Toc27590_WPSOffice_Level1"/>
      <w:bookmarkStart w:id="75" w:name="_Toc29683_WPSOffice_Level1"/>
      <w:bookmarkStart w:id="76" w:name="_Toc4402_WPSOffice_Level1"/>
      <w:bookmarkStart w:id="77" w:name="_Toc31264_WPSOffice_Level1"/>
      <w:bookmarkStart w:id="78" w:name="_Toc28629_WPSOffice_Level1"/>
      <w:r>
        <w:rPr>
          <w:rFonts w:hint="eastAsia" w:ascii="黑体" w:hAnsi="ˎ̥" w:eastAsia="黑体"/>
          <w:sz w:val="32"/>
          <w:szCs w:val="32"/>
        </w:rPr>
        <w:t xml:space="preserve">第三部分  </w:t>
      </w:r>
      <w:r>
        <w:rPr>
          <w:rFonts w:ascii="黑体" w:hAnsi="ˎ̥" w:eastAsia="黑体"/>
          <w:sz w:val="32"/>
          <w:szCs w:val="32"/>
        </w:rPr>
        <w:t>2024</w:t>
      </w:r>
      <w:r>
        <w:rPr>
          <w:rFonts w:hint="eastAsia" w:ascii="黑体" w:hAnsi="ˎ̥" w:eastAsia="黑体"/>
          <w:sz w:val="32"/>
          <w:szCs w:val="32"/>
        </w:rPr>
        <w:t>年度单位决算情况说明</w:t>
      </w:r>
      <w:bookmarkEnd w:id="73"/>
      <w:bookmarkEnd w:id="74"/>
      <w:bookmarkEnd w:id="75"/>
      <w:bookmarkEnd w:id="76"/>
      <w:bookmarkEnd w:id="77"/>
      <w:bookmarkEnd w:id="78"/>
    </w:p>
    <w:p w14:paraId="56EF16F4">
      <w:pPr>
        <w:spacing w:line="578" w:lineRule="exact"/>
        <w:jc w:val="center"/>
        <w:rPr>
          <w:rFonts w:hint="eastAsia" w:ascii="黑体" w:hAnsi="ˎ̥" w:eastAsia="黑体"/>
          <w:sz w:val="32"/>
          <w:szCs w:val="32"/>
        </w:rPr>
      </w:pPr>
    </w:p>
    <w:p w14:paraId="012B278E">
      <w:pPr>
        <w:spacing w:line="578" w:lineRule="exact"/>
        <w:ind w:firstLine="640" w:firstLineChars="200"/>
        <w:rPr>
          <w:rFonts w:hint="eastAsia" w:ascii="仿宋" w:hAnsi="仿宋" w:eastAsia="仿宋" w:cs="仿宋"/>
          <w:color w:val="auto"/>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ascii="仿宋_GB2312" w:hAnsi="ˎ̥" w:eastAsia="仿宋_GB2312"/>
          <w:color w:val="auto"/>
          <w:sz w:val="32"/>
          <w:szCs w:val="32"/>
        </w:rPr>
        <w:t>2024</w:t>
      </w:r>
      <w:r>
        <w:rPr>
          <w:rFonts w:hint="eastAsia" w:ascii="仿宋_GB2312" w:hAnsi="ˎ̥" w:eastAsia="仿宋_GB2312"/>
          <w:color w:val="auto"/>
          <w:sz w:val="32"/>
          <w:szCs w:val="32"/>
        </w:rPr>
        <w:t>年度收入总计</w:t>
      </w:r>
      <w:r>
        <w:rPr>
          <w:rFonts w:ascii="仿宋_GB2312" w:hAnsi="ˎ̥" w:eastAsia="仿宋_GB2312"/>
          <w:color w:val="auto"/>
          <w:sz w:val="32"/>
          <w:szCs w:val="32"/>
        </w:rPr>
        <w:t>2,880.00</w:t>
      </w:r>
      <w:r>
        <w:rPr>
          <w:rFonts w:hint="eastAsia" w:ascii="仿宋_GB2312" w:hAnsi="ˎ̥" w:eastAsia="仿宋_GB2312"/>
          <w:color w:val="auto"/>
          <w:sz w:val="32"/>
          <w:szCs w:val="32"/>
        </w:rPr>
        <w:t>万元，支出总计</w:t>
      </w:r>
      <w:r>
        <w:rPr>
          <w:rFonts w:ascii="仿宋_GB2312" w:hAnsi="ˎ̥" w:eastAsia="仿宋_GB2312"/>
          <w:color w:val="auto"/>
          <w:sz w:val="32"/>
          <w:szCs w:val="32"/>
        </w:rPr>
        <w:t>2,880.00</w:t>
      </w:r>
      <w:r>
        <w:rPr>
          <w:rFonts w:hint="eastAsia" w:ascii="仿宋_GB2312" w:hAnsi="ˎ̥" w:eastAsia="仿宋_GB2312"/>
          <w:color w:val="auto"/>
          <w:sz w:val="32"/>
          <w:szCs w:val="32"/>
        </w:rPr>
        <w:t>万元，与</w:t>
      </w:r>
      <w:r>
        <w:rPr>
          <w:rFonts w:ascii="仿宋_GB2312" w:hAnsi="ˎ̥" w:eastAsia="仿宋_GB2312"/>
          <w:color w:val="auto"/>
          <w:sz w:val="32"/>
          <w:szCs w:val="32"/>
        </w:rPr>
        <w:t>2023</w:t>
      </w:r>
      <w:r>
        <w:rPr>
          <w:rFonts w:hint="eastAsia" w:ascii="仿宋_GB2312" w:hAnsi="ˎ̥" w:eastAsia="仿宋_GB2312"/>
          <w:color w:val="auto"/>
          <w:sz w:val="32"/>
          <w:szCs w:val="32"/>
        </w:rPr>
        <w:t>年度相比，收入、支出总计各增加</w:t>
      </w:r>
      <w:r>
        <w:rPr>
          <w:rFonts w:hint="eastAsia" w:ascii="仿宋_GB2312" w:hAnsi="ˎ̥" w:eastAsia="仿宋_GB2312"/>
          <w:color w:val="auto"/>
          <w:sz w:val="32"/>
          <w:szCs w:val="32"/>
          <w:lang w:val="en-US" w:eastAsia="zh-CN"/>
        </w:rPr>
        <w:t>40.58</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1.43</w:t>
      </w:r>
      <w:r>
        <w:rPr>
          <w:rFonts w:hint="eastAsia" w:ascii="仿宋_GB2312" w:hAnsi="ˎ̥" w:eastAsia="仿宋_GB2312"/>
          <w:color w:val="auto"/>
          <w:sz w:val="32"/>
          <w:szCs w:val="32"/>
        </w:rPr>
        <w:t>%。主要原因</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一是人员经费增加；二是学生增加，城乡义务教育补助生均公用经费增加。</w:t>
      </w:r>
    </w:p>
    <w:p w14:paraId="634900EA">
      <w:pPr>
        <w:spacing w:line="578"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0F3A946E">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收入2,794.57</w:t>
      </w:r>
      <w:r>
        <w:rPr>
          <w:rFonts w:hint="eastAsia" w:ascii="仿宋_GB2312" w:hAnsi="ˎ̥" w:eastAsia="仿宋_GB2312"/>
          <w:color w:val="auto"/>
          <w:sz w:val="32"/>
          <w:szCs w:val="32"/>
        </w:rPr>
        <w:t>万元。</w:t>
      </w:r>
    </w:p>
    <w:p w14:paraId="3C4EBE58">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使用非财政拨款结余</w:t>
      </w:r>
      <w:r>
        <w:rPr>
          <w:rFonts w:ascii="仿宋_GB2312" w:hAnsi="ˎ̥" w:eastAsia="仿宋_GB2312"/>
          <w:color w:val="auto"/>
          <w:sz w:val="32"/>
          <w:szCs w:val="32"/>
        </w:rPr>
        <w:t>0.00</w:t>
      </w:r>
      <w:r>
        <w:rPr>
          <w:rFonts w:hint="eastAsia" w:ascii="仿宋_GB2312" w:hAnsi="ˎ̥" w:eastAsia="仿宋_GB2312"/>
          <w:color w:val="auto"/>
          <w:sz w:val="32"/>
          <w:szCs w:val="32"/>
        </w:rPr>
        <w:t>万元，较</w:t>
      </w:r>
      <w:r>
        <w:rPr>
          <w:rFonts w:ascii="仿宋_GB2312" w:hAnsi="ˎ̥" w:eastAsia="仿宋_GB2312"/>
          <w:color w:val="auto"/>
          <w:sz w:val="32"/>
          <w:szCs w:val="32"/>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万元，主要原因是无非财政拨款。</w:t>
      </w:r>
    </w:p>
    <w:p w14:paraId="19D52F42">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年初结转结余</w:t>
      </w:r>
      <w:r>
        <w:rPr>
          <w:rFonts w:ascii="仿宋_GB2312" w:hAnsi="ˎ̥" w:eastAsia="仿宋_GB2312"/>
          <w:color w:val="auto"/>
          <w:sz w:val="32"/>
          <w:szCs w:val="32"/>
        </w:rPr>
        <w:t>85.43</w:t>
      </w:r>
      <w:r>
        <w:rPr>
          <w:rFonts w:hint="eastAsia" w:ascii="仿宋_GB2312" w:hAnsi="ˎ̥" w:eastAsia="仿宋_GB2312"/>
          <w:color w:val="auto"/>
          <w:sz w:val="32"/>
          <w:szCs w:val="32"/>
        </w:rPr>
        <w:t>万元，主要是课后服务费结转202</w:t>
      </w: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年继续使用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（简要说明结转结余形成或来源），较</w:t>
      </w:r>
      <w:r>
        <w:rPr>
          <w:rFonts w:ascii="仿宋_GB2312" w:hAnsi="ˎ̥" w:eastAsia="仿宋_GB2312"/>
          <w:color w:val="auto"/>
          <w:sz w:val="32"/>
          <w:szCs w:val="32"/>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14.21</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19.95</w:t>
      </w:r>
      <w:r>
        <w:rPr>
          <w:rFonts w:hint="eastAsia" w:ascii="仿宋_GB2312" w:hAnsi="ˎ̥" w:eastAsia="仿宋_GB2312"/>
          <w:color w:val="auto"/>
          <w:sz w:val="32"/>
          <w:szCs w:val="32"/>
        </w:rPr>
        <w:t>%，主要原因是课后服务费结</w:t>
      </w:r>
      <w:r>
        <w:rPr>
          <w:rFonts w:hint="eastAsia" w:ascii="仿宋_GB2312" w:hAnsi="ˎ̥" w:eastAsia="仿宋_GB2312"/>
          <w:color w:val="auto"/>
          <w:sz w:val="32"/>
          <w:szCs w:val="32"/>
          <w:lang w:eastAsia="zh-CN"/>
        </w:rPr>
        <w:t>余较</w:t>
      </w:r>
      <w:r>
        <w:rPr>
          <w:rFonts w:hint="eastAsia" w:ascii="仿宋_GB2312" w:hAnsi="ˎ̥" w:eastAsia="仿宋_GB2312"/>
          <w:color w:val="auto"/>
          <w:sz w:val="32"/>
          <w:szCs w:val="32"/>
          <w:lang w:val="en-US" w:eastAsia="zh-CN"/>
        </w:rPr>
        <w:t>2023年多</w:t>
      </w:r>
      <w:r>
        <w:rPr>
          <w:rFonts w:hint="eastAsia" w:ascii="仿宋_GB2312" w:hAnsi="ˎ̥" w:eastAsia="仿宋_GB2312"/>
          <w:color w:val="auto"/>
          <w:sz w:val="32"/>
          <w:szCs w:val="32"/>
        </w:rPr>
        <w:t>。</w:t>
      </w:r>
    </w:p>
    <w:p w14:paraId="4DCD74E8">
      <w:pPr>
        <w:spacing w:line="578"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70903A5D">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ascii="仿宋_GB2312" w:hAnsi="ˎ̥" w:eastAsia="仿宋_GB2312"/>
          <w:color w:val="auto"/>
          <w:sz w:val="32"/>
          <w:szCs w:val="32"/>
        </w:rPr>
        <w:t>2,783.38</w:t>
      </w:r>
      <w:r>
        <w:rPr>
          <w:rFonts w:hint="eastAsia" w:ascii="仿宋_GB2312" w:hAnsi="ˎ̥" w:eastAsia="仿宋_GB2312"/>
          <w:color w:val="auto"/>
          <w:sz w:val="32"/>
          <w:szCs w:val="32"/>
        </w:rPr>
        <w:t>万元。</w:t>
      </w:r>
    </w:p>
    <w:p w14:paraId="79D0A35E">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结余分配</w:t>
      </w:r>
      <w:r>
        <w:rPr>
          <w:rFonts w:ascii="仿宋_GB2312" w:hAnsi="ˎ̥" w:eastAsia="仿宋_GB2312"/>
          <w:color w:val="auto"/>
          <w:sz w:val="32"/>
          <w:szCs w:val="32"/>
        </w:rPr>
        <w:t>0.06</w:t>
      </w:r>
      <w:r>
        <w:rPr>
          <w:rFonts w:hint="eastAsia" w:ascii="仿宋_GB2312" w:hAnsi="ˎ̥" w:eastAsia="仿宋_GB2312"/>
          <w:color w:val="auto"/>
          <w:sz w:val="32"/>
          <w:szCs w:val="32"/>
        </w:rPr>
        <w:t>万元，主要是</w:t>
      </w:r>
      <w:r>
        <w:rPr>
          <w:rFonts w:ascii="仿宋_GB2312" w:hAnsi="仿宋_GB2312"/>
          <w:color w:val="auto"/>
          <w:sz w:val="32"/>
          <w:szCs w:val="32"/>
          <w:lang w:eastAsia="zh-CN"/>
        </w:rPr>
        <w:t>付手续费等</w:t>
      </w:r>
      <w:r>
        <w:rPr>
          <w:rFonts w:hint="eastAsia" w:ascii="仿宋_GB2312" w:hAnsi="ˎ̥" w:eastAsia="仿宋_GB2312"/>
          <w:color w:val="auto"/>
          <w:sz w:val="32"/>
          <w:szCs w:val="32"/>
        </w:rPr>
        <w:t>（资金分配去向），较</w:t>
      </w:r>
      <w:r>
        <w:rPr>
          <w:rFonts w:ascii="仿宋_GB2312" w:hAnsi="ˎ̥" w:eastAsia="仿宋_GB2312"/>
          <w:color w:val="auto"/>
          <w:sz w:val="32"/>
          <w:szCs w:val="32"/>
        </w:rPr>
        <w:t>2023</w:t>
      </w:r>
      <w:r>
        <w:rPr>
          <w:rFonts w:hint="eastAsia" w:ascii="仿宋_GB2312" w:hAnsi="ˎ̥" w:eastAsia="仿宋_GB2312"/>
          <w:color w:val="auto"/>
          <w:sz w:val="32"/>
          <w:szCs w:val="32"/>
        </w:rPr>
        <w:t>年度决算数减少</w:t>
      </w:r>
      <w:r>
        <w:rPr>
          <w:rFonts w:hint="eastAsia" w:ascii="仿宋_GB2312" w:hAnsi="ˎ̥" w:eastAsia="仿宋_GB2312"/>
          <w:color w:val="auto"/>
          <w:sz w:val="32"/>
          <w:szCs w:val="32"/>
          <w:lang w:val="en-US" w:eastAsia="zh-CN"/>
        </w:rPr>
        <w:t>0.15</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48.39</w:t>
      </w:r>
      <w:r>
        <w:rPr>
          <w:rFonts w:hint="eastAsia" w:ascii="仿宋_GB2312" w:hAnsi="ˎ̥" w:eastAsia="仿宋_GB2312"/>
          <w:color w:val="auto"/>
          <w:sz w:val="32"/>
          <w:szCs w:val="32"/>
        </w:rPr>
        <w:t>%，主要原因是用于</w:t>
      </w:r>
      <w:r>
        <w:rPr>
          <w:rFonts w:hint="eastAsia" w:ascii="仿宋_GB2312" w:hAnsi="ˎ̥" w:eastAsia="仿宋_GB2312"/>
          <w:color w:val="auto"/>
          <w:sz w:val="32"/>
          <w:szCs w:val="32"/>
          <w:lang w:eastAsia="zh-CN"/>
        </w:rPr>
        <w:t>支</w:t>
      </w:r>
      <w:r>
        <w:rPr>
          <w:rFonts w:hint="eastAsia" w:ascii="仿宋_GB2312" w:hAnsi="ˎ̥" w:eastAsia="仿宋_GB2312"/>
          <w:color w:val="auto"/>
          <w:sz w:val="32"/>
          <w:szCs w:val="32"/>
        </w:rPr>
        <w:t>付手续费</w:t>
      </w:r>
      <w:r>
        <w:rPr>
          <w:rFonts w:hint="eastAsia" w:ascii="仿宋_GB2312" w:hAnsi="ˎ̥" w:eastAsia="仿宋_GB2312"/>
          <w:color w:val="auto"/>
          <w:sz w:val="32"/>
          <w:szCs w:val="32"/>
          <w:lang w:eastAsia="zh-CN"/>
        </w:rPr>
        <w:t>的金额较少</w:t>
      </w:r>
      <w:r>
        <w:rPr>
          <w:rFonts w:hint="eastAsia" w:ascii="仿宋_GB2312" w:hAnsi="ˎ̥" w:eastAsia="仿宋_GB2312"/>
          <w:color w:val="auto"/>
          <w:sz w:val="32"/>
          <w:szCs w:val="32"/>
        </w:rPr>
        <w:t>。</w:t>
      </w:r>
    </w:p>
    <w:p w14:paraId="7E3FC288">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年末结转结余</w:t>
      </w:r>
      <w:r>
        <w:rPr>
          <w:rFonts w:ascii="仿宋_GB2312" w:hAnsi="ˎ̥" w:eastAsia="仿宋_GB2312"/>
          <w:color w:val="auto"/>
          <w:sz w:val="32"/>
          <w:szCs w:val="32"/>
        </w:rPr>
        <w:t>96.56</w:t>
      </w:r>
      <w:r>
        <w:rPr>
          <w:rFonts w:hint="eastAsia" w:ascii="仿宋_GB2312" w:hAnsi="ˎ̥" w:eastAsia="仿宋_GB2312"/>
          <w:color w:val="auto"/>
          <w:sz w:val="32"/>
          <w:szCs w:val="32"/>
        </w:rPr>
        <w:t>万元，主要是课后服务费结转202</w:t>
      </w:r>
      <w:r>
        <w:rPr>
          <w:rFonts w:hint="eastAsia" w:ascii="仿宋_GB2312" w:hAnsi="ˎ̥" w:eastAsia="仿宋_GB2312"/>
          <w:color w:val="auto"/>
          <w:sz w:val="32"/>
          <w:szCs w:val="32"/>
          <w:lang w:val="en-US" w:eastAsia="zh-CN"/>
        </w:rPr>
        <w:t>5</w:t>
      </w:r>
      <w:r>
        <w:rPr>
          <w:rFonts w:hint="eastAsia" w:ascii="仿宋_GB2312" w:hAnsi="ˎ̥" w:eastAsia="仿宋_GB2312"/>
          <w:color w:val="auto"/>
          <w:sz w:val="32"/>
          <w:szCs w:val="32"/>
        </w:rPr>
        <w:t>年继续使用（简要说明结转结余的构成），较</w:t>
      </w:r>
      <w:r>
        <w:rPr>
          <w:rFonts w:ascii="仿宋_GB2312" w:hAnsi="ˎ̥" w:eastAsia="仿宋_GB2312"/>
          <w:color w:val="auto"/>
          <w:sz w:val="32"/>
          <w:szCs w:val="32"/>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11.15</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13.05</w:t>
      </w:r>
      <w:r>
        <w:rPr>
          <w:rFonts w:hint="eastAsia" w:ascii="仿宋_GB2312" w:hAnsi="ˎ̥" w:eastAsia="仿宋_GB2312"/>
          <w:color w:val="auto"/>
          <w:sz w:val="32"/>
          <w:szCs w:val="32"/>
        </w:rPr>
        <w:t>%，主要原因是202</w:t>
      </w: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年收缴课后服务费较202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年多，发放教师授课费后余额增多。</w:t>
      </w:r>
    </w:p>
    <w:p w14:paraId="3558B235">
      <w:pPr>
        <w:spacing w:line="578" w:lineRule="exact"/>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：2024</w:t>
      </w:r>
      <w:r>
        <w:rPr>
          <w:rFonts w:hint="eastAsia" w:ascii="仿宋_GB2312" w:hAnsi="ˎ̥" w:eastAsia="仿宋_GB2312"/>
          <w:sz w:val="32"/>
          <w:szCs w:val="32"/>
        </w:rPr>
        <w:t>年度相关决算数据可取自附件财决公开01、02、03表；</w:t>
      </w:r>
      <w:r>
        <w:rPr>
          <w:rFonts w:ascii="仿宋_GB2312" w:hAnsi="ˎ̥" w:eastAsia="仿宋_GB2312"/>
          <w:sz w:val="32"/>
          <w:szCs w:val="32"/>
        </w:rPr>
        <w:t>2023</w:t>
      </w:r>
      <w:r>
        <w:rPr>
          <w:rFonts w:hint="eastAsia" w:ascii="仿宋_GB2312" w:hAnsi="ˎ̥" w:eastAsia="仿宋_GB2312"/>
          <w:sz w:val="32"/>
          <w:szCs w:val="32"/>
        </w:rPr>
        <w:t>年度相关决算数据可取自</w:t>
      </w:r>
      <w:r>
        <w:rPr>
          <w:rFonts w:ascii="仿宋_GB2312" w:hAnsi="ˎ̥" w:eastAsia="仿宋_GB2312"/>
          <w:sz w:val="32"/>
          <w:szCs w:val="32"/>
        </w:rPr>
        <w:t>2023</w:t>
      </w:r>
      <w:r>
        <w:rPr>
          <w:rFonts w:hint="eastAsia" w:ascii="仿宋_GB2312" w:hAnsi="ˎ̥" w:eastAsia="仿宋_GB2312"/>
          <w:sz w:val="32"/>
          <w:szCs w:val="32"/>
        </w:rPr>
        <w:t>年度单位决算报表财决01表《收入支出决算总表》。）</w:t>
      </w:r>
    </w:p>
    <w:p w14:paraId="3D4936A1">
      <w:pPr>
        <w:spacing w:line="578" w:lineRule="exact"/>
        <w:ind w:firstLine="640" w:firstLineChars="200"/>
        <w:rPr>
          <w:rFonts w:hint="eastAsia" w:ascii="仿宋_GB2312" w:hAnsi="ˎ̥" w:eastAsia="仿宋_GB2312"/>
          <w:color w:val="auto"/>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w:t>
      </w:r>
      <w:r>
        <w:rPr>
          <w:rFonts w:hint="eastAsia" w:ascii="仿宋_GB2312" w:hAnsi="ˎ̥" w:eastAsia="仿宋_GB2312"/>
          <w:color w:val="auto"/>
          <w:sz w:val="32"/>
          <w:szCs w:val="32"/>
        </w:rPr>
        <w:t xml:space="preserve">  本年收入</w:t>
      </w:r>
      <w:r>
        <w:rPr>
          <w:rFonts w:ascii="仿宋_GB2312" w:hAnsi="ˎ̥" w:eastAsia="仿宋_GB2312"/>
          <w:color w:val="auto"/>
          <w:sz w:val="32"/>
          <w:szCs w:val="32"/>
        </w:rPr>
        <w:t>2,794.57</w:t>
      </w:r>
      <w:r>
        <w:rPr>
          <w:rFonts w:hint="eastAsia" w:ascii="仿宋_GB2312" w:hAnsi="ˎ̥" w:eastAsia="仿宋_GB2312"/>
          <w:color w:val="auto"/>
          <w:sz w:val="32"/>
          <w:szCs w:val="32"/>
        </w:rPr>
        <w:t>万元，其中：财政拨款收入</w:t>
      </w:r>
      <w:r>
        <w:rPr>
          <w:rFonts w:ascii="仿宋_GB2312" w:hAnsi="ˎ̥" w:eastAsia="仿宋_GB2312"/>
          <w:color w:val="auto"/>
          <w:sz w:val="32"/>
          <w:szCs w:val="32"/>
        </w:rPr>
        <w:t>2,576.43</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92.19</w:t>
      </w:r>
      <w:r>
        <w:rPr>
          <w:rFonts w:hint="eastAsia" w:ascii="仿宋_GB2312" w:hAnsi="ˎ̥" w:eastAsia="仿宋_GB2312"/>
          <w:color w:val="auto"/>
          <w:sz w:val="32"/>
          <w:szCs w:val="32"/>
        </w:rPr>
        <w:t>%；上级补助收入</w:t>
      </w:r>
      <w:r>
        <w:rPr>
          <w:rFonts w:ascii="仿宋_GB2312" w:hAnsi="ˎ̥" w:eastAsia="仿宋_GB2312"/>
          <w:color w:val="auto"/>
          <w:sz w:val="32"/>
          <w:szCs w:val="32"/>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%；事业收入</w:t>
      </w:r>
      <w:r>
        <w:rPr>
          <w:rFonts w:ascii="仿宋_GB2312" w:hAnsi="ˎ̥" w:eastAsia="仿宋_GB2312"/>
          <w:color w:val="auto"/>
          <w:sz w:val="32"/>
          <w:szCs w:val="32"/>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%；经营收入</w:t>
      </w:r>
      <w:r>
        <w:rPr>
          <w:rFonts w:ascii="仿宋_GB2312" w:hAnsi="ˎ̥" w:eastAsia="仿宋_GB2312"/>
          <w:color w:val="auto"/>
          <w:sz w:val="32"/>
          <w:szCs w:val="32"/>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%；附属单位上缴收入</w:t>
      </w:r>
      <w:r>
        <w:rPr>
          <w:rFonts w:ascii="仿宋_GB2312" w:hAnsi="ˎ̥" w:eastAsia="仿宋_GB2312"/>
          <w:color w:val="auto"/>
          <w:sz w:val="32"/>
          <w:szCs w:val="32"/>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%；其他收入</w:t>
      </w:r>
      <w:r>
        <w:rPr>
          <w:rFonts w:ascii="仿宋_GB2312" w:hAnsi="ˎ̥" w:eastAsia="仿宋_GB2312"/>
          <w:color w:val="auto"/>
          <w:sz w:val="32"/>
          <w:szCs w:val="32"/>
        </w:rPr>
        <w:t>218.14</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7.81</w:t>
      </w:r>
      <w:r>
        <w:rPr>
          <w:rFonts w:hint="eastAsia" w:ascii="仿宋_GB2312" w:hAnsi="ˎ̥" w:eastAsia="仿宋_GB2312"/>
          <w:color w:val="auto"/>
          <w:sz w:val="32"/>
          <w:szCs w:val="32"/>
        </w:rPr>
        <w:t>%。</w:t>
      </w:r>
    </w:p>
    <w:p w14:paraId="132FDC3E">
      <w:pPr>
        <w:spacing w:line="578" w:lineRule="exact"/>
        <w:ind w:left="412" w:leftChars="196"/>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eastAsia" w:ascii="仿宋_GB2312" w:hAnsi="ˎ̥" w:eastAsia="仿宋_GB2312"/>
          <w:sz w:val="32"/>
          <w:szCs w:val="32"/>
        </w:rPr>
        <w:t>上述各项收入数可取自财决公开02表。）</w:t>
      </w:r>
    </w:p>
    <w:p w14:paraId="6EA56635">
      <w:pPr>
        <w:spacing w:line="578" w:lineRule="exact"/>
        <w:ind w:firstLine="627" w:firstLineChars="196"/>
        <w:rPr>
          <w:rFonts w:hint="eastAsia" w:ascii="黑体" w:hAnsi="黑体" w:eastAsia="黑体" w:cs="黑体"/>
          <w:bCs/>
          <w:sz w:val="32"/>
          <w:szCs w:val="32"/>
        </w:rPr>
      </w:pPr>
      <w:r>
        <w:rPr>
          <w:rFonts w:hint="eastAsia" w:ascii="黑体" w:hAnsi="黑体" w:eastAsia="黑体" w:cs="黑体"/>
          <w:bCs/>
          <w:sz w:val="32"/>
          <w:szCs w:val="32"/>
        </w:rPr>
        <w:t>三、支出决算情况说明</w:t>
      </w:r>
    </w:p>
    <w:p w14:paraId="34307176">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ascii="仿宋_GB2312" w:hAnsi="ˎ̥" w:eastAsia="仿宋_GB2312"/>
          <w:color w:val="auto"/>
          <w:sz w:val="32"/>
          <w:szCs w:val="32"/>
        </w:rPr>
        <w:t>2,783.38</w:t>
      </w:r>
      <w:r>
        <w:rPr>
          <w:rFonts w:hint="eastAsia" w:ascii="仿宋_GB2312" w:hAnsi="ˎ̥" w:eastAsia="仿宋_GB2312"/>
          <w:color w:val="auto"/>
          <w:sz w:val="32"/>
          <w:szCs w:val="32"/>
        </w:rPr>
        <w:t>万元，其中：基本支出</w:t>
      </w:r>
      <w:r>
        <w:rPr>
          <w:rFonts w:ascii="仿宋_GB2312" w:hAnsi="ˎ̥" w:eastAsia="仿宋_GB2312"/>
          <w:color w:val="auto"/>
          <w:sz w:val="32"/>
          <w:szCs w:val="32"/>
        </w:rPr>
        <w:t>1,955.81</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70.27</w:t>
      </w:r>
      <w:r>
        <w:rPr>
          <w:rFonts w:hint="eastAsia" w:ascii="仿宋_GB2312" w:hAnsi="ˎ̥" w:eastAsia="仿宋_GB2312"/>
          <w:color w:val="auto"/>
          <w:sz w:val="32"/>
          <w:szCs w:val="32"/>
        </w:rPr>
        <w:t>%；项目支出</w:t>
      </w:r>
      <w:r>
        <w:rPr>
          <w:rFonts w:ascii="仿宋_GB2312" w:hAnsi="ˎ̥" w:eastAsia="仿宋_GB2312"/>
          <w:color w:val="auto"/>
          <w:sz w:val="32"/>
          <w:szCs w:val="32"/>
        </w:rPr>
        <w:t>827.57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29.73</w:t>
      </w:r>
      <w:r>
        <w:rPr>
          <w:rFonts w:hint="eastAsia" w:ascii="仿宋_GB2312" w:hAnsi="ˎ̥" w:eastAsia="仿宋_GB2312"/>
          <w:color w:val="auto"/>
          <w:sz w:val="32"/>
          <w:szCs w:val="32"/>
        </w:rPr>
        <w:t>%；上缴上级支出</w:t>
      </w:r>
      <w:r>
        <w:rPr>
          <w:rFonts w:ascii="仿宋_GB2312" w:hAnsi="ˎ̥" w:eastAsia="仿宋_GB2312"/>
          <w:color w:val="auto"/>
          <w:sz w:val="32"/>
          <w:szCs w:val="32"/>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%；经营支出</w:t>
      </w:r>
      <w:r>
        <w:rPr>
          <w:rFonts w:ascii="仿宋_GB2312" w:hAnsi="ˎ̥" w:eastAsia="仿宋_GB2312"/>
          <w:color w:val="auto"/>
          <w:sz w:val="32"/>
          <w:szCs w:val="32"/>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%；对附属单位补助支出</w:t>
      </w:r>
      <w:r>
        <w:rPr>
          <w:rFonts w:ascii="仿宋_GB2312" w:hAnsi="ˎ̥" w:eastAsia="仿宋_GB2312"/>
          <w:color w:val="auto"/>
          <w:sz w:val="32"/>
          <w:szCs w:val="32"/>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14:paraId="39C9D006">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上述各项支出数可取自财决公开03表。）</w:t>
      </w:r>
    </w:p>
    <w:p w14:paraId="22544704">
      <w:pPr>
        <w:spacing w:line="578" w:lineRule="exact"/>
        <w:ind w:firstLine="627" w:firstLineChars="196"/>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14:paraId="3B670446">
      <w:pPr>
        <w:spacing w:line="578" w:lineRule="exact"/>
        <w:ind w:firstLine="640" w:firstLineChars="200"/>
        <w:jc w:val="left"/>
        <w:rPr>
          <w:rFonts w:hint="eastAsia" w:ascii="仿宋_GB2312" w:hAnsi="ˎ̥" w:eastAsia="仿宋_GB2312"/>
          <w:color w:val="auto"/>
          <w:sz w:val="32"/>
          <w:szCs w:val="32"/>
          <w:lang w:val="en-US" w:eastAsia="zh-CN"/>
        </w:rPr>
      </w:pPr>
      <w:r>
        <w:rPr>
          <w:rFonts w:ascii="仿宋_GB2312" w:hAnsi="ˎ̥" w:eastAsia="仿宋_GB2312"/>
          <w:color w:val="auto"/>
          <w:sz w:val="32"/>
          <w:szCs w:val="32"/>
        </w:rPr>
        <w:t>2024</w:t>
      </w:r>
      <w:r>
        <w:rPr>
          <w:rFonts w:hint="eastAsia" w:ascii="仿宋_GB2312" w:hAnsi="ˎ̥" w:eastAsia="仿宋_GB2312"/>
          <w:color w:val="auto"/>
          <w:sz w:val="32"/>
          <w:szCs w:val="32"/>
        </w:rPr>
        <w:t>年度财政拨款收入</w:t>
      </w:r>
      <w:r>
        <w:rPr>
          <w:rFonts w:ascii="仿宋_GB2312" w:hAnsi="ˎ̥" w:eastAsia="仿宋_GB2312"/>
          <w:color w:val="auto"/>
          <w:sz w:val="32"/>
          <w:szCs w:val="32"/>
        </w:rPr>
        <w:t>2,576.43</w:t>
      </w:r>
      <w:r>
        <w:rPr>
          <w:rFonts w:hint="eastAsia" w:ascii="仿宋_GB2312" w:hAnsi="ˎ̥" w:eastAsia="仿宋_GB2312"/>
          <w:color w:val="auto"/>
          <w:sz w:val="32"/>
          <w:szCs w:val="32"/>
        </w:rPr>
        <w:t>万元，支出</w:t>
      </w:r>
      <w:r>
        <w:rPr>
          <w:rFonts w:ascii="仿宋_GB2312" w:hAnsi="ˎ̥" w:eastAsia="仿宋_GB2312"/>
          <w:color w:val="auto"/>
          <w:sz w:val="32"/>
          <w:szCs w:val="32"/>
        </w:rPr>
        <w:t>2,576.43</w:t>
      </w:r>
      <w:r>
        <w:rPr>
          <w:rFonts w:hint="eastAsia" w:ascii="仿宋_GB2312" w:hAnsi="ˎ̥" w:eastAsia="仿宋_GB2312"/>
          <w:color w:val="auto"/>
          <w:sz w:val="32"/>
          <w:szCs w:val="32"/>
        </w:rPr>
        <w:t>万元。与</w:t>
      </w:r>
      <w:r>
        <w:rPr>
          <w:rFonts w:ascii="仿宋_GB2312" w:hAnsi="ˎ̥" w:eastAsia="仿宋_GB2312"/>
          <w:color w:val="auto"/>
          <w:sz w:val="32"/>
          <w:szCs w:val="32"/>
        </w:rPr>
        <w:t>2023</w:t>
      </w:r>
      <w:r>
        <w:rPr>
          <w:rFonts w:hint="eastAsia" w:ascii="仿宋_GB2312" w:hAnsi="ˎ̥" w:eastAsia="仿宋_GB2312"/>
          <w:color w:val="auto"/>
          <w:sz w:val="32"/>
          <w:szCs w:val="32"/>
        </w:rPr>
        <w:t>年度相比，财政拨款收入减少</w:t>
      </w:r>
      <w:r>
        <w:rPr>
          <w:rFonts w:hint="eastAsia" w:ascii="仿宋_GB2312" w:hAnsi="ˎ̥" w:eastAsia="仿宋_GB2312"/>
          <w:color w:val="auto"/>
          <w:sz w:val="32"/>
          <w:szCs w:val="32"/>
          <w:lang w:val="en-US" w:eastAsia="zh-CN"/>
        </w:rPr>
        <w:t>37.46</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1.43</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eastAsia="zh-CN"/>
        </w:rPr>
        <w:t>一是</w:t>
      </w:r>
      <w:r>
        <w:rPr>
          <w:rFonts w:hint="eastAsia" w:ascii="仿宋_GB2312" w:hAnsi="ˎ̥" w:eastAsia="仿宋_GB2312"/>
          <w:color w:val="auto"/>
          <w:sz w:val="32"/>
          <w:szCs w:val="32"/>
        </w:rPr>
        <w:t>财政拨款</w:t>
      </w:r>
      <w:r>
        <w:rPr>
          <w:rFonts w:hint="eastAsia" w:ascii="仿宋_GB2312" w:hAnsi="ˎ̥" w:eastAsia="仿宋_GB2312"/>
          <w:color w:val="auto"/>
          <w:sz w:val="32"/>
          <w:szCs w:val="32"/>
          <w:lang w:eastAsia="zh-CN"/>
        </w:rPr>
        <w:t>项目减少，二是部分项目资金未能及时支出被回收</w:t>
      </w:r>
      <w:r>
        <w:rPr>
          <w:rFonts w:hint="eastAsia" w:ascii="仿宋_GB2312" w:hAnsi="ˎ̥" w:eastAsia="仿宋_GB2312"/>
          <w:color w:val="auto"/>
          <w:sz w:val="32"/>
          <w:szCs w:val="32"/>
        </w:rPr>
        <w:t>。支出减少</w:t>
      </w:r>
      <w:r>
        <w:rPr>
          <w:rFonts w:hint="eastAsia" w:ascii="仿宋_GB2312" w:hAnsi="ˎ̥" w:eastAsia="仿宋_GB2312"/>
          <w:color w:val="auto"/>
          <w:sz w:val="32"/>
          <w:szCs w:val="32"/>
          <w:lang w:val="en-US" w:eastAsia="zh-CN"/>
        </w:rPr>
        <w:t>37.46</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1.43</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eastAsia="zh-CN"/>
        </w:rPr>
        <w:t>一是</w:t>
      </w:r>
      <w:r>
        <w:rPr>
          <w:rFonts w:hint="eastAsia" w:ascii="仿宋_GB2312" w:hAnsi="ˎ̥" w:eastAsia="仿宋_GB2312"/>
          <w:color w:val="auto"/>
          <w:sz w:val="32"/>
          <w:szCs w:val="32"/>
        </w:rPr>
        <w:t>财政拨款</w:t>
      </w:r>
      <w:r>
        <w:rPr>
          <w:rFonts w:hint="eastAsia" w:ascii="仿宋_GB2312" w:hAnsi="ˎ̥" w:eastAsia="仿宋_GB2312"/>
          <w:color w:val="auto"/>
          <w:sz w:val="32"/>
          <w:szCs w:val="32"/>
          <w:lang w:eastAsia="zh-CN"/>
        </w:rPr>
        <w:t>项目减少，二是部分项目资金未能及时支出被回收</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 xml:space="preserve">  </w:t>
      </w:r>
    </w:p>
    <w:p w14:paraId="4F7E1791">
      <w:pPr>
        <w:spacing w:line="578" w:lineRule="exact"/>
        <w:ind w:firstLine="640" w:firstLineChars="200"/>
        <w:jc w:val="left"/>
        <w:rPr>
          <w:rFonts w:hint="eastAsia" w:ascii="仿宋" w:hAnsi="仿宋" w:eastAsia="仿宋" w:cs="仿宋"/>
          <w:color w:val="auto"/>
          <w:sz w:val="32"/>
          <w:szCs w:val="32"/>
        </w:rPr>
      </w:pPr>
      <w:r>
        <w:rPr>
          <w:rFonts w:hint="eastAsia" w:ascii="仿宋_GB2312" w:hAnsi="ˎ̥" w:eastAsia="仿宋_GB2312"/>
          <w:color w:val="auto"/>
          <w:sz w:val="32"/>
          <w:szCs w:val="32"/>
        </w:rPr>
        <w:t>财政拨款年初结转结余</w:t>
      </w:r>
      <w:r>
        <w:rPr>
          <w:rFonts w:ascii="仿宋_GB2312" w:hAnsi="ˎ̥" w:eastAsia="仿宋_GB2312"/>
          <w:color w:val="auto"/>
          <w:sz w:val="32"/>
          <w:szCs w:val="32"/>
        </w:rPr>
        <w:t>0.00</w:t>
      </w:r>
      <w:r>
        <w:rPr>
          <w:rFonts w:hint="eastAsia" w:ascii="仿宋_GB2312" w:hAnsi="ˎ̥" w:eastAsia="仿宋_GB2312"/>
          <w:color w:val="auto"/>
          <w:sz w:val="32"/>
          <w:szCs w:val="32"/>
        </w:rPr>
        <w:t>万元，主要是无财政拨款年初结转结余（简要说明结转结余形成或来源），较</w:t>
      </w:r>
      <w:r>
        <w:rPr>
          <w:rFonts w:ascii="仿宋_GB2312" w:hAnsi="ˎ̥" w:eastAsia="仿宋_GB2312"/>
          <w:color w:val="auto"/>
          <w:sz w:val="32"/>
          <w:szCs w:val="32"/>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w:t>
      </w:r>
      <w:r>
        <w:rPr>
          <w:rFonts w:hint="eastAsia" w:ascii="仿宋" w:hAnsi="仿宋" w:eastAsia="仿宋" w:cs="仿宋"/>
          <w:color w:val="auto"/>
          <w:sz w:val="32"/>
          <w:szCs w:val="32"/>
        </w:rPr>
        <w:t>是</w:t>
      </w:r>
      <w:r>
        <w:rPr>
          <w:rFonts w:hint="eastAsia" w:ascii="仿宋" w:hAnsi="仿宋" w:eastAsia="仿宋" w:cs="仿宋"/>
          <w:color w:val="auto"/>
          <w:sz w:val="32"/>
          <w:szCs w:val="32"/>
          <w:shd w:val="clear" w:fill="FFFFFF"/>
          <w:lang w:val="en-US"/>
        </w:rPr>
        <w:t>202</w:t>
      </w:r>
      <w:r>
        <w:rPr>
          <w:rFonts w:hint="eastAsia" w:ascii="仿宋" w:hAnsi="仿宋" w:eastAsia="仿宋" w:cs="仿宋"/>
          <w:color w:val="auto"/>
          <w:sz w:val="32"/>
          <w:szCs w:val="32"/>
          <w:shd w:val="clear" w:fill="FFFFFF"/>
          <w:lang w:val="en-US" w:eastAsia="zh-CN"/>
        </w:rPr>
        <w:t>3</w:t>
      </w:r>
      <w:r>
        <w:rPr>
          <w:rFonts w:hint="eastAsia" w:ascii="仿宋" w:hAnsi="仿宋" w:eastAsia="仿宋" w:cs="仿宋"/>
          <w:color w:val="auto"/>
          <w:sz w:val="32"/>
          <w:szCs w:val="32"/>
          <w:shd w:val="clear" w:fill="FFFFFF"/>
          <w:lang w:eastAsia="zh-CN"/>
        </w:rPr>
        <w:t>年</w:t>
      </w:r>
      <w:r>
        <w:rPr>
          <w:rFonts w:hint="eastAsia" w:ascii="仿宋" w:hAnsi="仿宋" w:eastAsia="仿宋" w:cs="仿宋"/>
          <w:color w:val="auto"/>
          <w:sz w:val="32"/>
          <w:szCs w:val="32"/>
          <w:shd w:val="clear" w:fill="FFFFFF"/>
          <w:lang w:val="en-US"/>
        </w:rPr>
        <w:t>202</w:t>
      </w:r>
      <w:r>
        <w:rPr>
          <w:rFonts w:hint="eastAsia" w:ascii="仿宋" w:hAnsi="仿宋" w:eastAsia="仿宋" w:cs="仿宋"/>
          <w:color w:val="auto"/>
          <w:sz w:val="32"/>
          <w:szCs w:val="32"/>
          <w:shd w:val="clear" w:fill="FFFFFF"/>
          <w:lang w:val="en-US" w:eastAsia="zh-CN"/>
        </w:rPr>
        <w:t>4</w:t>
      </w:r>
      <w:r>
        <w:rPr>
          <w:rFonts w:hint="eastAsia" w:ascii="仿宋" w:hAnsi="仿宋" w:eastAsia="仿宋" w:cs="仿宋"/>
          <w:color w:val="auto"/>
          <w:sz w:val="32"/>
          <w:szCs w:val="32"/>
          <w:shd w:val="clear" w:fill="FFFFFF"/>
          <w:lang w:eastAsia="zh-CN"/>
        </w:rPr>
        <w:t>年初均无结余结转</w:t>
      </w:r>
      <w:r>
        <w:rPr>
          <w:rFonts w:hint="eastAsia" w:ascii="仿宋" w:hAnsi="仿宋" w:eastAsia="仿宋" w:cs="仿宋"/>
          <w:color w:val="auto"/>
          <w:sz w:val="32"/>
          <w:szCs w:val="32"/>
        </w:rPr>
        <w:t>。</w:t>
      </w:r>
    </w:p>
    <w:p w14:paraId="0B3CA7DE">
      <w:pPr>
        <w:spacing w:line="578" w:lineRule="exact"/>
        <w:ind w:firstLine="640" w:firstLineChars="200"/>
        <w:jc w:val="left"/>
        <w:rPr>
          <w:rFonts w:hint="eastAsia" w:ascii="仿宋" w:hAnsi="仿宋" w:eastAsia="仿宋" w:cs="仿宋"/>
          <w:color w:val="auto"/>
          <w:sz w:val="32"/>
          <w:szCs w:val="32"/>
        </w:rPr>
      </w:pPr>
      <w:r>
        <w:rPr>
          <w:rFonts w:hint="eastAsia" w:ascii="仿宋_GB2312" w:hAnsi="ˎ̥" w:eastAsia="仿宋_GB2312"/>
          <w:color w:val="auto"/>
          <w:sz w:val="32"/>
          <w:szCs w:val="32"/>
        </w:rPr>
        <w:t>财政拨款年末结转结余</w:t>
      </w:r>
      <w:r>
        <w:rPr>
          <w:rFonts w:ascii="仿宋_GB2312" w:hAnsi="ˎ̥" w:eastAsia="仿宋_GB2312"/>
          <w:color w:val="auto"/>
          <w:sz w:val="32"/>
          <w:szCs w:val="32"/>
        </w:rPr>
        <w:t>0.00</w:t>
      </w:r>
      <w:r>
        <w:rPr>
          <w:rFonts w:hint="eastAsia" w:ascii="仿宋_GB2312" w:hAnsi="ˎ̥" w:eastAsia="仿宋_GB2312"/>
          <w:color w:val="auto"/>
          <w:sz w:val="32"/>
          <w:szCs w:val="32"/>
        </w:rPr>
        <w:t>万元，主要是</w:t>
      </w:r>
      <w:bookmarkStart w:id="122" w:name="_GoBack"/>
      <w:bookmarkEnd w:id="122"/>
      <w:r>
        <w:rPr>
          <w:rFonts w:hint="eastAsia" w:ascii="仿宋_GB2312" w:hAnsi="ˎ̥" w:eastAsia="仿宋_GB2312"/>
          <w:color w:val="auto"/>
          <w:sz w:val="32"/>
          <w:szCs w:val="32"/>
        </w:rPr>
        <w:t>无财政拨款年末结转结余（简要说明结转结余的</w:t>
      </w:r>
      <w:r>
        <w:rPr>
          <w:rFonts w:ascii="仿宋_GB2312" w:hAnsi="ˎ̥" w:eastAsia="仿宋_GB2312"/>
          <w:color w:val="auto"/>
          <w:sz w:val="32"/>
          <w:szCs w:val="32"/>
        </w:rPr>
        <w:t>构成</w:t>
      </w:r>
      <w:r>
        <w:rPr>
          <w:rFonts w:hint="eastAsia" w:ascii="仿宋_GB2312" w:hAnsi="ˎ̥" w:eastAsia="仿宋_GB2312"/>
          <w:color w:val="auto"/>
          <w:sz w:val="32"/>
          <w:szCs w:val="32"/>
        </w:rPr>
        <w:t>），较</w:t>
      </w:r>
      <w:r>
        <w:rPr>
          <w:rFonts w:ascii="仿宋_GB2312" w:hAnsi="ˎ̥" w:eastAsia="仿宋_GB2312"/>
          <w:color w:val="auto"/>
          <w:sz w:val="32"/>
          <w:szCs w:val="32"/>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 w:hAnsi="仿宋" w:eastAsia="仿宋" w:cs="仿宋"/>
          <w:color w:val="auto"/>
          <w:sz w:val="32"/>
          <w:szCs w:val="32"/>
          <w:shd w:val="clear" w:fill="FFFFFF"/>
          <w:lang w:val="en-US"/>
        </w:rPr>
        <w:t>202</w:t>
      </w:r>
      <w:r>
        <w:rPr>
          <w:rFonts w:hint="eastAsia" w:ascii="仿宋" w:hAnsi="仿宋" w:eastAsia="仿宋" w:cs="仿宋"/>
          <w:color w:val="auto"/>
          <w:sz w:val="32"/>
          <w:szCs w:val="32"/>
          <w:shd w:val="clear" w:fill="FFFFFF"/>
          <w:lang w:val="en-US" w:eastAsia="zh-CN"/>
        </w:rPr>
        <w:t>3</w:t>
      </w:r>
      <w:r>
        <w:rPr>
          <w:rFonts w:hint="eastAsia" w:ascii="仿宋" w:hAnsi="仿宋" w:eastAsia="仿宋" w:cs="仿宋"/>
          <w:color w:val="auto"/>
          <w:sz w:val="32"/>
          <w:szCs w:val="32"/>
          <w:shd w:val="clear" w:fill="FFFFFF"/>
          <w:lang w:eastAsia="zh-CN"/>
        </w:rPr>
        <w:t>年</w:t>
      </w:r>
      <w:r>
        <w:rPr>
          <w:rFonts w:hint="eastAsia" w:ascii="仿宋" w:hAnsi="仿宋" w:eastAsia="仿宋" w:cs="仿宋"/>
          <w:color w:val="auto"/>
          <w:sz w:val="32"/>
          <w:szCs w:val="32"/>
          <w:shd w:val="clear" w:fill="FFFFFF"/>
          <w:lang w:val="en-US"/>
        </w:rPr>
        <w:t>202</w:t>
      </w:r>
      <w:r>
        <w:rPr>
          <w:rFonts w:hint="eastAsia" w:ascii="仿宋" w:hAnsi="仿宋" w:eastAsia="仿宋" w:cs="仿宋"/>
          <w:color w:val="auto"/>
          <w:sz w:val="32"/>
          <w:szCs w:val="32"/>
          <w:shd w:val="clear" w:fill="FFFFFF"/>
          <w:lang w:val="en-US" w:eastAsia="zh-CN"/>
        </w:rPr>
        <w:t>4</w:t>
      </w:r>
      <w:r>
        <w:rPr>
          <w:rFonts w:hint="eastAsia" w:ascii="仿宋" w:hAnsi="仿宋" w:eastAsia="仿宋" w:cs="仿宋"/>
          <w:color w:val="auto"/>
          <w:sz w:val="32"/>
          <w:szCs w:val="32"/>
          <w:shd w:val="clear" w:fill="FFFFFF"/>
          <w:lang w:eastAsia="zh-CN"/>
        </w:rPr>
        <w:t>均无年末结余结转</w:t>
      </w:r>
      <w:r>
        <w:rPr>
          <w:rFonts w:hint="eastAsia" w:ascii="仿宋" w:hAnsi="仿宋" w:eastAsia="仿宋" w:cs="仿宋"/>
          <w:color w:val="auto"/>
          <w:sz w:val="32"/>
          <w:szCs w:val="32"/>
        </w:rPr>
        <w:t>。</w:t>
      </w:r>
    </w:p>
    <w:p w14:paraId="648CFD6E">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：2024</w:t>
      </w:r>
      <w:r>
        <w:rPr>
          <w:rFonts w:hint="eastAsia" w:ascii="仿宋_GB2312" w:hAnsi="ˎ̥" w:eastAsia="仿宋_GB2312"/>
          <w:sz w:val="32"/>
          <w:szCs w:val="32"/>
        </w:rPr>
        <w:t>年度决算相关数据可取自财决公开04表。</w:t>
      </w:r>
      <w:r>
        <w:rPr>
          <w:rFonts w:ascii="仿宋_GB2312" w:hAnsi="ˎ̥" w:eastAsia="仿宋_GB2312"/>
          <w:sz w:val="32"/>
          <w:szCs w:val="32"/>
        </w:rPr>
        <w:t>2023</w:t>
      </w:r>
      <w:r>
        <w:rPr>
          <w:rFonts w:hint="eastAsia" w:ascii="仿宋_GB2312" w:hAnsi="ˎ̥" w:eastAsia="仿宋_GB2312"/>
          <w:sz w:val="32"/>
          <w:szCs w:val="32"/>
        </w:rPr>
        <w:t>年度决算相关数据可取自</w:t>
      </w:r>
      <w:r>
        <w:rPr>
          <w:rFonts w:ascii="仿宋_GB2312" w:hAnsi="ˎ̥" w:eastAsia="仿宋_GB2312"/>
          <w:sz w:val="32"/>
          <w:szCs w:val="32"/>
        </w:rPr>
        <w:t>2023</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决算报表财决01-1表《财政拨款收入支出决算总表》。）</w:t>
      </w:r>
    </w:p>
    <w:p w14:paraId="0859D4AE">
      <w:pPr>
        <w:spacing w:line="578" w:lineRule="exact"/>
        <w:ind w:firstLine="627" w:firstLineChars="196"/>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14:paraId="22CD0009">
      <w:pPr>
        <w:spacing w:line="578" w:lineRule="exact"/>
        <w:ind w:firstLine="640" w:firstLineChars="200"/>
        <w:rPr>
          <w:rFonts w:hint="eastAsia" w:ascii="楷体" w:hAnsi="楷体" w:eastAsia="楷体" w:cs="楷体"/>
          <w:sz w:val="32"/>
          <w:szCs w:val="32"/>
        </w:rPr>
      </w:pPr>
      <w:bookmarkStart w:id="79" w:name="_Toc19665_WPSOffice_Level2"/>
      <w:bookmarkStart w:id="80" w:name="_Toc23005_WPSOffice_Level2"/>
      <w:bookmarkStart w:id="81" w:name="_Toc21737_WPSOffice_Level2"/>
      <w:bookmarkStart w:id="82" w:name="_Toc17398_WPSOffice_Level2"/>
      <w:bookmarkStart w:id="83" w:name="_Toc9989_WPSOffice_Level2"/>
      <w:bookmarkStart w:id="84" w:name="_Toc13694_WPSOffice_Level2"/>
      <w:r>
        <w:rPr>
          <w:rFonts w:hint="eastAsia" w:ascii="楷体" w:hAnsi="楷体" w:eastAsia="楷体" w:cs="楷体"/>
          <w:sz w:val="32"/>
          <w:szCs w:val="32"/>
        </w:rPr>
        <w:t>（一）一般公共预算财政拨款支出决算总体情况</w:t>
      </w:r>
      <w:bookmarkEnd w:id="79"/>
      <w:bookmarkEnd w:id="80"/>
      <w:bookmarkEnd w:id="81"/>
      <w:bookmarkEnd w:id="82"/>
      <w:bookmarkEnd w:id="83"/>
      <w:bookmarkEnd w:id="84"/>
    </w:p>
    <w:p w14:paraId="022B6A03">
      <w:pPr>
        <w:spacing w:line="578" w:lineRule="exact"/>
        <w:ind w:firstLine="640" w:firstLineChars="200"/>
        <w:rPr>
          <w:rFonts w:hint="eastAsia" w:ascii="仿宋_GB2312" w:hAnsi="ˎ̥" w:eastAsia="仿宋_GB2312"/>
          <w:color w:val="auto"/>
          <w:sz w:val="32"/>
          <w:szCs w:val="32"/>
        </w:rPr>
      </w:pPr>
      <w:r>
        <w:rPr>
          <w:rFonts w:ascii="仿宋_GB2312" w:hAnsi="ˎ̥" w:eastAsia="仿宋_GB2312"/>
          <w:color w:val="auto"/>
          <w:sz w:val="32"/>
          <w:szCs w:val="32"/>
        </w:rPr>
        <w:t>2024</w:t>
      </w:r>
      <w:r>
        <w:rPr>
          <w:rFonts w:hint="eastAsia" w:ascii="仿宋_GB2312" w:hAnsi="ˎ̥" w:eastAsia="仿宋_GB2312"/>
          <w:color w:val="auto"/>
          <w:sz w:val="32"/>
          <w:szCs w:val="32"/>
        </w:rPr>
        <w:t>年度一般公共预算财政拨款支出</w:t>
      </w:r>
      <w:r>
        <w:rPr>
          <w:rFonts w:ascii="仿宋_GB2312" w:hAnsi="ˎ̥" w:eastAsia="仿宋_GB2312"/>
          <w:color w:val="auto"/>
          <w:sz w:val="32"/>
          <w:szCs w:val="32"/>
        </w:rPr>
        <w:t>2,576.43</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92.56</w:t>
      </w:r>
      <w:r>
        <w:rPr>
          <w:rFonts w:hint="eastAsia" w:ascii="仿宋_GB2312" w:hAnsi="ˎ̥" w:eastAsia="仿宋_GB2312"/>
          <w:color w:val="auto"/>
          <w:sz w:val="32"/>
          <w:szCs w:val="32"/>
        </w:rPr>
        <w:t>%。与</w:t>
      </w:r>
      <w:r>
        <w:rPr>
          <w:rFonts w:ascii="仿宋_GB2312" w:hAnsi="ˎ̥" w:eastAsia="仿宋_GB2312"/>
          <w:color w:val="auto"/>
          <w:sz w:val="32"/>
          <w:szCs w:val="32"/>
        </w:rPr>
        <w:t>2023</w:t>
      </w:r>
      <w:r>
        <w:rPr>
          <w:rFonts w:hint="eastAsia" w:ascii="仿宋_GB2312" w:hAnsi="ˎ̥" w:eastAsia="仿宋_GB2312"/>
          <w:color w:val="auto"/>
          <w:sz w:val="32"/>
          <w:szCs w:val="32"/>
        </w:rPr>
        <w:t>年度相比，一般公共预算财政拨款支出减少</w:t>
      </w:r>
      <w:r>
        <w:rPr>
          <w:rFonts w:hint="eastAsia" w:ascii="仿宋_GB2312" w:hAnsi="ˎ̥" w:eastAsia="仿宋_GB2312"/>
          <w:color w:val="auto"/>
          <w:sz w:val="32"/>
          <w:szCs w:val="32"/>
          <w:lang w:val="en-US" w:eastAsia="zh-CN"/>
        </w:rPr>
        <w:t>37.46</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1.43</w:t>
      </w:r>
      <w:r>
        <w:rPr>
          <w:rFonts w:hint="eastAsia" w:ascii="仿宋_GB2312" w:hAnsi="ˎ̥" w:eastAsia="仿宋_GB2312"/>
          <w:color w:val="auto"/>
          <w:sz w:val="32"/>
          <w:szCs w:val="32"/>
        </w:rPr>
        <w:t>%，主要原因是财政拨款项目减少，</w:t>
      </w:r>
      <w:r>
        <w:rPr>
          <w:rFonts w:hint="eastAsia" w:ascii="仿宋_GB2312" w:hAnsi="ˎ̥" w:eastAsia="仿宋_GB2312"/>
          <w:color w:val="auto"/>
          <w:sz w:val="32"/>
          <w:szCs w:val="32"/>
          <w:lang w:eastAsia="zh-CN"/>
        </w:rPr>
        <w:t>以及</w:t>
      </w:r>
      <w:r>
        <w:rPr>
          <w:rFonts w:hint="eastAsia" w:ascii="仿宋_GB2312" w:hAnsi="ˎ̥" w:eastAsia="仿宋_GB2312"/>
          <w:color w:val="auto"/>
          <w:sz w:val="32"/>
          <w:szCs w:val="32"/>
        </w:rPr>
        <w:t>部分项目资金未能及时支出被回收。</w:t>
      </w:r>
    </w:p>
    <w:p w14:paraId="23B404FD">
      <w:pPr>
        <w:spacing w:line="578" w:lineRule="exact"/>
        <w:ind w:firstLine="640" w:firstLineChars="200"/>
        <w:rPr>
          <w:rFonts w:hint="eastAsia" w:ascii="楷体" w:hAnsi="楷体" w:eastAsia="楷体" w:cs="楷体"/>
          <w:sz w:val="32"/>
          <w:szCs w:val="32"/>
        </w:rPr>
      </w:pPr>
      <w:bookmarkStart w:id="85" w:name="_Toc19535_WPSOffice_Level2"/>
      <w:bookmarkStart w:id="86" w:name="_Toc2711_WPSOffice_Level2"/>
      <w:bookmarkStart w:id="87" w:name="_Toc23864_WPSOffice_Level2"/>
      <w:bookmarkStart w:id="88" w:name="_Toc27767_WPSOffice_Level2"/>
      <w:bookmarkStart w:id="89" w:name="_Toc19075_WPSOffice_Level2"/>
      <w:bookmarkStart w:id="90" w:name="_Toc18793_WPSOffice_Level2"/>
      <w:r>
        <w:rPr>
          <w:rFonts w:hint="eastAsia" w:ascii="楷体" w:hAnsi="楷体" w:eastAsia="楷体" w:cs="楷体"/>
          <w:sz w:val="32"/>
          <w:szCs w:val="32"/>
        </w:rPr>
        <w:t>（二）一般公共预算财政拨款支出决算结构情况</w:t>
      </w:r>
      <w:bookmarkEnd w:id="85"/>
      <w:bookmarkEnd w:id="86"/>
      <w:bookmarkEnd w:id="87"/>
      <w:bookmarkEnd w:id="88"/>
      <w:bookmarkEnd w:id="89"/>
      <w:bookmarkEnd w:id="90"/>
    </w:p>
    <w:p w14:paraId="3A503040">
      <w:pPr>
        <w:spacing w:line="578" w:lineRule="exact"/>
        <w:ind w:firstLine="640" w:firstLineChars="200"/>
        <w:rPr>
          <w:rFonts w:hint="eastAsia" w:ascii="仿宋_GB2312" w:hAnsi="ˎ̥" w:eastAsia="仿宋_GB2312"/>
          <w:color w:val="auto"/>
          <w:sz w:val="32"/>
          <w:szCs w:val="32"/>
        </w:rPr>
      </w:pPr>
      <w:r>
        <w:rPr>
          <w:rFonts w:ascii="仿宋_GB2312" w:hAnsi="ˎ̥" w:eastAsia="仿宋_GB2312"/>
          <w:color w:val="auto"/>
          <w:sz w:val="32"/>
          <w:szCs w:val="32"/>
        </w:rPr>
        <w:t>2024</w:t>
      </w:r>
      <w:r>
        <w:rPr>
          <w:rFonts w:hint="eastAsia" w:ascii="仿宋_GB2312" w:hAnsi="ˎ̥" w:eastAsia="仿宋_GB2312"/>
          <w:color w:val="auto"/>
          <w:sz w:val="32"/>
          <w:szCs w:val="32"/>
        </w:rPr>
        <w:t>年度一般公共预算财政拨款支出</w:t>
      </w:r>
      <w:r>
        <w:rPr>
          <w:rFonts w:ascii="仿宋_GB2312" w:hAnsi="ˎ̥" w:eastAsia="仿宋_GB2312"/>
          <w:color w:val="auto"/>
          <w:sz w:val="32"/>
          <w:szCs w:val="32"/>
        </w:rPr>
        <w:t>2,576.43</w:t>
      </w:r>
      <w:r>
        <w:rPr>
          <w:rFonts w:hint="eastAsia" w:ascii="仿宋_GB2312" w:hAnsi="ˎ̥" w:eastAsia="仿宋_GB2312"/>
          <w:color w:val="auto"/>
          <w:sz w:val="32"/>
          <w:szCs w:val="32"/>
        </w:rPr>
        <w:t>万元，主要用于以下方面：</w:t>
      </w:r>
      <w:r>
        <w:rPr>
          <w:rFonts w:hint="eastAsia" w:ascii="仿宋_GB2312" w:hAnsi="ˎ̥" w:eastAsia="仿宋_GB2312"/>
          <w:b/>
          <w:color w:val="auto"/>
          <w:sz w:val="32"/>
          <w:szCs w:val="32"/>
        </w:rPr>
        <w:t>一般公共服务（类）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b/>
          <w:bCs/>
          <w:color w:val="auto"/>
          <w:sz w:val="32"/>
          <w:szCs w:val="32"/>
        </w:rPr>
        <w:t>教育（类）</w:t>
      </w:r>
      <w:r>
        <w:rPr>
          <w:rFonts w:hint="eastAsia" w:ascii="仿宋_GB2312" w:hAnsi="ˎ̥" w:eastAsia="仿宋_GB2312"/>
          <w:color w:val="auto"/>
          <w:sz w:val="32"/>
          <w:szCs w:val="32"/>
        </w:rPr>
        <w:t>支出1,932.92万元，占</w:t>
      </w:r>
      <w:r>
        <w:rPr>
          <w:rFonts w:hint="eastAsia" w:ascii="仿宋_GB2312" w:hAnsi="ˎ̥" w:eastAsia="仿宋_GB2312"/>
          <w:color w:val="auto"/>
          <w:sz w:val="32"/>
          <w:szCs w:val="32"/>
          <w:lang w:val="en-US" w:eastAsia="zh-CN"/>
        </w:rPr>
        <w:t>75.02</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支出277.08万元，占</w:t>
      </w:r>
      <w:r>
        <w:rPr>
          <w:rFonts w:hint="eastAsia" w:ascii="仿宋_GB2312" w:hAnsi="ˎ̥" w:eastAsia="仿宋_GB2312"/>
          <w:color w:val="auto"/>
          <w:sz w:val="32"/>
          <w:szCs w:val="32"/>
          <w:lang w:val="en-US" w:eastAsia="zh-CN"/>
        </w:rPr>
        <w:t>10.75</w:t>
      </w:r>
      <w:r>
        <w:rPr>
          <w:rFonts w:hint="eastAsia" w:ascii="仿宋_GB2312" w:hAnsi="ˎ̥" w:eastAsia="仿宋_GB2312"/>
          <w:color w:val="auto"/>
          <w:sz w:val="32"/>
          <w:szCs w:val="32"/>
        </w:rPr>
        <w:t>%；</w:t>
      </w:r>
      <w:r>
        <w:rPr>
          <w:b/>
          <w:bCs/>
          <w:color w:val="auto"/>
          <w:sz w:val="32"/>
          <w:szCs w:val="32"/>
          <w:shd w:val="clear" w:fill="FFFFFF"/>
          <w:lang w:eastAsia="zh-CN"/>
        </w:rPr>
        <w:t>卫生健康（类）</w:t>
      </w:r>
      <w:r>
        <w:rPr>
          <w:color w:val="auto"/>
          <w:sz w:val="32"/>
          <w:szCs w:val="32"/>
          <w:shd w:val="clear" w:fill="FFFFFF"/>
          <w:lang w:eastAsia="zh-CN"/>
        </w:rPr>
        <w:t>支出</w:t>
      </w:r>
      <w:r>
        <w:rPr>
          <w:rFonts w:hint="eastAsia" w:ascii="仿宋_GB2312" w:hAnsi="ˎ̥" w:eastAsia="仿宋_GB2312" w:cs="仿宋_GB2312"/>
          <w:color w:val="auto"/>
          <w:sz w:val="32"/>
          <w:szCs w:val="32"/>
          <w:shd w:val="clear" w:fill="FFFFFF"/>
          <w:lang w:val="en-US"/>
        </w:rPr>
        <w:t>230.01</w:t>
      </w:r>
      <w:r>
        <w:rPr>
          <w:color w:val="auto"/>
          <w:sz w:val="32"/>
          <w:szCs w:val="32"/>
          <w:shd w:val="clear" w:fill="FFFFFF"/>
          <w:lang w:eastAsia="zh-CN"/>
        </w:rPr>
        <w:t>万元，占</w:t>
      </w:r>
      <w:r>
        <w:rPr>
          <w:rFonts w:hint="eastAsia" w:ascii="仿宋_GB2312" w:hAnsi="ˎ̥" w:eastAsia="仿宋_GB2312" w:cs="仿宋_GB2312"/>
          <w:color w:val="auto"/>
          <w:sz w:val="32"/>
          <w:szCs w:val="32"/>
          <w:shd w:val="clear" w:fill="FFFFFF"/>
          <w:lang w:val="en-US"/>
        </w:rPr>
        <w:t>8.</w:t>
      </w:r>
      <w:r>
        <w:rPr>
          <w:rFonts w:hint="eastAsia" w:ascii="仿宋_GB2312" w:hAnsi="ˎ̥" w:eastAsia="仿宋_GB2312" w:cs="仿宋_GB2312"/>
          <w:color w:val="auto"/>
          <w:sz w:val="32"/>
          <w:szCs w:val="32"/>
          <w:shd w:val="clear" w:fill="FFFFFF"/>
          <w:lang w:val="en-US" w:eastAsia="zh-CN"/>
        </w:rPr>
        <w:t>93</w:t>
      </w:r>
      <w:r>
        <w:rPr>
          <w:rFonts w:hint="eastAsia" w:ascii="仿宋_GB2312" w:hAnsi="ˎ̥" w:eastAsia="仿宋_GB2312" w:cs="仿宋_GB2312"/>
          <w:color w:val="auto"/>
          <w:sz w:val="32"/>
          <w:szCs w:val="32"/>
          <w:shd w:val="clear" w:fill="FFFFFF"/>
          <w:lang w:val="en-US"/>
        </w:rPr>
        <w:t>%</w:t>
      </w:r>
      <w:r>
        <w:rPr>
          <w:color w:val="auto"/>
          <w:sz w:val="32"/>
          <w:szCs w:val="32"/>
          <w:shd w:val="clear" w:fill="FFFFFF"/>
          <w:lang w:eastAsia="zh-CN"/>
        </w:rPr>
        <w:t>；</w:t>
      </w: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支出136.42万元，占</w:t>
      </w:r>
      <w:r>
        <w:rPr>
          <w:rFonts w:hint="eastAsia" w:ascii="仿宋_GB2312" w:hAnsi="ˎ̥" w:eastAsia="仿宋_GB2312"/>
          <w:color w:val="auto"/>
          <w:sz w:val="32"/>
          <w:szCs w:val="32"/>
          <w:lang w:val="en-US" w:eastAsia="zh-CN"/>
        </w:rPr>
        <w:t>5.29</w:t>
      </w:r>
      <w:r>
        <w:rPr>
          <w:rFonts w:hint="eastAsia" w:ascii="仿宋_GB2312" w:hAnsi="ˎ̥" w:eastAsia="仿宋_GB2312"/>
          <w:color w:val="auto"/>
          <w:sz w:val="32"/>
          <w:szCs w:val="32"/>
        </w:rPr>
        <w:t>%。</w:t>
      </w:r>
    </w:p>
    <w:p w14:paraId="2EF56C3A">
      <w:pPr>
        <w:spacing w:line="578" w:lineRule="exact"/>
        <w:ind w:firstLine="640" w:firstLineChars="200"/>
        <w:rPr>
          <w:rFonts w:hint="eastAsia" w:ascii="仿宋_GB2312" w:hAnsi="ˎ̥" w:eastAsia="仿宋_GB2312"/>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w:t>
      </w:r>
      <w:r>
        <w:rPr>
          <w:rFonts w:hint="eastAsia" w:ascii="仿宋_GB2312" w:hAnsi="ˎ̥" w:eastAsia="仿宋_GB2312"/>
          <w:sz w:val="32"/>
          <w:szCs w:val="32"/>
        </w:rPr>
        <w:t>类级科目填列。）</w:t>
      </w:r>
    </w:p>
    <w:p w14:paraId="7213A0B3">
      <w:pPr>
        <w:spacing w:line="578" w:lineRule="exact"/>
        <w:ind w:firstLine="640" w:firstLineChars="200"/>
        <w:rPr>
          <w:rFonts w:hint="eastAsia" w:ascii="楷体" w:hAnsi="楷体" w:eastAsia="楷体" w:cs="楷体"/>
          <w:sz w:val="32"/>
          <w:szCs w:val="32"/>
        </w:rPr>
      </w:pPr>
      <w:bookmarkStart w:id="91" w:name="_Toc25136_WPSOffice_Level2"/>
      <w:bookmarkStart w:id="92" w:name="_Toc21701_WPSOffice_Level2"/>
      <w:bookmarkStart w:id="93" w:name="_Toc29364_WPSOffice_Level2"/>
      <w:bookmarkStart w:id="94" w:name="_Toc15415_WPSOffice_Level2"/>
      <w:bookmarkStart w:id="95" w:name="_Toc22318_WPSOffice_Level2"/>
      <w:bookmarkStart w:id="96" w:name="_Toc9502_WPSOffice_Level2"/>
      <w:r>
        <w:rPr>
          <w:rFonts w:hint="eastAsia" w:ascii="楷体" w:hAnsi="楷体" w:eastAsia="楷体" w:cs="楷体"/>
          <w:sz w:val="32"/>
          <w:szCs w:val="32"/>
        </w:rPr>
        <w:t>（三）一般公共预算财政拨款支出决算具体情况</w:t>
      </w:r>
      <w:bookmarkEnd w:id="91"/>
      <w:bookmarkEnd w:id="92"/>
      <w:bookmarkEnd w:id="93"/>
      <w:bookmarkEnd w:id="94"/>
      <w:bookmarkEnd w:id="95"/>
      <w:bookmarkEnd w:id="96"/>
    </w:p>
    <w:p w14:paraId="07FAAC0D">
      <w:pPr>
        <w:spacing w:line="578" w:lineRule="exact"/>
        <w:ind w:firstLine="640" w:firstLineChars="200"/>
        <w:rPr>
          <w:rFonts w:hint="eastAsia" w:ascii="仿宋_GB2312" w:hAnsi="ˎ̥" w:eastAsia="仿宋_GB2312"/>
          <w:color w:val="auto"/>
          <w:sz w:val="32"/>
          <w:szCs w:val="32"/>
        </w:rPr>
      </w:pPr>
      <w:r>
        <w:rPr>
          <w:rFonts w:ascii="仿宋_GB2312" w:hAnsi="ˎ̥" w:eastAsia="仿宋_GB2312"/>
          <w:color w:val="auto"/>
          <w:sz w:val="32"/>
          <w:szCs w:val="32"/>
        </w:rPr>
        <w:t>2024</w:t>
      </w:r>
      <w:r>
        <w:rPr>
          <w:rFonts w:hint="eastAsia" w:ascii="仿宋_GB2312" w:hAnsi="ˎ̥" w:eastAsia="仿宋_GB2312"/>
          <w:color w:val="auto"/>
          <w:sz w:val="32"/>
          <w:szCs w:val="32"/>
        </w:rPr>
        <w:t>年度一般公共预算财政拨款支出年初预算为</w:t>
      </w:r>
      <w:r>
        <w:rPr>
          <w:rFonts w:hint="eastAsia" w:ascii="仿宋_GB2312" w:hAnsi="黑体" w:eastAsia="仿宋_GB2312" w:cs="仿宋_GB2312"/>
          <w:color w:val="auto"/>
          <w:sz w:val="32"/>
          <w:szCs w:val="32"/>
          <w:lang w:val="en-US" w:eastAsia="zh-CN"/>
        </w:rPr>
        <w:t>2，111.26</w:t>
      </w:r>
      <w:r>
        <w:rPr>
          <w:rFonts w:hint="eastAsia" w:ascii="仿宋_GB2312" w:hAnsi="ˎ̥" w:eastAsia="仿宋_GB2312"/>
          <w:color w:val="auto"/>
          <w:sz w:val="32"/>
          <w:szCs w:val="32"/>
        </w:rPr>
        <w:t>万元，支出决算为</w:t>
      </w:r>
      <w:r>
        <w:rPr>
          <w:rFonts w:ascii="仿宋_GB2312" w:hAnsi="ˎ̥" w:eastAsia="仿宋_GB2312"/>
          <w:color w:val="auto"/>
          <w:sz w:val="32"/>
          <w:szCs w:val="32"/>
        </w:rPr>
        <w:t>2,576.43</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,122.03</w:t>
      </w:r>
      <w:r>
        <w:rPr>
          <w:rFonts w:hint="eastAsia" w:ascii="仿宋_GB2312" w:hAnsi="ˎ̥" w:eastAsia="仿宋_GB2312"/>
          <w:color w:val="auto"/>
          <w:sz w:val="32"/>
          <w:szCs w:val="32"/>
        </w:rPr>
        <w:t>%。其中：</w:t>
      </w:r>
    </w:p>
    <w:p w14:paraId="4802C78F">
      <w:pPr>
        <w:spacing w:after="0" w:afterAutospacing="1"/>
        <w:ind w:left="0" w:firstLine="640" w:firstLineChars="200"/>
        <w:rPr>
          <w:rFonts w:hint="eastAsia" w:ascii="仿宋_GB2312" w:hAnsi="ˎ̥" w:eastAsia="仿宋_GB2312" w:cs="仿宋_GB2312"/>
          <w:b/>
          <w:bCs/>
          <w:sz w:val="32"/>
          <w:szCs w:val="32"/>
          <w:shd w:val="clear" w:fill="FFFFFF"/>
          <w:lang w:val="en-US"/>
        </w:rPr>
      </w:pPr>
      <w:r>
        <w:rPr>
          <w:rFonts w:hint="eastAsia" w:ascii="仿宋_GB2312" w:hAnsi="ˎ̥" w:eastAsia="仿宋_GB2312" w:cs="仿宋_GB2312"/>
          <w:color w:val="auto"/>
          <w:sz w:val="32"/>
          <w:szCs w:val="32"/>
          <w:shd w:val="clear" w:fill="FFFFFF"/>
          <w:lang w:val="en-US" w:eastAsia="zh-CN"/>
        </w:rPr>
        <w:t>1</w:t>
      </w:r>
      <w:r>
        <w:rPr>
          <w:rFonts w:hint="eastAsia" w:ascii="仿宋_GB2312" w:hAnsi="ˎ̥" w:eastAsia="仿宋_GB2312" w:cs="仿宋_GB2312"/>
          <w:color w:val="auto"/>
          <w:sz w:val="32"/>
          <w:szCs w:val="32"/>
          <w:shd w:val="clear" w:fill="FFFFFF"/>
          <w:lang w:val="en-US"/>
        </w:rPr>
        <w:t>.</w:t>
      </w:r>
      <w:r>
        <w:rPr>
          <w:rFonts w:ascii="仿宋_GB2312" w:hAnsi="仿宋_GB2312"/>
          <w:b/>
          <w:bCs/>
          <w:color w:val="auto"/>
          <w:sz w:val="32"/>
          <w:szCs w:val="32"/>
          <w:shd w:val="clear" w:fill="FFFFFF"/>
          <w:lang w:eastAsia="zh-CN"/>
        </w:rPr>
        <w:t>教育支出（类）普通教育（款）小学教育（项）。</w:t>
      </w:r>
    </w:p>
    <w:p w14:paraId="4492A2F4">
      <w:pPr>
        <w:spacing w:after="0" w:afterAutospacing="1"/>
        <w:ind w:left="0" w:firstLine="640" w:firstLineChars="200"/>
        <w:rPr>
          <w:rFonts w:hint="eastAsia" w:ascii="仿宋_GB2312" w:hAnsi="ˎ̥" w:eastAsia="仿宋_GB2312" w:cs="仿宋_GB2312"/>
          <w:sz w:val="32"/>
          <w:szCs w:val="32"/>
          <w:shd w:val="clear" w:fill="FFFFFF"/>
          <w:lang w:val="en-US"/>
        </w:rPr>
      </w:pPr>
      <w:r>
        <w:rPr>
          <w:rFonts w:ascii="仿宋_GB2312" w:hAnsi="仿宋_GB2312"/>
          <w:color w:val="auto"/>
          <w:sz w:val="32"/>
          <w:szCs w:val="32"/>
          <w:shd w:val="clear" w:fill="FFFFFF"/>
          <w:lang w:eastAsia="zh-CN"/>
        </w:rPr>
        <w:t>年初预算为</w:t>
      </w:r>
      <w:r>
        <w:rPr>
          <w:rFonts w:hint="eastAsia" w:ascii="仿宋_GB2312" w:hAnsi="仿宋_GB2312"/>
          <w:color w:val="auto"/>
          <w:sz w:val="32"/>
          <w:szCs w:val="32"/>
          <w:shd w:val="clear" w:fill="FFFFFF"/>
          <w:lang w:eastAsia="zh-CN"/>
        </w:rPr>
        <w:t>1,396.75</w:t>
      </w:r>
      <w:r>
        <w:rPr>
          <w:rFonts w:ascii="仿宋_GB2312" w:hAnsi="ˎ̥"/>
          <w:color w:val="auto"/>
          <w:sz w:val="32"/>
          <w:szCs w:val="32"/>
          <w:shd w:val="clear" w:fill="FFFFFF"/>
          <w:lang w:eastAsia="zh-CN"/>
        </w:rPr>
        <w:t>万元，支出决算为</w:t>
      </w:r>
      <w:r>
        <w:rPr>
          <w:rFonts w:hint="eastAsia" w:ascii="仿宋_GB2312" w:hAnsi="ˎ̥"/>
          <w:color w:val="auto"/>
          <w:sz w:val="32"/>
          <w:szCs w:val="32"/>
          <w:shd w:val="clear" w:fill="FFFFFF"/>
          <w:lang w:eastAsia="zh-CN"/>
        </w:rPr>
        <w:t>1,932.92</w:t>
      </w:r>
      <w:r>
        <w:rPr>
          <w:rFonts w:ascii="仿宋_GB2312" w:hAnsi="ˎ̥"/>
          <w:color w:val="auto"/>
          <w:sz w:val="32"/>
          <w:szCs w:val="32"/>
          <w:shd w:val="clear" w:fill="FFFFFF"/>
          <w:lang w:eastAsia="zh-CN"/>
        </w:rPr>
        <w:t>万元，完成年初预算的</w:t>
      </w:r>
      <w:r>
        <w:rPr>
          <w:rFonts w:hint="eastAsia" w:ascii="仿宋_GB2312" w:hAnsi="ˎ̥" w:eastAsia="仿宋_GB2312" w:cs="仿宋_GB2312"/>
          <w:color w:val="auto"/>
          <w:sz w:val="32"/>
          <w:szCs w:val="32"/>
          <w:shd w:val="clear" w:fill="FFFFFF"/>
          <w:lang w:val="en-US"/>
        </w:rPr>
        <w:t>1</w:t>
      </w:r>
      <w:r>
        <w:rPr>
          <w:rFonts w:hint="eastAsia" w:ascii="仿宋_GB2312" w:hAnsi="ˎ̥" w:eastAsia="仿宋_GB2312" w:cs="仿宋_GB2312"/>
          <w:color w:val="auto"/>
          <w:sz w:val="32"/>
          <w:szCs w:val="32"/>
          <w:shd w:val="clear" w:fill="FFFFFF"/>
          <w:lang w:val="en-US" w:eastAsia="zh-CN"/>
        </w:rPr>
        <w:t>38.39</w:t>
      </w:r>
      <w:r>
        <w:rPr>
          <w:rFonts w:hint="eastAsia" w:ascii="仿宋_GB2312" w:hAnsi="ˎ̥" w:eastAsia="仿宋_GB2312" w:cs="仿宋_GB2312"/>
          <w:color w:val="auto"/>
          <w:sz w:val="32"/>
          <w:szCs w:val="32"/>
          <w:shd w:val="clear" w:fill="FFFFFF"/>
          <w:lang w:val="en-US"/>
        </w:rPr>
        <w:t>%</w:t>
      </w:r>
      <w:r>
        <w:rPr>
          <w:rFonts w:ascii="仿宋_GB2312" w:hAnsi="ˎ̥"/>
          <w:color w:val="auto"/>
          <w:sz w:val="32"/>
          <w:szCs w:val="32"/>
          <w:shd w:val="clear" w:fill="FFFFFF"/>
          <w:lang w:eastAsia="zh-CN"/>
        </w:rPr>
        <w:t>。决算数大于预算数的主要原因：</w:t>
      </w:r>
      <w:r>
        <w:rPr>
          <w:rFonts w:hint="eastAsia" w:ascii="仿宋_GB2312" w:hAnsi="ˎ̥"/>
          <w:color w:val="auto"/>
          <w:sz w:val="32"/>
          <w:szCs w:val="32"/>
          <w:shd w:val="clear" w:fill="FFFFFF"/>
          <w:lang w:eastAsia="zh-CN"/>
        </w:rPr>
        <w:t>追加一些项目资金，以及城乡义务补助经费增加</w:t>
      </w:r>
      <w:r>
        <w:rPr>
          <w:rFonts w:ascii="仿宋_GB2312" w:hAnsi="ˎ̥"/>
          <w:color w:val="auto"/>
          <w:sz w:val="32"/>
          <w:szCs w:val="32"/>
          <w:shd w:val="clear" w:fill="FFFFFF"/>
          <w:lang w:eastAsia="zh-CN"/>
        </w:rPr>
        <w:t>等。</w:t>
      </w:r>
    </w:p>
    <w:p w14:paraId="61455328">
      <w:pPr>
        <w:spacing w:after="0" w:afterAutospacing="1"/>
        <w:ind w:left="420" w:leftChars="200"/>
        <w:rPr>
          <w:rFonts w:hint="eastAsia" w:ascii="仿宋_GB2312" w:hAnsi="ˎ̥" w:eastAsia="仿宋_GB2312" w:cs="仿宋_GB2312"/>
          <w:b/>
          <w:bCs/>
          <w:sz w:val="32"/>
          <w:szCs w:val="32"/>
          <w:shd w:val="clear" w:fill="FFFFFF"/>
          <w:lang w:val="en-US"/>
        </w:rPr>
      </w:pPr>
      <w:r>
        <w:rPr>
          <w:rFonts w:hint="eastAsia" w:ascii="仿宋_GB2312" w:hAnsi="ˎ̥" w:eastAsia="仿宋_GB2312" w:cs="仿宋_GB2312"/>
          <w:b/>
          <w:bCs/>
          <w:color w:val="auto"/>
          <w:sz w:val="32"/>
          <w:szCs w:val="32"/>
          <w:shd w:val="clear" w:fill="FFFFFF"/>
          <w:lang w:val="en-US" w:eastAsia="zh-CN"/>
        </w:rPr>
        <w:t>2</w:t>
      </w:r>
      <w:r>
        <w:rPr>
          <w:rFonts w:hint="eastAsia" w:ascii="仿宋_GB2312" w:hAnsi="ˎ̥" w:eastAsia="仿宋_GB2312" w:cs="仿宋_GB2312"/>
          <w:b/>
          <w:bCs/>
          <w:color w:val="auto"/>
          <w:sz w:val="32"/>
          <w:szCs w:val="32"/>
          <w:shd w:val="clear" w:fill="FFFFFF"/>
          <w:lang w:val="en-US"/>
        </w:rPr>
        <w:t>.</w:t>
      </w:r>
      <w:r>
        <w:rPr>
          <w:rFonts w:ascii="仿宋_GB2312" w:hAnsi="ˎ̥"/>
          <w:b/>
          <w:bCs/>
          <w:color w:val="auto"/>
          <w:sz w:val="32"/>
          <w:szCs w:val="32"/>
          <w:shd w:val="clear" w:fill="FFFFFF"/>
          <w:lang w:eastAsia="zh-CN"/>
        </w:rPr>
        <w:t>社会保障和就业支出（类）行政事业单位养老支出（款）机关事业单位基本养老保险缴费支出（项）。</w:t>
      </w:r>
    </w:p>
    <w:p w14:paraId="210C970D">
      <w:pPr>
        <w:spacing w:after="0" w:afterAutospacing="1"/>
        <w:ind w:left="0" w:firstLine="640" w:firstLineChars="200"/>
        <w:rPr>
          <w:rFonts w:hint="eastAsia" w:ascii="仿宋_GB2312" w:hAnsi="ˎ̥" w:eastAsia="仿宋_GB2312" w:cs="仿宋_GB2312"/>
          <w:sz w:val="32"/>
          <w:szCs w:val="32"/>
          <w:shd w:val="clear" w:fill="FFFFFF"/>
          <w:lang w:val="en-US"/>
        </w:rPr>
      </w:pPr>
      <w:r>
        <w:rPr>
          <w:rFonts w:ascii="仿宋_GB2312" w:hAnsi="仿宋_GB2312"/>
          <w:color w:val="auto"/>
          <w:sz w:val="32"/>
          <w:szCs w:val="32"/>
          <w:shd w:val="clear" w:fill="FFFFFF"/>
          <w:lang w:eastAsia="zh-CN"/>
        </w:rPr>
        <w:t>年初预算为</w:t>
      </w:r>
      <w:r>
        <w:rPr>
          <w:rFonts w:hint="eastAsia" w:ascii="仿宋_GB2312" w:hAnsi="ˎ̥" w:eastAsia="仿宋_GB2312" w:cs="仿宋_GB2312"/>
          <w:color w:val="auto"/>
          <w:sz w:val="32"/>
          <w:szCs w:val="32"/>
          <w:shd w:val="clear" w:fill="FFFFFF"/>
          <w:lang w:val="en-US"/>
        </w:rPr>
        <w:t>193.23</w:t>
      </w:r>
      <w:r>
        <w:rPr>
          <w:rFonts w:ascii="仿宋_GB2312" w:hAnsi="ˎ̥"/>
          <w:color w:val="auto"/>
          <w:sz w:val="32"/>
          <w:szCs w:val="32"/>
          <w:shd w:val="clear" w:fill="FFFFFF"/>
          <w:lang w:eastAsia="zh-CN"/>
        </w:rPr>
        <w:t>万元，支出决算为</w:t>
      </w:r>
      <w:r>
        <w:rPr>
          <w:rFonts w:hint="eastAsia" w:ascii="仿宋_GB2312" w:hAnsi="ˎ̥"/>
          <w:color w:val="auto"/>
          <w:sz w:val="32"/>
          <w:szCs w:val="32"/>
          <w:shd w:val="clear" w:fill="FFFFFF"/>
          <w:lang w:eastAsia="zh-CN"/>
        </w:rPr>
        <w:t>166.97</w:t>
      </w:r>
      <w:r>
        <w:rPr>
          <w:rFonts w:ascii="仿宋_GB2312" w:hAnsi="ˎ̥"/>
          <w:color w:val="auto"/>
          <w:sz w:val="32"/>
          <w:szCs w:val="32"/>
          <w:shd w:val="clear" w:fill="FFFFFF"/>
          <w:lang w:eastAsia="zh-CN"/>
        </w:rPr>
        <w:t>万元，完成年初预算的</w:t>
      </w:r>
      <w:r>
        <w:rPr>
          <w:rFonts w:hint="eastAsia" w:ascii="仿宋_GB2312" w:hAnsi="ˎ̥" w:eastAsia="仿宋_GB2312" w:cs="仿宋_GB2312"/>
          <w:color w:val="auto"/>
          <w:sz w:val="32"/>
          <w:szCs w:val="32"/>
          <w:shd w:val="clear" w:fill="FFFFFF"/>
          <w:lang w:val="en-US" w:eastAsia="zh-CN"/>
        </w:rPr>
        <w:t>86.41</w:t>
      </w:r>
      <w:r>
        <w:rPr>
          <w:rFonts w:hint="eastAsia" w:ascii="仿宋_GB2312" w:hAnsi="ˎ̥" w:eastAsia="仿宋_GB2312" w:cs="仿宋_GB2312"/>
          <w:color w:val="auto"/>
          <w:sz w:val="32"/>
          <w:szCs w:val="32"/>
          <w:shd w:val="clear" w:fill="FFFFFF"/>
          <w:lang w:val="en-US"/>
        </w:rPr>
        <w:t>%</w:t>
      </w:r>
      <w:r>
        <w:rPr>
          <w:rFonts w:ascii="仿宋_GB2312" w:hAnsi="ˎ̥"/>
          <w:color w:val="auto"/>
          <w:sz w:val="32"/>
          <w:szCs w:val="32"/>
          <w:shd w:val="clear" w:fill="FFFFFF"/>
          <w:lang w:eastAsia="zh-CN"/>
        </w:rPr>
        <w:t>。决算数大于预算数的主要原因：</w:t>
      </w:r>
      <w:r>
        <w:rPr>
          <w:rFonts w:hint="eastAsia" w:ascii="仿宋_GB2312" w:hAnsi="ˎ̥"/>
          <w:color w:val="auto"/>
          <w:sz w:val="32"/>
          <w:szCs w:val="32"/>
          <w:shd w:val="clear" w:fill="FFFFFF"/>
          <w:lang w:eastAsia="zh-CN"/>
        </w:rPr>
        <w:t>编制预算时测算偏大，</w:t>
      </w:r>
      <w:r>
        <w:rPr>
          <w:rFonts w:ascii="仿宋_GB2312" w:hAnsi="ˎ̥"/>
          <w:color w:val="auto"/>
          <w:sz w:val="32"/>
          <w:szCs w:val="32"/>
          <w:shd w:val="clear" w:fill="FFFFFF"/>
          <w:lang w:eastAsia="zh-CN"/>
        </w:rPr>
        <w:t>教职工</w:t>
      </w:r>
      <w:r>
        <w:rPr>
          <w:rFonts w:hint="eastAsia" w:ascii="仿宋_GB2312" w:hAnsi="ˎ̥"/>
          <w:color w:val="auto"/>
          <w:sz w:val="32"/>
          <w:szCs w:val="32"/>
          <w:shd w:val="clear" w:fill="FFFFFF"/>
          <w:lang w:eastAsia="zh-CN"/>
        </w:rPr>
        <w:t>退休</w:t>
      </w:r>
      <w:r>
        <w:rPr>
          <w:rFonts w:ascii="仿宋_GB2312" w:hAnsi="ˎ̥"/>
          <w:color w:val="auto"/>
          <w:sz w:val="32"/>
          <w:szCs w:val="32"/>
          <w:shd w:val="clear" w:fill="FFFFFF"/>
          <w:lang w:eastAsia="zh-CN"/>
        </w:rPr>
        <w:t>等。</w:t>
      </w:r>
    </w:p>
    <w:p w14:paraId="5BF24583">
      <w:pPr>
        <w:spacing w:after="0" w:afterAutospacing="1"/>
        <w:ind w:left="420" w:leftChars="200"/>
        <w:rPr>
          <w:rFonts w:hint="eastAsia" w:ascii="仿宋_GB2312" w:hAnsi="ˎ̥" w:eastAsia="仿宋_GB2312" w:cs="仿宋_GB2312"/>
          <w:b/>
          <w:bCs/>
          <w:sz w:val="32"/>
          <w:szCs w:val="32"/>
          <w:shd w:val="clear" w:fill="FFFFFF"/>
          <w:lang w:val="en-US"/>
        </w:rPr>
      </w:pPr>
      <w:r>
        <w:rPr>
          <w:rFonts w:hint="eastAsia" w:ascii="仿宋_GB2312" w:hAnsi="ˎ̥" w:eastAsia="仿宋_GB2312" w:cs="仿宋_GB2312"/>
          <w:b/>
          <w:bCs/>
          <w:color w:val="auto"/>
          <w:sz w:val="32"/>
          <w:szCs w:val="32"/>
          <w:shd w:val="clear" w:fill="FFFFFF"/>
          <w:lang w:val="en-US" w:eastAsia="zh-CN"/>
        </w:rPr>
        <w:t>3</w:t>
      </w:r>
      <w:r>
        <w:rPr>
          <w:rFonts w:hint="eastAsia" w:ascii="仿宋_GB2312" w:hAnsi="ˎ̥" w:eastAsia="仿宋_GB2312" w:cs="仿宋_GB2312"/>
          <w:b/>
          <w:bCs/>
          <w:color w:val="auto"/>
          <w:sz w:val="32"/>
          <w:szCs w:val="32"/>
          <w:shd w:val="clear" w:fill="FFFFFF"/>
          <w:lang w:val="en-US"/>
        </w:rPr>
        <w:t>.</w:t>
      </w:r>
      <w:r>
        <w:rPr>
          <w:rFonts w:ascii="仿宋_GB2312" w:hAnsi="ˎ̥"/>
          <w:b/>
          <w:bCs/>
          <w:color w:val="auto"/>
          <w:sz w:val="32"/>
          <w:szCs w:val="32"/>
          <w:shd w:val="clear" w:fill="FFFFFF"/>
          <w:lang w:eastAsia="zh-CN"/>
        </w:rPr>
        <w:t>社会保障和就业支出（类）行政事业单位养老支出（款）机关事业单位</w:t>
      </w:r>
      <w:bookmarkStart w:id="97" w:name="_Hlk179990284"/>
      <w:r>
        <w:rPr>
          <w:rFonts w:ascii="仿宋_GB2312" w:hAnsi="ˎ̥"/>
          <w:b/>
          <w:bCs/>
          <w:color w:val="auto"/>
          <w:sz w:val="32"/>
          <w:szCs w:val="32"/>
          <w:shd w:val="clear" w:fill="FFFFFF"/>
          <w:lang w:eastAsia="zh-CN"/>
        </w:rPr>
        <w:t>职业年金缴费</w:t>
      </w:r>
      <w:bookmarkEnd w:id="97"/>
      <w:r>
        <w:rPr>
          <w:rFonts w:ascii="仿宋_GB2312" w:hAnsi="ˎ̥"/>
          <w:b/>
          <w:bCs/>
          <w:color w:val="auto"/>
          <w:sz w:val="32"/>
          <w:szCs w:val="32"/>
          <w:shd w:val="clear" w:fill="FFFFFF"/>
          <w:lang w:eastAsia="zh-CN"/>
        </w:rPr>
        <w:t>支出（项）。</w:t>
      </w:r>
    </w:p>
    <w:p w14:paraId="342DA8F5">
      <w:pPr>
        <w:spacing w:after="0" w:afterAutospacing="1"/>
        <w:ind w:left="0" w:firstLine="640" w:firstLineChars="200"/>
        <w:rPr>
          <w:rFonts w:hint="eastAsia" w:ascii="仿宋_GB2312" w:hAnsi="ˎ̥" w:eastAsia="仿宋_GB2312" w:cs="仿宋_GB2312"/>
          <w:sz w:val="32"/>
          <w:szCs w:val="32"/>
          <w:shd w:val="clear" w:fill="FFFFFF"/>
          <w:lang w:val="en-US"/>
        </w:rPr>
      </w:pPr>
      <w:r>
        <w:rPr>
          <w:rFonts w:ascii="仿宋_GB2312" w:hAnsi="仿宋_GB2312"/>
          <w:color w:val="auto"/>
          <w:sz w:val="32"/>
          <w:szCs w:val="32"/>
          <w:shd w:val="clear" w:fill="FFFFFF"/>
          <w:lang w:eastAsia="zh-CN"/>
        </w:rPr>
        <w:t>年初预算为</w:t>
      </w:r>
      <w:r>
        <w:rPr>
          <w:rFonts w:hint="eastAsia" w:ascii="仿宋_GB2312" w:hAnsi="ˎ̥" w:eastAsia="仿宋_GB2312" w:cs="仿宋_GB2312"/>
          <w:color w:val="auto"/>
          <w:sz w:val="32"/>
          <w:szCs w:val="32"/>
          <w:shd w:val="clear" w:fill="FFFFFF"/>
          <w:lang w:val="en-US"/>
        </w:rPr>
        <w:t>96.62</w:t>
      </w:r>
      <w:r>
        <w:rPr>
          <w:rFonts w:ascii="仿宋_GB2312" w:hAnsi="ˎ̥"/>
          <w:color w:val="auto"/>
          <w:sz w:val="32"/>
          <w:szCs w:val="32"/>
          <w:shd w:val="clear" w:fill="FFFFFF"/>
          <w:lang w:eastAsia="zh-CN"/>
        </w:rPr>
        <w:t>万元，支出决算为</w:t>
      </w:r>
      <w:r>
        <w:rPr>
          <w:rFonts w:hint="eastAsia" w:ascii="仿宋_GB2312" w:hAnsi="ˎ̥" w:eastAsia="仿宋_GB2312" w:cs="仿宋_GB2312"/>
          <w:color w:val="auto"/>
          <w:sz w:val="32"/>
          <w:szCs w:val="32"/>
          <w:shd w:val="clear" w:fill="FFFFFF"/>
          <w:lang w:val="en-US"/>
        </w:rPr>
        <w:t>106.65</w:t>
      </w:r>
      <w:r>
        <w:rPr>
          <w:rFonts w:ascii="仿宋_GB2312" w:hAnsi="ˎ̥"/>
          <w:color w:val="auto"/>
          <w:sz w:val="32"/>
          <w:szCs w:val="32"/>
          <w:shd w:val="clear" w:fill="FFFFFF"/>
          <w:lang w:eastAsia="zh-CN"/>
        </w:rPr>
        <w:t>万元，完成年初预算的</w:t>
      </w:r>
      <w:r>
        <w:rPr>
          <w:rFonts w:hint="eastAsia" w:ascii="仿宋_GB2312" w:hAnsi="ˎ̥" w:eastAsia="仿宋_GB2312" w:cs="仿宋_GB2312"/>
          <w:color w:val="auto"/>
          <w:sz w:val="32"/>
          <w:szCs w:val="32"/>
          <w:shd w:val="clear" w:fill="FFFFFF"/>
          <w:lang w:val="en-US"/>
        </w:rPr>
        <w:t>1</w:t>
      </w:r>
      <w:r>
        <w:rPr>
          <w:rFonts w:hint="eastAsia" w:ascii="仿宋_GB2312" w:hAnsi="ˎ̥" w:eastAsia="仿宋_GB2312" w:cs="仿宋_GB2312"/>
          <w:color w:val="auto"/>
          <w:sz w:val="32"/>
          <w:szCs w:val="32"/>
          <w:shd w:val="clear" w:fill="FFFFFF"/>
          <w:lang w:val="en-US" w:eastAsia="zh-CN"/>
        </w:rPr>
        <w:t>06.65</w:t>
      </w:r>
      <w:r>
        <w:rPr>
          <w:rFonts w:hint="eastAsia" w:ascii="仿宋_GB2312" w:hAnsi="ˎ̥" w:eastAsia="仿宋_GB2312" w:cs="仿宋_GB2312"/>
          <w:color w:val="auto"/>
          <w:sz w:val="32"/>
          <w:szCs w:val="32"/>
          <w:shd w:val="clear" w:fill="FFFFFF"/>
          <w:lang w:val="en-US"/>
        </w:rPr>
        <w:t>%</w:t>
      </w:r>
      <w:r>
        <w:rPr>
          <w:rFonts w:ascii="仿宋_GB2312" w:hAnsi="ˎ̥"/>
          <w:color w:val="auto"/>
          <w:sz w:val="32"/>
          <w:szCs w:val="32"/>
          <w:shd w:val="clear" w:fill="FFFFFF"/>
          <w:lang w:eastAsia="zh-CN"/>
        </w:rPr>
        <w:t>。决算数大于预算数的主要原因：职业年金缴费增加以及补缴退休人员职业年金。</w:t>
      </w:r>
    </w:p>
    <w:p w14:paraId="4F999596">
      <w:pPr>
        <w:spacing w:after="0" w:afterAutospacing="1"/>
        <w:ind w:left="0" w:firstLine="643" w:firstLineChars="200"/>
        <w:rPr>
          <w:rFonts w:hint="eastAsia" w:ascii="仿宋_GB2312" w:hAnsi="ˎ̥" w:eastAsia="仿宋_GB2312" w:cs="仿宋_GB2312"/>
          <w:b/>
          <w:bCs/>
          <w:sz w:val="32"/>
          <w:szCs w:val="32"/>
          <w:shd w:val="clear" w:fill="FFFFFF"/>
          <w:lang w:val="en-US"/>
        </w:rPr>
      </w:pPr>
      <w:r>
        <w:rPr>
          <w:rFonts w:hint="eastAsia" w:ascii="仿宋_GB2312" w:hAnsi="ˎ̥" w:eastAsia="仿宋_GB2312" w:cs="仿宋_GB2312"/>
          <w:b/>
          <w:bCs/>
          <w:color w:val="auto"/>
          <w:sz w:val="32"/>
          <w:szCs w:val="32"/>
          <w:shd w:val="clear" w:fill="FFFFFF"/>
          <w:lang w:val="en-US" w:eastAsia="zh-CN"/>
        </w:rPr>
        <w:t>4</w:t>
      </w:r>
      <w:r>
        <w:rPr>
          <w:rFonts w:hint="eastAsia" w:ascii="仿宋_GB2312" w:hAnsi="ˎ̥" w:eastAsia="仿宋_GB2312" w:cs="仿宋_GB2312"/>
          <w:b/>
          <w:bCs/>
          <w:color w:val="auto"/>
          <w:sz w:val="32"/>
          <w:szCs w:val="32"/>
          <w:shd w:val="clear" w:fill="FFFFFF"/>
          <w:lang w:val="en-US"/>
        </w:rPr>
        <w:t>.</w:t>
      </w:r>
      <w:r>
        <w:rPr>
          <w:rFonts w:ascii="仿宋_GB2312" w:hAnsi="ˎ̥"/>
          <w:b/>
          <w:bCs/>
          <w:color w:val="auto"/>
          <w:sz w:val="32"/>
          <w:szCs w:val="32"/>
          <w:shd w:val="clear" w:fill="FFFFFF"/>
          <w:lang w:eastAsia="zh-CN"/>
        </w:rPr>
        <w:t>社会保障和就业支出（类）抚恤（款）其他优抚支出（项）。</w:t>
      </w:r>
    </w:p>
    <w:p w14:paraId="2F10E236">
      <w:pPr>
        <w:spacing w:after="0" w:afterAutospacing="1"/>
        <w:ind w:left="0" w:firstLine="640" w:firstLineChars="200"/>
        <w:rPr>
          <w:rFonts w:hint="eastAsia" w:ascii="仿宋_GB2312" w:hAnsi="ˎ̥" w:eastAsia="仿宋_GB2312" w:cs="仿宋_GB2312"/>
          <w:sz w:val="32"/>
          <w:szCs w:val="32"/>
          <w:shd w:val="clear" w:fill="FFFFFF"/>
          <w:lang w:val="en-US"/>
        </w:rPr>
      </w:pPr>
      <w:r>
        <w:rPr>
          <w:rFonts w:ascii="仿宋_GB2312" w:hAnsi="仿宋_GB2312"/>
          <w:color w:val="auto"/>
          <w:sz w:val="32"/>
          <w:szCs w:val="32"/>
          <w:shd w:val="clear" w:fill="FFFFFF"/>
          <w:lang w:eastAsia="zh-CN"/>
        </w:rPr>
        <w:t>年初预算为</w:t>
      </w:r>
      <w:r>
        <w:rPr>
          <w:rFonts w:hint="eastAsia" w:ascii="仿宋_GB2312" w:hAnsi="ˎ̥" w:eastAsia="仿宋_GB2312" w:cs="仿宋_GB2312"/>
          <w:color w:val="auto"/>
          <w:sz w:val="32"/>
          <w:szCs w:val="32"/>
          <w:shd w:val="clear" w:fill="FFFFFF"/>
          <w:lang w:val="en-US"/>
        </w:rPr>
        <w:t>3.53</w:t>
      </w:r>
      <w:r>
        <w:rPr>
          <w:rFonts w:ascii="仿宋_GB2312" w:hAnsi="ˎ̥"/>
          <w:color w:val="auto"/>
          <w:sz w:val="32"/>
          <w:szCs w:val="32"/>
          <w:shd w:val="clear" w:fill="FFFFFF"/>
          <w:lang w:eastAsia="zh-CN"/>
        </w:rPr>
        <w:t>万元，支出决算为</w:t>
      </w:r>
      <w:r>
        <w:rPr>
          <w:rFonts w:hint="eastAsia" w:ascii="仿宋_GB2312" w:hAnsi="ˎ̥" w:eastAsia="仿宋_GB2312" w:cs="仿宋_GB2312"/>
          <w:color w:val="auto"/>
          <w:sz w:val="32"/>
          <w:szCs w:val="32"/>
          <w:shd w:val="clear" w:fill="FFFFFF"/>
          <w:lang w:val="en-US"/>
        </w:rPr>
        <w:t>3.46</w:t>
      </w:r>
      <w:r>
        <w:rPr>
          <w:rFonts w:ascii="仿宋_GB2312" w:hAnsi="ˎ̥"/>
          <w:color w:val="auto"/>
          <w:sz w:val="32"/>
          <w:szCs w:val="32"/>
          <w:shd w:val="clear" w:fill="FFFFFF"/>
          <w:lang w:eastAsia="zh-CN"/>
        </w:rPr>
        <w:t>万元，完成年初预算的</w:t>
      </w:r>
      <w:r>
        <w:rPr>
          <w:rFonts w:hint="eastAsia" w:ascii="仿宋_GB2312" w:hAnsi="ˎ̥" w:eastAsia="仿宋_GB2312" w:cs="仿宋_GB2312"/>
          <w:color w:val="auto"/>
          <w:sz w:val="32"/>
          <w:szCs w:val="32"/>
          <w:shd w:val="clear" w:fill="FFFFFF"/>
          <w:lang w:val="en-US"/>
        </w:rPr>
        <w:t>78.97%</w:t>
      </w:r>
      <w:r>
        <w:rPr>
          <w:rFonts w:ascii="仿宋_GB2312" w:hAnsi="ˎ̥"/>
          <w:color w:val="auto"/>
          <w:sz w:val="32"/>
          <w:szCs w:val="32"/>
          <w:shd w:val="clear" w:fill="FFFFFF"/>
          <w:lang w:eastAsia="zh-CN"/>
        </w:rPr>
        <w:t>。决算数小于预算数的主要原因：遗属人员不变，按发放标准扣除城镇居民养老金补助后发放，所以预算额度没有用完。</w:t>
      </w:r>
    </w:p>
    <w:p w14:paraId="63E60DF5">
      <w:pPr>
        <w:spacing w:after="0" w:afterAutospacing="1"/>
        <w:ind w:left="420" w:leftChars="200"/>
        <w:rPr>
          <w:rFonts w:hint="eastAsia" w:ascii="仿宋_GB2312" w:hAnsi="ˎ̥" w:eastAsia="仿宋_GB2312" w:cs="仿宋_GB2312"/>
          <w:b/>
          <w:bCs/>
          <w:sz w:val="32"/>
          <w:szCs w:val="32"/>
          <w:shd w:val="clear" w:fill="FFFFFF"/>
          <w:lang w:val="en-US"/>
        </w:rPr>
      </w:pPr>
      <w:r>
        <w:rPr>
          <w:rFonts w:hint="eastAsia" w:ascii="仿宋_GB2312" w:hAnsi="ˎ̥" w:eastAsia="仿宋_GB2312" w:cs="仿宋_GB2312"/>
          <w:b/>
          <w:bCs/>
          <w:color w:val="auto"/>
          <w:sz w:val="32"/>
          <w:szCs w:val="32"/>
          <w:shd w:val="clear" w:fill="FFFFFF"/>
          <w:lang w:val="en-US" w:eastAsia="zh-CN"/>
        </w:rPr>
        <w:t>5</w:t>
      </w:r>
      <w:r>
        <w:rPr>
          <w:rFonts w:hint="eastAsia" w:ascii="仿宋_GB2312" w:hAnsi="ˎ̥" w:eastAsia="仿宋_GB2312" w:cs="仿宋_GB2312"/>
          <w:b/>
          <w:bCs/>
          <w:color w:val="auto"/>
          <w:sz w:val="32"/>
          <w:szCs w:val="32"/>
          <w:shd w:val="clear" w:fill="FFFFFF"/>
          <w:lang w:val="en-US"/>
        </w:rPr>
        <w:t>.</w:t>
      </w:r>
      <w:r>
        <w:rPr>
          <w:rFonts w:ascii="仿宋_GB2312" w:hAnsi="ˎ̥"/>
          <w:b/>
          <w:bCs/>
          <w:color w:val="auto"/>
          <w:sz w:val="32"/>
          <w:szCs w:val="32"/>
          <w:shd w:val="clear" w:fill="FFFFFF"/>
          <w:lang w:eastAsia="zh-CN"/>
        </w:rPr>
        <w:t>卫生健康支出（类）行政事业单位医疗（款）事业单位医疗（项）。</w:t>
      </w:r>
    </w:p>
    <w:p w14:paraId="410D51D7">
      <w:pPr>
        <w:spacing w:after="0" w:afterAutospacing="1"/>
        <w:ind w:left="0" w:firstLine="640" w:firstLineChars="200"/>
        <w:rPr>
          <w:rFonts w:hint="eastAsia" w:ascii="仿宋_GB2312" w:hAnsi="ˎ̥" w:eastAsia="仿宋_GB2312" w:cs="仿宋_GB2312"/>
          <w:sz w:val="32"/>
          <w:szCs w:val="32"/>
          <w:shd w:val="clear" w:fill="FFFFFF"/>
          <w:lang w:val="en-US"/>
        </w:rPr>
      </w:pPr>
      <w:r>
        <w:rPr>
          <w:rFonts w:ascii="仿宋_GB2312" w:hAnsi="仿宋_GB2312"/>
          <w:color w:val="auto"/>
          <w:sz w:val="32"/>
          <w:szCs w:val="32"/>
          <w:shd w:val="clear" w:fill="FFFFFF"/>
          <w:lang w:eastAsia="zh-CN"/>
        </w:rPr>
        <w:t>年初预算为</w:t>
      </w:r>
      <w:r>
        <w:rPr>
          <w:rFonts w:hint="eastAsia" w:ascii="仿宋_GB2312" w:hAnsi="仿宋_GB2312"/>
          <w:color w:val="auto"/>
          <w:sz w:val="32"/>
          <w:szCs w:val="32"/>
          <w:shd w:val="clear" w:fill="FFFFFF"/>
          <w:lang w:eastAsia="zh-CN"/>
        </w:rPr>
        <w:t>89.70</w:t>
      </w:r>
      <w:r>
        <w:rPr>
          <w:rFonts w:ascii="仿宋_GB2312" w:hAnsi="ˎ̥"/>
          <w:color w:val="auto"/>
          <w:sz w:val="32"/>
          <w:szCs w:val="32"/>
          <w:shd w:val="clear" w:fill="FFFFFF"/>
          <w:lang w:eastAsia="zh-CN"/>
        </w:rPr>
        <w:t>万元，支出决算为</w:t>
      </w:r>
      <w:r>
        <w:rPr>
          <w:rFonts w:hint="eastAsia" w:ascii="仿宋_GB2312" w:hAnsi="ˎ̥"/>
          <w:color w:val="auto"/>
          <w:sz w:val="32"/>
          <w:szCs w:val="32"/>
          <w:shd w:val="clear" w:fill="FFFFFF"/>
          <w:lang w:eastAsia="zh-CN"/>
        </w:rPr>
        <w:t>68.08</w:t>
      </w:r>
      <w:r>
        <w:rPr>
          <w:rFonts w:ascii="仿宋_GB2312" w:hAnsi="ˎ̥"/>
          <w:color w:val="auto"/>
          <w:sz w:val="32"/>
          <w:szCs w:val="32"/>
          <w:shd w:val="clear" w:fill="FFFFFF"/>
          <w:lang w:eastAsia="zh-CN"/>
        </w:rPr>
        <w:t>万元，完成年初预算的</w:t>
      </w:r>
      <w:r>
        <w:rPr>
          <w:rFonts w:hint="eastAsia" w:ascii="仿宋_GB2312" w:hAnsi="ˎ̥" w:eastAsia="仿宋_GB2312" w:cs="仿宋_GB2312"/>
          <w:color w:val="auto"/>
          <w:sz w:val="32"/>
          <w:szCs w:val="32"/>
          <w:shd w:val="clear" w:fill="FFFFFF"/>
          <w:lang w:val="en-US" w:eastAsia="zh-CN"/>
        </w:rPr>
        <w:t>75.90</w:t>
      </w:r>
      <w:r>
        <w:rPr>
          <w:rFonts w:hint="eastAsia" w:ascii="仿宋_GB2312" w:hAnsi="ˎ̥" w:eastAsia="仿宋_GB2312" w:cs="仿宋_GB2312"/>
          <w:color w:val="auto"/>
          <w:sz w:val="32"/>
          <w:szCs w:val="32"/>
          <w:shd w:val="clear" w:fill="FFFFFF"/>
          <w:lang w:val="en-US"/>
        </w:rPr>
        <w:t>%</w:t>
      </w:r>
      <w:r>
        <w:rPr>
          <w:rFonts w:ascii="仿宋_GB2312" w:hAnsi="ˎ̥"/>
          <w:color w:val="auto"/>
          <w:sz w:val="32"/>
          <w:szCs w:val="32"/>
          <w:shd w:val="clear" w:fill="FFFFFF"/>
          <w:lang w:eastAsia="zh-CN"/>
        </w:rPr>
        <w:t>。决算数小于预算数的主要原因：</w:t>
      </w:r>
      <w:r>
        <w:rPr>
          <w:rFonts w:hint="eastAsia" w:ascii="仿宋_GB2312" w:hAnsi="ˎ̥"/>
          <w:color w:val="auto"/>
          <w:sz w:val="32"/>
          <w:szCs w:val="32"/>
          <w:shd w:val="clear" w:fill="FFFFFF"/>
          <w:lang w:eastAsia="zh-CN"/>
        </w:rPr>
        <w:t>编制预算时测算偏大，</w:t>
      </w:r>
      <w:r>
        <w:rPr>
          <w:rFonts w:ascii="仿宋_GB2312" w:hAnsi="ˎ̥"/>
          <w:color w:val="auto"/>
          <w:sz w:val="32"/>
          <w:szCs w:val="32"/>
          <w:shd w:val="clear" w:fill="FFFFFF"/>
          <w:lang w:eastAsia="zh-CN"/>
        </w:rPr>
        <w:t>教职工</w:t>
      </w:r>
      <w:r>
        <w:rPr>
          <w:rFonts w:hint="eastAsia" w:ascii="仿宋_GB2312" w:hAnsi="ˎ̥"/>
          <w:color w:val="auto"/>
          <w:sz w:val="32"/>
          <w:szCs w:val="32"/>
          <w:shd w:val="clear" w:fill="FFFFFF"/>
          <w:lang w:eastAsia="zh-CN"/>
        </w:rPr>
        <w:t>退休等</w:t>
      </w:r>
      <w:r>
        <w:rPr>
          <w:rFonts w:ascii="仿宋_GB2312" w:hAnsi="ˎ̥"/>
          <w:color w:val="auto"/>
          <w:sz w:val="32"/>
          <w:szCs w:val="32"/>
          <w:shd w:val="clear" w:fill="FFFFFF"/>
          <w:lang w:eastAsia="zh-CN"/>
        </w:rPr>
        <w:t>。</w:t>
      </w:r>
    </w:p>
    <w:p w14:paraId="713B446B">
      <w:pPr>
        <w:spacing w:after="0" w:afterAutospacing="1"/>
        <w:ind w:left="0" w:firstLine="643" w:firstLineChars="200"/>
        <w:rPr>
          <w:rFonts w:hint="eastAsia" w:ascii="仿宋_GB2312" w:hAnsi="ˎ̥" w:eastAsia="仿宋_GB2312" w:cs="仿宋_GB2312"/>
          <w:b/>
          <w:bCs/>
          <w:sz w:val="32"/>
          <w:szCs w:val="32"/>
          <w:shd w:val="clear" w:fill="FFFFFF"/>
          <w:lang w:val="en-US"/>
        </w:rPr>
      </w:pPr>
      <w:r>
        <w:rPr>
          <w:rFonts w:hint="eastAsia" w:ascii="仿宋_GB2312" w:hAnsi="ˎ̥" w:eastAsia="仿宋_GB2312" w:cs="仿宋_GB2312"/>
          <w:b/>
          <w:bCs/>
          <w:color w:val="auto"/>
          <w:sz w:val="32"/>
          <w:szCs w:val="32"/>
          <w:shd w:val="clear" w:fill="FFFFFF"/>
          <w:lang w:val="en-US" w:eastAsia="zh-CN"/>
        </w:rPr>
        <w:t>6</w:t>
      </w:r>
      <w:r>
        <w:rPr>
          <w:rFonts w:hint="eastAsia" w:ascii="仿宋_GB2312" w:hAnsi="ˎ̥" w:eastAsia="仿宋_GB2312" w:cs="仿宋_GB2312"/>
          <w:b/>
          <w:bCs/>
          <w:color w:val="auto"/>
          <w:sz w:val="32"/>
          <w:szCs w:val="32"/>
          <w:shd w:val="clear" w:fill="FFFFFF"/>
          <w:lang w:val="en-US"/>
        </w:rPr>
        <w:t>.</w:t>
      </w:r>
      <w:r>
        <w:rPr>
          <w:rFonts w:ascii="仿宋_GB2312" w:hAnsi="ˎ̥"/>
          <w:b/>
          <w:bCs/>
          <w:color w:val="auto"/>
          <w:sz w:val="32"/>
          <w:szCs w:val="32"/>
          <w:shd w:val="clear" w:fill="FFFFFF"/>
          <w:lang w:eastAsia="zh-CN"/>
        </w:rPr>
        <w:t>卫生健康支出（类）行政事业单位医疗（款）</w:t>
      </w:r>
      <w:r>
        <w:rPr>
          <w:rFonts w:hint="eastAsia" w:ascii="仿宋_GB2312" w:hAnsi="ˎ̥" w:eastAsia="仿宋_GB2312" w:cs="仿宋_GB2312"/>
          <w:b/>
          <w:bCs/>
          <w:color w:val="auto"/>
          <w:sz w:val="32"/>
          <w:szCs w:val="32"/>
          <w:shd w:val="clear" w:fill="FFFFFF"/>
          <w:lang w:eastAsia="zh-CN"/>
        </w:rPr>
        <w:t xml:space="preserve"> </w:t>
      </w:r>
      <w:r>
        <w:rPr>
          <w:rFonts w:ascii="仿宋_GB2312" w:hAnsi="ˎ̥"/>
          <w:b/>
          <w:bCs/>
          <w:color w:val="auto"/>
          <w:sz w:val="32"/>
          <w:szCs w:val="32"/>
          <w:shd w:val="clear" w:fill="FFFFFF"/>
          <w:lang w:eastAsia="zh-CN"/>
        </w:rPr>
        <w:t>公务员医疗补助（项）。</w:t>
      </w:r>
    </w:p>
    <w:p w14:paraId="69DB7A58">
      <w:pPr>
        <w:spacing w:after="0" w:afterAutospacing="1"/>
        <w:ind w:left="0" w:firstLine="640" w:firstLineChars="200"/>
        <w:rPr>
          <w:rFonts w:hint="eastAsia" w:ascii="仿宋_GB2312" w:hAnsi="ˎ̥" w:eastAsia="仿宋_GB2312" w:cs="仿宋_GB2312"/>
          <w:sz w:val="32"/>
          <w:szCs w:val="32"/>
          <w:shd w:val="clear" w:fill="FFFFFF"/>
          <w:lang w:val="en-US"/>
        </w:rPr>
      </w:pPr>
      <w:r>
        <w:rPr>
          <w:rFonts w:ascii="仿宋_GB2312" w:hAnsi="仿宋_GB2312"/>
          <w:color w:val="auto"/>
          <w:sz w:val="32"/>
          <w:szCs w:val="32"/>
          <w:shd w:val="clear" w:fill="FFFFFF"/>
          <w:lang w:eastAsia="zh-CN"/>
        </w:rPr>
        <w:t>年初预算为</w:t>
      </w:r>
      <w:r>
        <w:rPr>
          <w:rFonts w:hint="eastAsia" w:ascii="仿宋_GB2312" w:hAnsi="ˎ̥" w:eastAsia="仿宋_GB2312" w:cs="仿宋_GB2312"/>
          <w:color w:val="auto"/>
          <w:sz w:val="32"/>
          <w:szCs w:val="32"/>
          <w:shd w:val="clear" w:fill="FFFFFF"/>
          <w:lang w:val="en-US"/>
        </w:rPr>
        <w:t>164.17</w:t>
      </w:r>
      <w:r>
        <w:rPr>
          <w:rFonts w:ascii="仿宋_GB2312" w:hAnsi="ˎ̥"/>
          <w:color w:val="auto"/>
          <w:sz w:val="32"/>
          <w:szCs w:val="32"/>
          <w:shd w:val="clear" w:fill="FFFFFF"/>
          <w:lang w:eastAsia="zh-CN"/>
        </w:rPr>
        <w:t>万元，支出决算为</w:t>
      </w:r>
      <w:r>
        <w:rPr>
          <w:rFonts w:hint="eastAsia" w:ascii="仿宋_GB2312" w:hAnsi="ˎ̥" w:eastAsia="仿宋_GB2312" w:cs="仿宋_GB2312"/>
          <w:color w:val="auto"/>
          <w:sz w:val="32"/>
          <w:szCs w:val="32"/>
          <w:shd w:val="clear" w:fill="FFFFFF"/>
          <w:lang w:val="en-US"/>
        </w:rPr>
        <w:t>155.72</w:t>
      </w:r>
      <w:r>
        <w:rPr>
          <w:rFonts w:ascii="仿宋_GB2312" w:hAnsi="ˎ̥"/>
          <w:color w:val="auto"/>
          <w:sz w:val="32"/>
          <w:szCs w:val="32"/>
          <w:shd w:val="clear" w:fill="FFFFFF"/>
          <w:lang w:eastAsia="zh-CN"/>
        </w:rPr>
        <w:t>万元，完成年初预算的</w:t>
      </w:r>
      <w:r>
        <w:rPr>
          <w:rFonts w:hint="eastAsia" w:ascii="仿宋_GB2312" w:hAnsi="ˎ̥" w:eastAsia="仿宋_GB2312" w:cs="仿宋_GB2312"/>
          <w:color w:val="auto"/>
          <w:sz w:val="32"/>
          <w:szCs w:val="32"/>
          <w:shd w:val="clear" w:fill="FFFFFF"/>
          <w:lang w:val="en-US" w:eastAsia="zh-CN"/>
        </w:rPr>
        <w:t>94.85</w:t>
      </w:r>
      <w:r>
        <w:rPr>
          <w:rFonts w:hint="eastAsia" w:ascii="仿宋_GB2312" w:hAnsi="ˎ̥" w:eastAsia="仿宋_GB2312" w:cs="仿宋_GB2312"/>
          <w:color w:val="auto"/>
          <w:sz w:val="32"/>
          <w:szCs w:val="32"/>
          <w:shd w:val="clear" w:fill="FFFFFF"/>
          <w:lang w:val="en-US"/>
        </w:rPr>
        <w:t>%</w:t>
      </w:r>
      <w:r>
        <w:rPr>
          <w:rFonts w:ascii="仿宋_GB2312" w:hAnsi="ˎ̥"/>
          <w:color w:val="auto"/>
          <w:sz w:val="32"/>
          <w:szCs w:val="32"/>
          <w:shd w:val="clear" w:fill="FFFFFF"/>
          <w:lang w:eastAsia="zh-CN"/>
        </w:rPr>
        <w:t>。决算数大于预算数的主要原因：</w:t>
      </w:r>
      <w:r>
        <w:rPr>
          <w:rFonts w:hint="eastAsia" w:ascii="仿宋_GB2312" w:hAnsi="ˎ̥"/>
          <w:color w:val="auto"/>
          <w:sz w:val="32"/>
          <w:szCs w:val="32"/>
          <w:shd w:val="clear" w:fill="FFFFFF"/>
          <w:lang w:eastAsia="zh-CN"/>
        </w:rPr>
        <w:t>编制预算时测算偏大，教职工退休等</w:t>
      </w:r>
      <w:r>
        <w:rPr>
          <w:rFonts w:ascii="仿宋_GB2312" w:hAnsi="ˎ̥"/>
          <w:color w:val="auto"/>
          <w:sz w:val="32"/>
          <w:szCs w:val="32"/>
          <w:shd w:val="clear" w:fill="FFFFFF"/>
          <w:lang w:eastAsia="zh-CN"/>
        </w:rPr>
        <w:t>。</w:t>
      </w:r>
    </w:p>
    <w:p w14:paraId="4A8EF1DF">
      <w:pPr>
        <w:spacing w:after="0" w:afterAutospacing="1"/>
        <w:ind w:left="420" w:leftChars="200"/>
        <w:rPr>
          <w:rFonts w:hint="eastAsia" w:ascii="仿宋_GB2312" w:hAnsi="ˎ̥" w:eastAsia="仿宋_GB2312" w:cs="仿宋_GB2312"/>
          <w:b/>
          <w:bCs/>
          <w:sz w:val="32"/>
          <w:szCs w:val="32"/>
          <w:shd w:val="clear" w:fill="FFFFFF"/>
          <w:lang w:val="en-US"/>
        </w:rPr>
      </w:pPr>
      <w:r>
        <w:rPr>
          <w:rFonts w:hint="eastAsia" w:ascii="仿宋_GB2312" w:hAnsi="ˎ̥" w:eastAsia="仿宋_GB2312" w:cs="仿宋_GB2312"/>
          <w:b/>
          <w:bCs/>
          <w:color w:val="auto"/>
          <w:sz w:val="32"/>
          <w:szCs w:val="32"/>
          <w:shd w:val="clear" w:fill="FFFFFF"/>
          <w:lang w:val="en-US" w:eastAsia="zh-CN"/>
        </w:rPr>
        <w:t>7</w:t>
      </w:r>
      <w:r>
        <w:rPr>
          <w:rFonts w:hint="eastAsia" w:ascii="仿宋_GB2312" w:hAnsi="ˎ̥" w:eastAsia="仿宋_GB2312" w:cs="仿宋_GB2312"/>
          <w:b/>
          <w:bCs/>
          <w:color w:val="auto"/>
          <w:sz w:val="32"/>
          <w:szCs w:val="32"/>
          <w:shd w:val="clear" w:fill="FFFFFF"/>
          <w:lang w:val="en-US"/>
        </w:rPr>
        <w:t>.</w:t>
      </w:r>
      <w:r>
        <w:rPr>
          <w:rFonts w:ascii="仿宋_GB2312" w:hAnsi="ˎ̥"/>
          <w:b/>
          <w:bCs/>
          <w:color w:val="auto"/>
          <w:sz w:val="32"/>
          <w:szCs w:val="32"/>
          <w:shd w:val="clear" w:fill="FFFFFF"/>
          <w:lang w:eastAsia="zh-CN"/>
        </w:rPr>
        <w:t>卫生健康支出（类）行政事业单位医疗（款）</w:t>
      </w:r>
      <w:r>
        <w:rPr>
          <w:rFonts w:hint="eastAsia" w:ascii="仿宋_GB2312" w:hAnsi="ˎ̥" w:eastAsia="仿宋_GB2312" w:cs="仿宋_GB2312"/>
          <w:b/>
          <w:bCs/>
          <w:color w:val="auto"/>
          <w:sz w:val="32"/>
          <w:szCs w:val="32"/>
          <w:shd w:val="clear" w:fill="FFFFFF"/>
          <w:lang w:eastAsia="zh-CN"/>
        </w:rPr>
        <w:t xml:space="preserve"> </w:t>
      </w:r>
      <w:r>
        <w:rPr>
          <w:rFonts w:ascii="仿宋_GB2312" w:hAnsi="ˎ̥"/>
          <w:b/>
          <w:bCs/>
          <w:color w:val="auto"/>
          <w:sz w:val="32"/>
          <w:szCs w:val="32"/>
          <w:shd w:val="clear" w:fill="FFFFFF"/>
          <w:lang w:eastAsia="zh-CN"/>
        </w:rPr>
        <w:t>其他行政事业单位医疗支出（项）。</w:t>
      </w:r>
    </w:p>
    <w:p w14:paraId="6B51C6C2">
      <w:pPr>
        <w:spacing w:after="0" w:afterAutospacing="1"/>
        <w:ind w:left="0" w:firstLine="640" w:firstLineChars="200"/>
        <w:rPr>
          <w:rFonts w:hint="eastAsia" w:ascii="仿宋_GB2312" w:hAnsi="ˎ̥" w:eastAsia="仿宋_GB2312" w:cs="仿宋_GB2312"/>
          <w:sz w:val="32"/>
          <w:szCs w:val="32"/>
          <w:shd w:val="clear" w:fill="FFFFFF"/>
          <w:lang w:val="en-US"/>
        </w:rPr>
      </w:pPr>
      <w:r>
        <w:rPr>
          <w:rFonts w:ascii="仿宋_GB2312" w:hAnsi="仿宋_GB2312"/>
          <w:color w:val="auto"/>
          <w:sz w:val="32"/>
          <w:szCs w:val="32"/>
          <w:shd w:val="clear" w:fill="FFFFFF"/>
          <w:lang w:eastAsia="zh-CN"/>
        </w:rPr>
        <w:t>年初预算为</w:t>
      </w:r>
      <w:r>
        <w:rPr>
          <w:rFonts w:hint="eastAsia" w:ascii="仿宋_GB2312" w:hAnsi="仿宋_GB2312"/>
          <w:color w:val="auto"/>
          <w:sz w:val="32"/>
          <w:szCs w:val="32"/>
          <w:shd w:val="clear" w:fill="FFFFFF"/>
          <w:lang w:eastAsia="zh-CN"/>
        </w:rPr>
        <w:t>7.15</w:t>
      </w:r>
      <w:r>
        <w:rPr>
          <w:rFonts w:ascii="仿宋_GB2312" w:hAnsi="ˎ̥"/>
          <w:color w:val="auto"/>
          <w:sz w:val="32"/>
          <w:szCs w:val="32"/>
          <w:shd w:val="clear" w:fill="FFFFFF"/>
          <w:lang w:eastAsia="zh-CN"/>
        </w:rPr>
        <w:t>万元，支出决算为</w:t>
      </w:r>
      <w:r>
        <w:rPr>
          <w:rFonts w:hint="eastAsia" w:ascii="仿宋_GB2312" w:hAnsi="ˎ̥"/>
          <w:color w:val="auto"/>
          <w:sz w:val="32"/>
          <w:szCs w:val="32"/>
          <w:shd w:val="clear" w:fill="FFFFFF"/>
          <w:lang w:eastAsia="zh-CN"/>
        </w:rPr>
        <w:t>6.21</w:t>
      </w:r>
      <w:r>
        <w:rPr>
          <w:rFonts w:ascii="仿宋_GB2312" w:hAnsi="ˎ̥"/>
          <w:color w:val="auto"/>
          <w:sz w:val="32"/>
          <w:szCs w:val="32"/>
          <w:shd w:val="clear" w:fill="FFFFFF"/>
          <w:lang w:eastAsia="zh-CN"/>
        </w:rPr>
        <w:t>万元，完成年初预算的</w:t>
      </w:r>
      <w:r>
        <w:rPr>
          <w:rFonts w:hint="eastAsia" w:ascii="仿宋_GB2312" w:hAnsi="ˎ̥" w:eastAsia="仿宋_GB2312" w:cs="仿宋_GB2312"/>
          <w:color w:val="auto"/>
          <w:sz w:val="32"/>
          <w:szCs w:val="32"/>
          <w:shd w:val="clear" w:fill="FFFFFF"/>
          <w:lang w:val="en-US" w:eastAsia="zh-CN"/>
        </w:rPr>
        <w:t>86.85</w:t>
      </w:r>
      <w:r>
        <w:rPr>
          <w:rFonts w:hint="eastAsia" w:ascii="仿宋_GB2312" w:hAnsi="ˎ̥" w:eastAsia="仿宋_GB2312" w:cs="仿宋_GB2312"/>
          <w:color w:val="auto"/>
          <w:sz w:val="32"/>
          <w:szCs w:val="32"/>
          <w:shd w:val="clear" w:fill="FFFFFF"/>
          <w:lang w:val="en-US"/>
        </w:rPr>
        <w:t>%</w:t>
      </w:r>
      <w:r>
        <w:rPr>
          <w:rFonts w:ascii="仿宋_GB2312" w:hAnsi="ˎ̥"/>
          <w:color w:val="auto"/>
          <w:sz w:val="32"/>
          <w:szCs w:val="32"/>
          <w:shd w:val="clear" w:fill="FFFFFF"/>
          <w:lang w:eastAsia="zh-CN"/>
        </w:rPr>
        <w:t>。决算数小于预算数的主要原因：部分职工没有参加体检，体检费剩余。</w:t>
      </w:r>
    </w:p>
    <w:p w14:paraId="7F3F0EFB">
      <w:pPr>
        <w:spacing w:after="0" w:afterAutospacing="1"/>
        <w:ind w:left="420" w:leftChars="200"/>
        <w:rPr>
          <w:rFonts w:hint="eastAsia" w:ascii="仿宋_GB2312" w:hAnsi="ˎ̥" w:eastAsia="仿宋_GB2312" w:cs="仿宋_GB2312"/>
          <w:b/>
          <w:bCs/>
          <w:sz w:val="32"/>
          <w:szCs w:val="32"/>
          <w:shd w:val="clear" w:fill="FFFFFF"/>
          <w:lang w:val="en-US"/>
        </w:rPr>
      </w:pPr>
      <w:r>
        <w:rPr>
          <w:rFonts w:hint="eastAsia" w:ascii="仿宋_GB2312" w:hAnsi="ˎ̥" w:eastAsia="仿宋_GB2312" w:cs="仿宋_GB2312"/>
          <w:b/>
          <w:bCs/>
          <w:color w:val="auto"/>
          <w:sz w:val="32"/>
          <w:szCs w:val="32"/>
          <w:shd w:val="clear" w:fill="FFFFFF"/>
          <w:lang w:val="en-US" w:eastAsia="zh-CN"/>
        </w:rPr>
        <w:t>8</w:t>
      </w:r>
      <w:r>
        <w:rPr>
          <w:rFonts w:hint="eastAsia" w:ascii="仿宋_GB2312" w:hAnsi="ˎ̥" w:eastAsia="仿宋_GB2312" w:cs="仿宋_GB2312"/>
          <w:b/>
          <w:bCs/>
          <w:color w:val="auto"/>
          <w:sz w:val="32"/>
          <w:szCs w:val="32"/>
          <w:shd w:val="clear" w:fill="FFFFFF"/>
          <w:lang w:val="en-US"/>
        </w:rPr>
        <w:t>.</w:t>
      </w:r>
      <w:r>
        <w:rPr>
          <w:rFonts w:ascii="仿宋_GB2312" w:hAnsi="ˎ̥"/>
          <w:b/>
          <w:bCs/>
          <w:color w:val="auto"/>
          <w:sz w:val="32"/>
          <w:szCs w:val="32"/>
          <w:shd w:val="clear" w:fill="FFFFFF"/>
          <w:lang w:eastAsia="zh-CN"/>
        </w:rPr>
        <w:t>住房保障支出（类）住房改革支出（款）</w:t>
      </w:r>
      <w:r>
        <w:rPr>
          <w:rFonts w:hint="eastAsia" w:ascii="仿宋_GB2312" w:hAnsi="ˎ̥" w:eastAsia="仿宋_GB2312" w:cs="仿宋_GB2312"/>
          <w:b/>
          <w:bCs/>
          <w:color w:val="auto"/>
          <w:sz w:val="32"/>
          <w:szCs w:val="32"/>
          <w:shd w:val="clear" w:fill="FFFFFF"/>
          <w:lang w:eastAsia="zh-CN"/>
        </w:rPr>
        <w:t xml:space="preserve"> </w:t>
      </w:r>
      <w:r>
        <w:rPr>
          <w:rFonts w:ascii="仿宋_GB2312" w:hAnsi="ˎ̥"/>
          <w:b/>
          <w:bCs/>
          <w:color w:val="auto"/>
          <w:sz w:val="32"/>
          <w:szCs w:val="32"/>
          <w:shd w:val="clear" w:fill="FFFFFF"/>
          <w:lang w:eastAsia="zh-CN"/>
        </w:rPr>
        <w:t>住房公积金（项）。</w:t>
      </w:r>
    </w:p>
    <w:p w14:paraId="793CAAC4">
      <w:pPr>
        <w:spacing w:after="0" w:afterAutospacing="1"/>
        <w:ind w:left="0" w:firstLine="640" w:firstLineChars="200"/>
        <w:rPr>
          <w:rFonts w:hint="eastAsia" w:ascii="仿宋_GB2312" w:hAnsi="ˎ̥" w:eastAsia="仿宋_GB2312" w:cs="仿宋_GB2312"/>
          <w:sz w:val="32"/>
          <w:szCs w:val="32"/>
          <w:shd w:val="clear" w:fill="FFFFFF"/>
          <w:lang w:val="en-US"/>
        </w:rPr>
      </w:pPr>
      <w:r>
        <w:rPr>
          <w:rFonts w:ascii="仿宋_GB2312" w:hAnsi="仿宋_GB2312"/>
          <w:color w:val="auto"/>
          <w:sz w:val="32"/>
          <w:szCs w:val="32"/>
          <w:shd w:val="clear" w:fill="FFFFFF"/>
          <w:lang w:eastAsia="zh-CN"/>
        </w:rPr>
        <w:t>年初预算为</w:t>
      </w:r>
      <w:r>
        <w:rPr>
          <w:rFonts w:hint="eastAsia" w:ascii="仿宋_GB2312" w:hAnsi="ˎ̥" w:eastAsia="仿宋_GB2312" w:cs="仿宋_GB2312"/>
          <w:color w:val="auto"/>
          <w:sz w:val="32"/>
          <w:szCs w:val="32"/>
          <w:shd w:val="clear" w:fill="FFFFFF"/>
          <w:lang w:val="en-US"/>
        </w:rPr>
        <w:t>160.10</w:t>
      </w:r>
      <w:r>
        <w:rPr>
          <w:rFonts w:ascii="仿宋_GB2312" w:hAnsi="ˎ̥"/>
          <w:color w:val="auto"/>
          <w:sz w:val="32"/>
          <w:szCs w:val="32"/>
          <w:shd w:val="clear" w:fill="FFFFFF"/>
          <w:lang w:eastAsia="zh-CN"/>
        </w:rPr>
        <w:t>万元，支出决算为</w:t>
      </w:r>
      <w:r>
        <w:rPr>
          <w:rFonts w:hint="eastAsia" w:ascii="仿宋_GB2312" w:hAnsi="ˎ̥"/>
          <w:color w:val="auto"/>
          <w:sz w:val="32"/>
          <w:szCs w:val="32"/>
          <w:shd w:val="clear" w:fill="FFFFFF"/>
          <w:lang w:eastAsia="zh-CN"/>
        </w:rPr>
        <w:t>136.42</w:t>
      </w:r>
      <w:r>
        <w:rPr>
          <w:rFonts w:ascii="仿宋_GB2312" w:hAnsi="ˎ̥"/>
          <w:color w:val="auto"/>
          <w:sz w:val="32"/>
          <w:szCs w:val="32"/>
          <w:shd w:val="clear" w:fill="FFFFFF"/>
          <w:lang w:eastAsia="zh-CN"/>
        </w:rPr>
        <w:t>万元，完成年初预算的</w:t>
      </w:r>
      <w:r>
        <w:rPr>
          <w:rFonts w:hint="eastAsia" w:ascii="仿宋_GB2312" w:hAnsi="ˎ̥" w:eastAsia="仿宋_GB2312" w:cs="仿宋_GB2312"/>
          <w:color w:val="auto"/>
          <w:sz w:val="32"/>
          <w:szCs w:val="32"/>
          <w:shd w:val="clear" w:fill="FFFFFF"/>
          <w:lang w:val="en-US" w:eastAsia="zh-CN"/>
        </w:rPr>
        <w:t>85.21</w:t>
      </w:r>
      <w:r>
        <w:rPr>
          <w:rFonts w:hint="eastAsia" w:ascii="仿宋_GB2312" w:hAnsi="ˎ̥" w:eastAsia="仿宋_GB2312" w:cs="仿宋_GB2312"/>
          <w:color w:val="auto"/>
          <w:sz w:val="32"/>
          <w:szCs w:val="32"/>
          <w:shd w:val="clear" w:fill="FFFFFF"/>
          <w:lang w:val="en-US"/>
        </w:rPr>
        <w:t>%</w:t>
      </w:r>
      <w:r>
        <w:rPr>
          <w:rFonts w:ascii="仿宋_GB2312" w:hAnsi="ˎ̥"/>
          <w:color w:val="auto"/>
          <w:sz w:val="32"/>
          <w:szCs w:val="32"/>
          <w:shd w:val="clear" w:fill="FFFFFF"/>
          <w:lang w:eastAsia="zh-CN"/>
        </w:rPr>
        <w:t>。决算数大于预算数的主要原因：</w:t>
      </w:r>
      <w:r>
        <w:rPr>
          <w:rFonts w:hint="eastAsia" w:ascii="仿宋_GB2312" w:hAnsi="ˎ̥"/>
          <w:color w:val="auto"/>
          <w:sz w:val="32"/>
          <w:szCs w:val="32"/>
          <w:shd w:val="clear" w:fill="FFFFFF"/>
          <w:lang w:eastAsia="zh-CN"/>
        </w:rPr>
        <w:t>编制预算时测算偏大，教职工退休等</w:t>
      </w:r>
      <w:r>
        <w:rPr>
          <w:rFonts w:ascii="仿宋_GB2312" w:hAnsi="ˎ̥"/>
          <w:color w:val="auto"/>
          <w:sz w:val="32"/>
          <w:szCs w:val="32"/>
          <w:shd w:val="clear" w:fill="FFFFFF"/>
          <w:lang w:eastAsia="zh-CN"/>
        </w:rPr>
        <w:t>。</w:t>
      </w:r>
    </w:p>
    <w:p w14:paraId="460F8FE8">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本部分支出决算数可取自财决公开05表，年初预算数可取自各预算</w:t>
      </w:r>
      <w:r>
        <w:rPr>
          <w:rFonts w:hint="eastAsia" w:ascii="仿宋_GB2312" w:hAnsi="ˎ̥" w:eastAsia="仿宋_GB2312"/>
          <w:sz w:val="32"/>
          <w:szCs w:val="32"/>
          <w:lang w:eastAsia="zh-CN"/>
        </w:rPr>
        <w:t>单位</w:t>
      </w:r>
      <w:r>
        <w:rPr>
          <w:rFonts w:hint="eastAsia" w:ascii="仿宋_GB2312" w:hAnsi="ˎ̥" w:eastAsia="仿宋_GB2312"/>
          <w:sz w:val="32"/>
          <w:szCs w:val="32"/>
        </w:rPr>
        <w:t>、单位年初预算大本，根据实际支出涉及的支出功能分类项级科目填列。）</w:t>
      </w:r>
    </w:p>
    <w:p w14:paraId="7A1CE57A">
      <w:pPr>
        <w:spacing w:line="578" w:lineRule="exact"/>
        <w:ind w:firstLine="627" w:firstLineChars="196"/>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14:paraId="7E294895">
      <w:pPr>
        <w:tabs>
          <w:tab w:val="center" w:pos="4473"/>
        </w:tabs>
        <w:spacing w:line="578" w:lineRule="exact"/>
        <w:ind w:firstLine="640" w:firstLineChars="200"/>
        <w:rPr>
          <w:rFonts w:hint="eastAsia"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年度财政拨款基本支出1,955.70万元，其中：人员经费</w:t>
      </w:r>
      <w:r>
        <w:rPr>
          <w:rFonts w:ascii="仿宋_GB2312" w:hAnsi="ˎ̥" w:eastAsia="仿宋_GB2312"/>
          <w:color w:val="auto"/>
          <w:sz w:val="32"/>
          <w:szCs w:val="32"/>
        </w:rPr>
        <w:t>1,927.75</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退休费、抚恤金、生活补助、救济费、医疗费补助、助学金、奖励金、代缴社会保险费、其他对个人和家庭的补助。</w:t>
      </w:r>
    </w:p>
    <w:p w14:paraId="2C331689">
      <w:pPr>
        <w:tabs>
          <w:tab w:val="center" w:pos="4473"/>
        </w:tabs>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公用经费</w:t>
      </w:r>
      <w:r>
        <w:rPr>
          <w:rFonts w:ascii="仿宋_GB2312" w:hAnsi="ˎ̥" w:eastAsia="仿宋_GB2312"/>
          <w:color w:val="auto"/>
          <w:sz w:val="32"/>
          <w:szCs w:val="32"/>
        </w:rPr>
        <w:t>27.95</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w:t>
      </w:r>
      <w:r>
        <w:rPr>
          <w:rFonts w:hint="eastAsia" w:ascii="仿宋_GB2312" w:hAnsi="ˎ̥" w:eastAsia="仿宋_GB2312"/>
          <w:sz w:val="32"/>
          <w:szCs w:val="32"/>
          <w:lang w:eastAsia="zh-CN"/>
        </w:rPr>
        <w:t>等</w:t>
      </w:r>
      <w:r>
        <w:rPr>
          <w:rFonts w:hint="eastAsia" w:ascii="仿宋_GB2312" w:hAnsi="ˎ̥" w:eastAsia="仿宋_GB2312"/>
          <w:sz w:val="32"/>
          <w:szCs w:val="32"/>
        </w:rPr>
        <w:t>。</w:t>
      </w:r>
    </w:p>
    <w:p w14:paraId="6F5AB8FD">
      <w:pPr>
        <w:tabs>
          <w:tab w:val="center" w:pos="4473"/>
        </w:tabs>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上述数据可取自财决公开06表，各预算</w:t>
      </w:r>
      <w:r>
        <w:rPr>
          <w:rFonts w:hint="eastAsia" w:ascii="仿宋_GB2312" w:hAnsi="ˎ̥" w:eastAsia="仿宋_GB2312"/>
          <w:sz w:val="32"/>
          <w:szCs w:val="32"/>
          <w:lang w:eastAsia="zh-CN"/>
        </w:rPr>
        <w:t>单位</w:t>
      </w:r>
      <w:r>
        <w:rPr>
          <w:rFonts w:hint="eastAsia" w:ascii="仿宋_GB2312" w:hAnsi="ˎ̥" w:eastAsia="仿宋_GB2312"/>
          <w:sz w:val="32"/>
          <w:szCs w:val="32"/>
        </w:rPr>
        <w:t>、单位根据实际支出情况，选列相应支出经济分类。）</w:t>
      </w:r>
    </w:p>
    <w:p w14:paraId="4A373CE4">
      <w:pPr>
        <w:tabs>
          <w:tab w:val="center" w:pos="4473"/>
        </w:tabs>
        <w:spacing w:line="578" w:lineRule="exact"/>
        <w:ind w:firstLine="627" w:firstLineChars="196"/>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14:paraId="77598B81">
      <w:pPr>
        <w:spacing w:line="578" w:lineRule="exact"/>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（一）政府性基金预算财政拨款支出决算总体情况</w:t>
      </w:r>
    </w:p>
    <w:p w14:paraId="4001DAAB">
      <w:pPr>
        <w:spacing w:line="578" w:lineRule="exact"/>
        <w:ind w:firstLine="640" w:firstLineChars="200"/>
        <w:rPr>
          <w:rFonts w:hint="eastAsia" w:ascii="仿宋_GB2312" w:hAnsi="ˎ̥" w:eastAsia="仿宋_GB2312"/>
          <w:color w:val="auto"/>
          <w:sz w:val="32"/>
          <w:szCs w:val="32"/>
        </w:rPr>
      </w:pPr>
      <w:r>
        <w:rPr>
          <w:rFonts w:ascii="仿宋_GB2312" w:hAnsi="ˎ̥" w:eastAsia="仿宋_GB2312"/>
          <w:color w:val="auto"/>
          <w:sz w:val="32"/>
          <w:szCs w:val="32"/>
        </w:rPr>
        <w:t>2024</w:t>
      </w:r>
      <w:r>
        <w:rPr>
          <w:rFonts w:hint="eastAsia" w:ascii="仿宋_GB2312" w:hAnsi="ˎ̥" w:eastAsia="仿宋_GB2312"/>
          <w:color w:val="auto"/>
          <w:sz w:val="32"/>
          <w:szCs w:val="32"/>
        </w:rPr>
        <w:t>年度政府性基金预算财政拨款支出</w:t>
      </w:r>
      <w:r>
        <w:rPr>
          <w:rFonts w:ascii="仿宋_GB2312" w:hAnsi="ˎ̥" w:eastAsia="仿宋_GB2312"/>
          <w:color w:val="auto"/>
          <w:sz w:val="32"/>
          <w:szCs w:val="32"/>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ascii="仿宋_GB2312" w:hAnsi="ˎ̥" w:eastAsia="仿宋_GB2312"/>
          <w:color w:val="auto"/>
          <w:sz w:val="32"/>
          <w:szCs w:val="32"/>
        </w:rPr>
        <w:t>2023</w:t>
      </w:r>
      <w:r>
        <w:rPr>
          <w:rFonts w:hint="eastAsia" w:ascii="仿宋_GB2312" w:hAnsi="ˎ̥" w:eastAsia="仿宋_GB2312"/>
          <w:color w:val="auto"/>
          <w:sz w:val="32"/>
          <w:szCs w:val="32"/>
        </w:rPr>
        <w:t>年度相比，政府性基金预算财政拨款支出增加（减少）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%，主要原因是无政府性基金预算。</w:t>
      </w:r>
    </w:p>
    <w:p w14:paraId="53892A6C">
      <w:pPr>
        <w:spacing w:line="578"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14:paraId="7EF590B5">
      <w:pPr>
        <w:spacing w:line="578" w:lineRule="exact"/>
        <w:ind w:firstLine="640" w:firstLineChars="200"/>
        <w:rPr>
          <w:rFonts w:hint="eastAsia" w:ascii="仿宋_GB2312" w:hAnsi="ˎ̥" w:eastAsia="仿宋_GB2312"/>
          <w:color w:val="auto"/>
          <w:sz w:val="32"/>
          <w:szCs w:val="32"/>
        </w:rPr>
      </w:pPr>
      <w:r>
        <w:rPr>
          <w:rFonts w:ascii="仿宋_GB2312" w:hAnsi="ˎ̥" w:eastAsia="仿宋_GB2312"/>
          <w:color w:val="auto"/>
          <w:sz w:val="32"/>
          <w:szCs w:val="32"/>
        </w:rPr>
        <w:t>2024</w:t>
      </w:r>
      <w:r>
        <w:rPr>
          <w:rFonts w:hint="eastAsia" w:ascii="仿宋_GB2312" w:hAnsi="ˎ̥" w:eastAsia="仿宋_GB2312"/>
          <w:color w:val="auto"/>
          <w:sz w:val="32"/>
          <w:szCs w:val="32"/>
        </w:rPr>
        <w:t>年度政府性基金预算财政拨款支出</w:t>
      </w:r>
      <w:r>
        <w:rPr>
          <w:rFonts w:ascii="仿宋_GB2312" w:hAnsi="ˎ̥" w:eastAsia="仿宋_GB2312"/>
          <w:color w:val="auto"/>
          <w:sz w:val="32"/>
          <w:szCs w:val="32"/>
        </w:rPr>
        <w:t>0.00</w:t>
      </w:r>
      <w:r>
        <w:rPr>
          <w:rFonts w:hint="eastAsia" w:ascii="仿宋_GB2312" w:hAnsi="ˎ̥" w:eastAsia="仿宋_GB2312"/>
          <w:color w:val="auto"/>
          <w:sz w:val="32"/>
          <w:szCs w:val="32"/>
        </w:rPr>
        <w:t>万元，无支出决算结构情况。</w:t>
      </w:r>
    </w:p>
    <w:p w14:paraId="7B1CAA22">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、单位实际支出涉及的支出功能分类类级科目填列。）</w:t>
      </w:r>
    </w:p>
    <w:p w14:paraId="5BD367A4">
      <w:pPr>
        <w:spacing w:line="578"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14:paraId="279D5B68">
      <w:pPr>
        <w:spacing w:line="578" w:lineRule="exact"/>
        <w:ind w:firstLine="640" w:firstLineChars="200"/>
        <w:rPr>
          <w:rFonts w:hint="eastAsia" w:ascii="仿宋_GB2312" w:hAnsi="ˎ̥" w:eastAsia="仿宋_GB2312"/>
          <w:color w:val="auto"/>
          <w:sz w:val="32"/>
          <w:szCs w:val="32"/>
        </w:rPr>
      </w:pPr>
      <w:r>
        <w:rPr>
          <w:rFonts w:ascii="仿宋_GB2312" w:hAnsi="ˎ̥" w:eastAsia="仿宋_GB2312"/>
          <w:color w:val="auto"/>
          <w:sz w:val="32"/>
          <w:szCs w:val="32"/>
        </w:rPr>
        <w:t>2024</w:t>
      </w:r>
      <w:r>
        <w:rPr>
          <w:rFonts w:hint="eastAsia" w:ascii="仿宋_GB2312" w:hAnsi="ˎ̥" w:eastAsia="仿宋_GB2312"/>
          <w:color w:val="auto"/>
          <w:sz w:val="32"/>
          <w:szCs w:val="32"/>
        </w:rPr>
        <w:t>年度政府性基金预算财政拨款支出年初预算为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ascii="仿宋_GB2312" w:hAnsi="ˎ̥" w:eastAsia="仿宋_GB2312"/>
          <w:color w:val="auto"/>
          <w:sz w:val="32"/>
          <w:szCs w:val="32"/>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w:t>
      </w:r>
    </w:p>
    <w:p w14:paraId="5E102F50">
      <w:pPr>
        <w:spacing w:before="0" w:beforeAutospacing="1" w:after="0" w:afterAutospacing="1"/>
        <w:ind w:left="0" w:firstLine="640" w:firstLineChars="200"/>
        <w:rPr>
          <w:rFonts w:hint="eastAsia" w:ascii="仿宋_GB2312" w:hAnsi="ˎ̥" w:eastAsia="仿宋_GB2312" w:cs="仿宋_GB2312"/>
          <w:b/>
          <w:bCs w:val="0"/>
          <w:color w:val="auto"/>
          <w:sz w:val="32"/>
          <w:szCs w:val="32"/>
          <w:lang w:val="en-US"/>
        </w:rPr>
      </w:pPr>
      <w:r>
        <w:rPr>
          <w:rFonts w:hint="eastAsia" w:ascii="仿宋_GB2312" w:hAnsi="ˎ̥" w:eastAsia="仿宋_GB2312" w:cs="仿宋_GB2312"/>
          <w:color w:val="auto"/>
          <w:sz w:val="32"/>
          <w:szCs w:val="32"/>
          <w:lang w:val="en-US"/>
        </w:rPr>
        <w:t>0</w:t>
      </w:r>
      <w:r>
        <w:rPr>
          <w:rFonts w:ascii="仿宋_GB2312" w:hAnsi="仿宋_GB2312"/>
          <w:b/>
          <w:bCs w:val="0"/>
          <w:color w:val="auto"/>
          <w:sz w:val="32"/>
          <w:szCs w:val="32"/>
          <w:lang w:eastAsia="zh-CN"/>
        </w:rPr>
        <w:t>（类）</w:t>
      </w:r>
      <w:r>
        <w:rPr>
          <w:rFonts w:hint="eastAsia" w:ascii="仿宋_GB2312" w:hAnsi="ˎ̥" w:eastAsia="仿宋_GB2312" w:cs="仿宋_GB2312"/>
          <w:color w:val="auto"/>
          <w:sz w:val="32"/>
          <w:szCs w:val="32"/>
          <w:lang w:val="en-US"/>
        </w:rPr>
        <w:t>0</w:t>
      </w:r>
      <w:r>
        <w:rPr>
          <w:rFonts w:ascii="仿宋_GB2312" w:hAnsi="仿宋_GB2312"/>
          <w:b/>
          <w:bCs w:val="0"/>
          <w:color w:val="auto"/>
          <w:sz w:val="32"/>
          <w:szCs w:val="32"/>
          <w:lang w:eastAsia="zh-CN"/>
        </w:rPr>
        <w:t>（款）</w:t>
      </w:r>
      <w:r>
        <w:rPr>
          <w:rFonts w:hint="eastAsia" w:ascii="仿宋_GB2312" w:hAnsi="ˎ̥" w:eastAsia="仿宋_GB2312" w:cs="仿宋_GB2312"/>
          <w:color w:val="auto"/>
          <w:sz w:val="32"/>
          <w:szCs w:val="32"/>
          <w:lang w:val="en-US"/>
        </w:rPr>
        <w:t>0</w:t>
      </w:r>
      <w:r>
        <w:rPr>
          <w:rFonts w:ascii="仿宋_GB2312" w:hAnsi="仿宋_GB2312"/>
          <w:b/>
          <w:bCs w:val="0"/>
          <w:color w:val="auto"/>
          <w:sz w:val="32"/>
          <w:szCs w:val="32"/>
          <w:lang w:eastAsia="zh-CN"/>
        </w:rPr>
        <w:t>（项）。</w:t>
      </w:r>
    </w:p>
    <w:p w14:paraId="6350A7DE">
      <w:pPr>
        <w:tabs>
          <w:tab w:val="center" w:pos="4473"/>
        </w:tabs>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、单位实际支出涉及的支出功能分类项级科目填列，本部分</w:t>
      </w:r>
      <w:r>
        <w:rPr>
          <w:rFonts w:ascii="仿宋_GB2312" w:hAnsi="ˎ̥" w:eastAsia="仿宋_GB2312"/>
          <w:sz w:val="32"/>
          <w:szCs w:val="32"/>
        </w:rPr>
        <w:t>2024</w:t>
      </w:r>
      <w:r>
        <w:rPr>
          <w:rFonts w:hint="eastAsia" w:ascii="仿宋_GB2312" w:hAnsi="ˎ̥" w:eastAsia="仿宋_GB2312"/>
          <w:sz w:val="32"/>
          <w:szCs w:val="32"/>
        </w:rPr>
        <w:t>年度决算相关数据取自财决公开07表；</w:t>
      </w:r>
      <w:r>
        <w:rPr>
          <w:rFonts w:ascii="仿宋_GB2312" w:hAnsi="ˎ̥" w:eastAsia="仿宋_GB2312"/>
          <w:sz w:val="32"/>
          <w:szCs w:val="32"/>
        </w:rPr>
        <w:t>2023</w:t>
      </w:r>
      <w:r>
        <w:rPr>
          <w:rFonts w:hint="eastAsia" w:ascii="仿宋_GB2312" w:hAnsi="ˎ̥" w:eastAsia="仿宋_GB2312"/>
          <w:sz w:val="32"/>
          <w:szCs w:val="32"/>
        </w:rPr>
        <w:t>年度决算相关数据取自</w:t>
      </w:r>
      <w:r>
        <w:rPr>
          <w:rFonts w:ascii="仿宋_GB2312" w:hAnsi="ˎ̥" w:eastAsia="仿宋_GB2312"/>
          <w:sz w:val="32"/>
          <w:szCs w:val="32"/>
        </w:rPr>
        <w:t>2023</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决算报表财决09表《政府性基金预算财政拨款收入支出决算表》。）</w:t>
      </w:r>
    </w:p>
    <w:p w14:paraId="67982157">
      <w:pPr>
        <w:tabs>
          <w:tab w:val="center" w:pos="4473"/>
        </w:tabs>
        <w:spacing w:line="578" w:lineRule="exact"/>
        <w:ind w:firstLine="627" w:firstLineChars="196"/>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14:paraId="74459F34">
      <w:pPr>
        <w:spacing w:line="578"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14:paraId="0E371882">
      <w:pPr>
        <w:spacing w:line="578" w:lineRule="exact"/>
        <w:ind w:firstLine="640" w:firstLineChars="200"/>
        <w:rPr>
          <w:rFonts w:hint="eastAsia"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年度国有资本经营预算财政拨款支出0万元，占本年支出合计的0%。与</w:t>
      </w:r>
      <w:r>
        <w:rPr>
          <w:rFonts w:ascii="仿宋_GB2312" w:hAnsi="ˎ̥" w:eastAsia="仿宋_GB2312"/>
          <w:sz w:val="32"/>
          <w:szCs w:val="32"/>
        </w:rPr>
        <w:t>2023</w:t>
      </w:r>
      <w:r>
        <w:rPr>
          <w:rFonts w:hint="eastAsia" w:ascii="仿宋_GB2312" w:hAnsi="ˎ̥" w:eastAsia="仿宋_GB2312"/>
          <w:sz w:val="32"/>
          <w:szCs w:val="32"/>
        </w:rPr>
        <w:t>年度相比，国有资本经营预算财政拨款支出增加（减少）0万元，增长（下降）0%，主要原因是无国有资本经营预算。</w:t>
      </w:r>
    </w:p>
    <w:p w14:paraId="70DAA84E">
      <w:pPr>
        <w:spacing w:line="578"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14:paraId="4C0DEC6C">
      <w:pPr>
        <w:spacing w:line="578" w:lineRule="exact"/>
        <w:ind w:firstLine="640" w:firstLineChars="200"/>
        <w:rPr>
          <w:rFonts w:hint="eastAsia"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年度国有资本经营预算财政拨款支出</w:t>
      </w:r>
      <w:r>
        <w:rPr>
          <w:rFonts w:ascii="仿宋_GB2312" w:hAnsi="ˎ̥" w:eastAsia="仿宋_GB2312"/>
          <w:sz w:val="32"/>
          <w:szCs w:val="32"/>
        </w:rPr>
        <w:t>0</w:t>
      </w:r>
      <w:r>
        <w:rPr>
          <w:rFonts w:hint="eastAsia" w:ascii="仿宋_GB2312" w:hAnsi="ˎ̥" w:eastAsia="仿宋_GB2312"/>
          <w:sz w:val="32"/>
          <w:szCs w:val="32"/>
        </w:rPr>
        <w:t>万元，无支出决算结构情况。</w:t>
      </w:r>
    </w:p>
    <w:p w14:paraId="030FA384">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、单位实际支出涉及的支出功能分类类级科目填列。）</w:t>
      </w:r>
    </w:p>
    <w:p w14:paraId="3C2B5653">
      <w:pPr>
        <w:spacing w:line="578"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14:paraId="5E147B28">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2024年度国有资本经营预算财政拨款支出年初预算为0万元，支出决算为0万元，完成年初预算的0%。其中：</w:t>
      </w:r>
    </w:p>
    <w:p w14:paraId="2611A5A9">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0</w:t>
      </w:r>
      <w:r>
        <w:rPr>
          <w:rFonts w:hint="eastAsia" w:ascii="仿宋_GB2312" w:hAnsi="ˎ̥" w:eastAsia="仿宋_GB2312"/>
          <w:b/>
          <w:sz w:val="32"/>
          <w:szCs w:val="32"/>
        </w:rPr>
        <w:t>（类）</w:t>
      </w:r>
      <w:r>
        <w:rPr>
          <w:rFonts w:hint="eastAsia" w:ascii="仿宋_GB2312" w:hAnsi="ˎ̥" w:eastAsia="仿宋_GB2312"/>
          <w:sz w:val="32"/>
          <w:szCs w:val="32"/>
        </w:rPr>
        <w:t>0</w:t>
      </w:r>
      <w:r>
        <w:rPr>
          <w:rFonts w:hint="eastAsia" w:ascii="仿宋_GB2312" w:hAnsi="ˎ̥" w:eastAsia="仿宋_GB2312"/>
          <w:b/>
          <w:sz w:val="32"/>
          <w:szCs w:val="32"/>
        </w:rPr>
        <w:t>（款）</w:t>
      </w:r>
      <w:r>
        <w:rPr>
          <w:rFonts w:hint="eastAsia" w:ascii="仿宋_GB2312" w:hAnsi="ˎ̥" w:eastAsia="仿宋_GB2312"/>
          <w:sz w:val="32"/>
          <w:szCs w:val="32"/>
        </w:rPr>
        <w:t>0</w:t>
      </w:r>
      <w:r>
        <w:rPr>
          <w:rFonts w:hint="eastAsia" w:ascii="仿宋_GB2312" w:hAnsi="ˎ̥" w:eastAsia="仿宋_GB2312"/>
          <w:b/>
          <w:sz w:val="32"/>
          <w:szCs w:val="32"/>
        </w:rPr>
        <w:t>（项）。</w:t>
      </w:r>
    </w:p>
    <w:p w14:paraId="451C3FF4">
      <w:pPr>
        <w:tabs>
          <w:tab w:val="center" w:pos="4473"/>
        </w:tabs>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、单位实际支出涉及的支出功能分类项级科目填列，本部分</w:t>
      </w:r>
      <w:r>
        <w:rPr>
          <w:rFonts w:ascii="仿宋_GB2312" w:hAnsi="ˎ̥" w:eastAsia="仿宋_GB2312"/>
          <w:sz w:val="32"/>
          <w:szCs w:val="32"/>
        </w:rPr>
        <w:t>2024</w:t>
      </w:r>
      <w:r>
        <w:rPr>
          <w:rFonts w:hint="eastAsia" w:ascii="仿宋_GB2312" w:hAnsi="ˎ̥" w:eastAsia="仿宋_GB2312"/>
          <w:sz w:val="32"/>
          <w:szCs w:val="32"/>
        </w:rPr>
        <w:t>年度决算相关数据取自财决公开08表。）</w:t>
      </w:r>
    </w:p>
    <w:p w14:paraId="63C2E8A3">
      <w:pPr>
        <w:spacing w:line="578" w:lineRule="exact"/>
        <w:ind w:firstLine="627" w:firstLineChars="196"/>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14:paraId="49477542">
      <w:pPr>
        <w:spacing w:line="578" w:lineRule="exact"/>
        <w:ind w:firstLine="640" w:firstLineChars="200"/>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14:paraId="1CFCB0C2">
      <w:pPr>
        <w:spacing w:line="578" w:lineRule="exact"/>
        <w:rPr>
          <w:rFonts w:hint="eastAsia" w:ascii="仿宋_GB2312" w:hAnsi="ˎ̥" w:eastAsia="仿宋_GB2312"/>
          <w:sz w:val="32"/>
          <w:szCs w:val="32"/>
        </w:rPr>
      </w:pPr>
      <w:r>
        <w:rPr>
          <w:rFonts w:hint="eastAsia" w:ascii="仿宋_GB2312" w:hAnsi="ˎ̥" w:eastAsia="仿宋_GB2312"/>
          <w:sz w:val="32"/>
          <w:szCs w:val="32"/>
        </w:rPr>
        <w:t xml:space="preserve">    2024年度财政拨款</w:t>
      </w:r>
      <w:r>
        <w:rPr>
          <w:rFonts w:ascii="仿宋_GB2312" w:hAnsi="ˎ̥" w:eastAsia="仿宋_GB2312"/>
          <w:sz w:val="32"/>
          <w:szCs w:val="32"/>
        </w:rPr>
        <w:t>“</w:t>
      </w:r>
      <w:r>
        <w:rPr>
          <w:rFonts w:hint="eastAsia" w:ascii="仿宋_GB2312" w:hAnsi="ˎ̥" w:eastAsia="仿宋_GB2312"/>
          <w:sz w:val="32"/>
          <w:szCs w:val="32"/>
        </w:rPr>
        <w:t>三公</w:t>
      </w:r>
      <w:r>
        <w:rPr>
          <w:rFonts w:ascii="仿宋_GB2312" w:hAnsi="ˎ̥" w:eastAsia="仿宋_GB2312"/>
          <w:sz w:val="32"/>
          <w:szCs w:val="32"/>
        </w:rPr>
        <w:t>”</w:t>
      </w:r>
      <w:r>
        <w:rPr>
          <w:rFonts w:hint="eastAsia" w:ascii="仿宋_GB2312" w:hAnsi="ˎ̥" w:eastAsia="仿宋_GB2312"/>
          <w:sz w:val="32"/>
          <w:szCs w:val="32"/>
        </w:rPr>
        <w:t>经费支出预算为0.00万元，支出决算为0.00万元，完成预算的0%。</w:t>
      </w:r>
    </w:p>
    <w:p w14:paraId="1AD44C6F">
      <w:pPr>
        <w:spacing w:line="578" w:lineRule="exact"/>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14:paraId="55111CC7">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2024年度财政拨款</w:t>
      </w:r>
      <w:r>
        <w:rPr>
          <w:rFonts w:ascii="仿宋_GB2312" w:hAnsi="ˎ̥" w:eastAsia="仿宋_GB2312"/>
          <w:sz w:val="32"/>
          <w:szCs w:val="32"/>
        </w:rPr>
        <w:t>“</w:t>
      </w:r>
      <w:r>
        <w:rPr>
          <w:rFonts w:hint="eastAsia" w:ascii="仿宋_GB2312" w:hAnsi="ˎ̥" w:eastAsia="仿宋_GB2312"/>
          <w:sz w:val="32"/>
          <w:szCs w:val="32"/>
        </w:rPr>
        <w:t>三公</w:t>
      </w:r>
      <w:r>
        <w:rPr>
          <w:rFonts w:ascii="仿宋_GB2312" w:hAnsi="ˎ̥" w:eastAsia="仿宋_GB2312"/>
          <w:sz w:val="32"/>
          <w:szCs w:val="32"/>
        </w:rPr>
        <w:t>”</w:t>
      </w:r>
      <w:r>
        <w:rPr>
          <w:rFonts w:hint="eastAsia" w:ascii="仿宋_GB2312" w:hAnsi="ˎ̥" w:eastAsia="仿宋_GB2312"/>
          <w:sz w:val="32"/>
          <w:szCs w:val="32"/>
        </w:rPr>
        <w:t>经费支出决算中，因公出国（境）费支出决算0.00万元，占0%；公务用车购置及运行维护费支出决算0.00万元，占0%；公务接待费支出决算0.00万元，占0%。具体情况如下：</w:t>
      </w:r>
    </w:p>
    <w:p w14:paraId="70EBAAE1">
      <w:pPr>
        <w:spacing w:line="578" w:lineRule="exact"/>
        <w:ind w:firstLine="643" w:firstLineChars="200"/>
        <w:rPr>
          <w:rFonts w:hint="eastAsia" w:ascii="仿宋_GB2312" w:hAnsi="ˎ̥" w:eastAsia="仿宋_GB2312"/>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支出0.00万元。全年安排因公出国（境）团组0个，因公出国（境）0人次。</w:t>
      </w:r>
    </w:p>
    <w:p w14:paraId="6278EE34">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因公出国（境）费支出决算比预算数增加（减少）0万元，增长（下降）0%。主要原因是没有安排因公出国出境。</w:t>
      </w:r>
    </w:p>
    <w:p w14:paraId="5D160532">
      <w:pPr>
        <w:spacing w:line="578" w:lineRule="exact"/>
        <w:ind w:firstLine="321" w:firstLineChars="100"/>
        <w:rPr>
          <w:rFonts w:hint="eastAsia" w:ascii="仿宋_GB2312" w:hAnsi="ˎ̥" w:eastAsia="仿宋_GB2312"/>
          <w:sz w:val="32"/>
          <w:szCs w:val="32"/>
        </w:rPr>
      </w:pPr>
      <w:r>
        <w:rPr>
          <w:rFonts w:hint="eastAsia" w:ascii="仿宋_GB2312" w:hAnsi="ˎ̥" w:eastAsia="仿宋_GB2312"/>
          <w:b/>
          <w:sz w:val="32"/>
          <w:szCs w:val="32"/>
        </w:rPr>
        <w:t xml:space="preserve"> 2.公务用车购置及运行维护费支出</w:t>
      </w:r>
      <w:r>
        <w:rPr>
          <w:rFonts w:hint="eastAsia" w:ascii="仿宋_GB2312" w:hAnsi="ˎ̥" w:eastAsia="仿宋_GB2312"/>
          <w:sz w:val="32"/>
          <w:szCs w:val="32"/>
        </w:rPr>
        <w:t>0.00万元。其中：</w:t>
      </w:r>
    </w:p>
    <w:p w14:paraId="7A4FD6EA">
      <w:pPr>
        <w:spacing w:line="578" w:lineRule="exact"/>
        <w:ind w:firstLine="643" w:firstLineChars="200"/>
        <w:rPr>
          <w:rFonts w:hint="eastAsia" w:ascii="仿宋_GB2312" w:hAnsi="ˎ̥" w:eastAsia="仿宋_GB2312"/>
          <w:sz w:val="32"/>
          <w:szCs w:val="32"/>
        </w:rPr>
      </w:pPr>
      <w:r>
        <w:rPr>
          <w:rFonts w:hint="eastAsia" w:ascii="仿宋_GB2312" w:hAnsi="ˎ̥" w:eastAsia="仿宋_GB2312"/>
          <w:b/>
          <w:sz w:val="32"/>
          <w:szCs w:val="32"/>
        </w:rPr>
        <w:t>公务用车购置支出</w:t>
      </w:r>
      <w:r>
        <w:rPr>
          <w:rFonts w:hint="eastAsia" w:ascii="仿宋_GB2312" w:hAnsi="ˎ̥" w:eastAsia="仿宋_GB2312"/>
          <w:sz w:val="32"/>
          <w:szCs w:val="32"/>
        </w:rPr>
        <w:t>0.00万元，全年购置公务用车0辆，年末公务用车保有量0辆。</w:t>
      </w:r>
    </w:p>
    <w:p w14:paraId="679EB36D">
      <w:pPr>
        <w:spacing w:line="578" w:lineRule="exact"/>
        <w:ind w:firstLine="643" w:firstLineChars="200"/>
        <w:rPr>
          <w:rFonts w:hint="eastAsia" w:ascii="仿宋_GB2312" w:hAnsi="ˎ̥" w:eastAsia="仿宋_GB2312"/>
          <w:sz w:val="32"/>
          <w:szCs w:val="32"/>
        </w:rPr>
      </w:pPr>
      <w:r>
        <w:rPr>
          <w:rFonts w:hint="eastAsia" w:ascii="仿宋_GB2312" w:hAnsi="ˎ̥" w:eastAsia="仿宋_GB2312"/>
          <w:b/>
          <w:sz w:val="32"/>
          <w:szCs w:val="32"/>
        </w:rPr>
        <w:t>公务用车运行维护费支出</w:t>
      </w:r>
      <w:r>
        <w:rPr>
          <w:rFonts w:hint="eastAsia" w:ascii="仿宋_GB2312" w:hAnsi="ˎ̥" w:eastAsia="仿宋_GB2312"/>
          <w:sz w:val="32"/>
          <w:szCs w:val="32"/>
        </w:rPr>
        <w:t>0.00万元。</w:t>
      </w:r>
    </w:p>
    <w:p w14:paraId="3816206F">
      <w:pPr>
        <w:spacing w:line="578" w:lineRule="exact"/>
        <w:ind w:firstLine="640" w:firstLineChars="200"/>
        <w:rPr>
          <w:rFonts w:hint="eastAsia" w:ascii="仿宋_GB2312" w:hAnsi="ˎ̥" w:eastAsia="仿宋_GB2312"/>
          <w:bCs/>
          <w:sz w:val="32"/>
          <w:szCs w:val="32"/>
        </w:rPr>
      </w:pPr>
      <w:r>
        <w:rPr>
          <w:rFonts w:hint="eastAsia" w:ascii="仿宋_GB2312" w:hAnsi="ˎ̥" w:eastAsia="仿宋_GB2312"/>
          <w:bCs/>
          <w:sz w:val="32"/>
          <w:szCs w:val="32"/>
        </w:rPr>
        <w:t>公务用车购置及运行费支出决算数</w:t>
      </w:r>
      <w:r>
        <w:rPr>
          <w:rFonts w:hint="eastAsia" w:ascii="仿宋_GB2312" w:hAnsi="ˎ̥" w:eastAsia="仿宋_GB2312"/>
          <w:sz w:val="32"/>
          <w:szCs w:val="32"/>
        </w:rPr>
        <w:t>比预算数增加（减少）0万元，增长（下降）0%。主要原因是本单位无公务用车。</w:t>
      </w:r>
    </w:p>
    <w:p w14:paraId="01FE455D">
      <w:pPr>
        <w:spacing w:line="578" w:lineRule="exact"/>
        <w:ind w:firstLine="321" w:firstLineChars="100"/>
        <w:rPr>
          <w:rFonts w:hint="eastAsia" w:ascii="仿宋_GB2312" w:hAnsi="ˎ̥" w:eastAsia="仿宋_GB2312"/>
          <w:sz w:val="32"/>
          <w:szCs w:val="32"/>
        </w:rPr>
      </w:pPr>
      <w:r>
        <w:rPr>
          <w:rFonts w:hint="eastAsia" w:ascii="仿宋_GB2312" w:hAnsi="ˎ̥" w:eastAsia="仿宋_GB2312"/>
          <w:b/>
          <w:sz w:val="32"/>
          <w:szCs w:val="32"/>
        </w:rPr>
        <w:t xml:space="preserve"> 3.公务接待费支出</w:t>
      </w:r>
      <w:r>
        <w:rPr>
          <w:rFonts w:hint="eastAsia" w:ascii="仿宋_GB2312" w:hAnsi="ˎ̥" w:eastAsia="仿宋_GB2312"/>
          <w:sz w:val="32"/>
          <w:szCs w:val="32"/>
        </w:rPr>
        <w:t>0.00万元，其中：</w:t>
      </w:r>
    </w:p>
    <w:p w14:paraId="78AC2648">
      <w:pPr>
        <w:spacing w:line="578" w:lineRule="exact"/>
        <w:ind w:firstLine="643" w:firstLineChars="200"/>
        <w:rPr>
          <w:rFonts w:hint="eastAsia" w:ascii="仿宋_GB2312" w:hAnsi="ˎ̥" w:eastAsia="仿宋_GB2312"/>
          <w:sz w:val="32"/>
          <w:szCs w:val="32"/>
        </w:rPr>
      </w:pPr>
      <w:r>
        <w:rPr>
          <w:rFonts w:hint="eastAsia" w:ascii="仿宋_GB2312" w:hAnsi="ˎ̥" w:eastAsia="仿宋_GB2312"/>
          <w:b/>
          <w:sz w:val="32"/>
          <w:szCs w:val="32"/>
        </w:rPr>
        <w:t>国内接待费</w:t>
      </w:r>
      <w:r>
        <w:rPr>
          <w:rFonts w:hint="eastAsia" w:ascii="仿宋_GB2312" w:hAnsi="ˎ̥" w:eastAsia="仿宋_GB2312"/>
          <w:sz w:val="32"/>
          <w:szCs w:val="32"/>
        </w:rPr>
        <w:t>支出0万元，国内公务接待0批次，接待0人次。</w:t>
      </w:r>
    </w:p>
    <w:p w14:paraId="6FB31A5E">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国（境）外接待费支出0万元，国（境）外公务接待0批次，接待0人次。</w:t>
      </w:r>
    </w:p>
    <w:p w14:paraId="1A045AFA">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公务接待费支出决算数比预算数增加（减少）0万元，增长（下降）0%。主要原因是没有安排公务接待。</w:t>
      </w:r>
    </w:p>
    <w:p w14:paraId="7834DA5B">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：2024</w:t>
      </w:r>
      <w:r>
        <w:rPr>
          <w:rFonts w:hint="eastAsia" w:ascii="仿宋_GB2312" w:hAnsi="ˎ̥" w:eastAsia="仿宋_GB2312"/>
          <w:sz w:val="32"/>
          <w:szCs w:val="32"/>
        </w:rPr>
        <w:t>年度“三公”经费预算数、决算数可取自财决公开09表，出国团组数、出国人次，公务用车购置数、公务用车保有量，接待团组数、接待人次可取自</w:t>
      </w:r>
      <w:r>
        <w:rPr>
          <w:rFonts w:hint="eastAsia" w:ascii="仿宋_GB2312" w:hAnsi="ˎ̥" w:eastAsia="仿宋_GB2312"/>
          <w:sz w:val="32"/>
          <w:szCs w:val="32"/>
          <w:lang w:eastAsia="zh-CN"/>
        </w:rPr>
        <w:t>单位</w:t>
      </w:r>
      <w:r>
        <w:rPr>
          <w:rFonts w:hint="eastAsia" w:ascii="仿宋_GB2312" w:hAnsi="ˎ̥" w:eastAsia="仿宋_GB2312"/>
          <w:sz w:val="32"/>
          <w:szCs w:val="32"/>
        </w:rPr>
        <w:t>决算报表F03表《机构运行信息表》，</w:t>
      </w:r>
      <w:r>
        <w:rPr>
          <w:rFonts w:ascii="仿宋_GB2312" w:hAnsi="ˎ̥" w:eastAsia="仿宋_GB2312"/>
          <w:sz w:val="32"/>
          <w:szCs w:val="32"/>
        </w:rPr>
        <w:t>2023</w:t>
      </w:r>
      <w:r>
        <w:rPr>
          <w:rFonts w:hint="eastAsia" w:ascii="仿宋_GB2312" w:hAnsi="ˎ̥" w:eastAsia="仿宋_GB2312"/>
          <w:sz w:val="32"/>
          <w:szCs w:val="32"/>
        </w:rPr>
        <w:t>年度相关</w:t>
      </w:r>
      <w:r>
        <w:rPr>
          <w:rFonts w:ascii="仿宋_GB2312" w:hAnsi="ˎ̥" w:eastAsia="仿宋_GB2312"/>
          <w:sz w:val="32"/>
          <w:szCs w:val="32"/>
        </w:rPr>
        <w:t>数据</w:t>
      </w:r>
      <w:r>
        <w:rPr>
          <w:rFonts w:hint="eastAsia" w:ascii="仿宋_GB2312" w:hAnsi="ˎ̥" w:eastAsia="仿宋_GB2312"/>
          <w:sz w:val="32"/>
          <w:szCs w:val="32"/>
        </w:rPr>
        <w:t>可取自</w:t>
      </w:r>
      <w:r>
        <w:rPr>
          <w:rFonts w:ascii="仿宋_GB2312" w:hAnsi="ˎ̥" w:eastAsia="仿宋_GB2312"/>
          <w:sz w:val="32"/>
          <w:szCs w:val="32"/>
        </w:rPr>
        <w:t>2023</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ascii="仿宋_GB2312" w:hAnsi="ˎ̥" w:eastAsia="仿宋_GB2312"/>
          <w:sz w:val="32"/>
          <w:szCs w:val="32"/>
        </w:rPr>
        <w:t>决算报表</w:t>
      </w:r>
      <w:r>
        <w:rPr>
          <w:rFonts w:hint="eastAsia" w:ascii="仿宋_GB2312" w:hAnsi="ˎ̥" w:eastAsia="仿宋_GB2312"/>
          <w:sz w:val="32"/>
          <w:szCs w:val="32"/>
        </w:rPr>
        <w:t>F03表《机构</w:t>
      </w:r>
      <w:r>
        <w:rPr>
          <w:rFonts w:ascii="仿宋_GB2312" w:hAnsi="ˎ̥" w:eastAsia="仿宋_GB2312"/>
          <w:sz w:val="32"/>
          <w:szCs w:val="32"/>
        </w:rPr>
        <w:t>运行信息表》</w:t>
      </w:r>
      <w:r>
        <w:rPr>
          <w:rFonts w:hint="eastAsia" w:ascii="仿宋_GB2312" w:hAnsi="ˎ̥" w:eastAsia="仿宋_GB2312"/>
          <w:sz w:val="32"/>
          <w:szCs w:val="32"/>
        </w:rPr>
        <w:t>。）</w:t>
      </w:r>
    </w:p>
    <w:p w14:paraId="431F1BFC">
      <w:pPr>
        <w:spacing w:line="578"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十、预算绩效情况说明</w:t>
      </w:r>
    </w:p>
    <w:p w14:paraId="72D6F8DB">
      <w:pPr>
        <w:spacing w:line="578" w:lineRule="exact"/>
        <w:ind w:firstLine="640" w:firstLineChars="200"/>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14:paraId="031B2E6B">
      <w:pPr>
        <w:spacing w:line="578" w:lineRule="exact"/>
        <w:ind w:firstLine="640" w:firstLineChars="200"/>
        <w:rPr>
          <w:rFonts w:ascii="仿宋_GB2312" w:eastAsia="仿宋_GB2312"/>
          <w:color w:val="auto"/>
          <w:sz w:val="32"/>
          <w:szCs w:val="32"/>
        </w:rPr>
      </w:pPr>
      <w:r>
        <w:rPr>
          <w:rFonts w:hint="eastAsia" w:ascii="仿宋_GB2312" w:eastAsia="仿宋_GB2312"/>
          <w:sz w:val="32"/>
          <w:szCs w:val="32"/>
        </w:rPr>
        <w:t>根据财政预算绩效管理要求，可按照如下格式说明：根据预算管理要求，我单位对</w:t>
      </w:r>
      <w:r>
        <w:rPr>
          <w:rFonts w:ascii="仿宋_GB2312" w:eastAsia="仿宋_GB2312"/>
          <w:sz w:val="32"/>
          <w:szCs w:val="32"/>
        </w:rPr>
        <w:t>2024</w:t>
      </w:r>
      <w:r>
        <w:rPr>
          <w:rFonts w:hint="eastAsia" w:ascii="仿宋_GB2312" w:eastAsia="仿宋_GB2312"/>
          <w:sz w:val="32"/>
          <w:szCs w:val="32"/>
        </w:rPr>
        <w:t>年度一般公共预算项目支出开展绩</w:t>
      </w:r>
      <w:r>
        <w:rPr>
          <w:rFonts w:hint="eastAsia" w:ascii="仿宋_GB2312" w:eastAsia="仿宋_GB2312"/>
          <w:color w:val="auto"/>
          <w:sz w:val="32"/>
          <w:szCs w:val="32"/>
        </w:rPr>
        <w:t>效自评</w:t>
      </w:r>
      <w:r>
        <w:rPr>
          <w:rFonts w:hint="eastAsia" w:ascii="仿宋_GB2312" w:eastAsia="仿宋_GB2312"/>
          <w:color w:val="auto"/>
          <w:sz w:val="32"/>
          <w:szCs w:val="32"/>
          <w:lang w:eastAsia="zh-CN"/>
        </w:rPr>
        <w:t>说明如下：其中</w:t>
      </w:r>
      <w:r>
        <w:rPr>
          <w:rFonts w:ascii="仿宋_GB2312" w:eastAsia="仿宋_GB2312"/>
          <w:color w:val="auto"/>
          <w:sz w:val="32"/>
          <w:szCs w:val="32"/>
        </w:rPr>
        <w:t>,</w:t>
      </w:r>
      <w:r>
        <w:rPr>
          <w:rFonts w:hint="eastAsia" w:ascii="仿宋_GB2312" w:eastAsia="仿宋_GB2312"/>
          <w:color w:val="auto"/>
          <w:sz w:val="32"/>
          <w:szCs w:val="32"/>
        </w:rPr>
        <w:t>共涉及资金2,576.43万元，占一般公共预算项目支出总额的</w:t>
      </w:r>
      <w:r>
        <w:rPr>
          <w:rFonts w:hint="eastAsia" w:ascii="仿宋_GB2312" w:eastAsia="仿宋_GB2312"/>
          <w:color w:val="auto"/>
          <w:sz w:val="32"/>
          <w:szCs w:val="32"/>
          <w:lang w:val="en-US" w:eastAsia="zh-CN"/>
        </w:rPr>
        <w:t>100</w:t>
      </w:r>
      <w:r>
        <w:rPr>
          <w:rFonts w:hint="eastAsia" w:ascii="仿宋_GB2312" w:eastAsia="仿宋_GB2312"/>
          <w:color w:val="auto"/>
          <w:sz w:val="32"/>
          <w:szCs w:val="32"/>
        </w:rPr>
        <w:t>%。</w:t>
      </w:r>
      <w:r>
        <w:rPr>
          <w:rFonts w:hint="eastAsia" w:ascii="仿宋_GB2312" w:eastAsia="仿宋_GB2312"/>
          <w:color w:val="auto"/>
          <w:sz w:val="32"/>
          <w:szCs w:val="32"/>
          <w:lang w:bidi="ar"/>
        </w:rPr>
        <w:t>组织对</w:t>
      </w:r>
      <w:r>
        <w:rPr>
          <w:rFonts w:ascii="仿宋_GB2312" w:eastAsia="仿宋_GB2312"/>
          <w:color w:val="auto"/>
          <w:sz w:val="32"/>
          <w:szCs w:val="32"/>
          <w:lang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个政府性基金预算项目开展绩效自评，共涉及资金</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万元，占政府性基金预算项目支出总额的</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%。组织对</w:t>
      </w:r>
      <w:r>
        <w:rPr>
          <w:rFonts w:ascii="仿宋_GB2312" w:eastAsia="仿宋_GB2312"/>
          <w:color w:val="auto"/>
          <w:sz w:val="32"/>
          <w:szCs w:val="32"/>
          <w:lang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 xml:space="preserve">个国有资本经营预算项目开展绩效自评，共涉及资金 </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万元，占国有资本经营预算项目支出总额的</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w:t>
      </w:r>
    </w:p>
    <w:p w14:paraId="541A835D">
      <w:pPr>
        <w:spacing w:line="578" w:lineRule="exact"/>
        <w:ind w:firstLine="640" w:firstLineChars="200"/>
        <w:rPr>
          <w:rFonts w:ascii="仿宋_GB2312" w:eastAsia="仿宋_GB2312"/>
          <w:sz w:val="32"/>
          <w:szCs w:val="32"/>
        </w:rPr>
      </w:pPr>
      <w:r>
        <w:rPr>
          <w:rFonts w:hint="eastAsia" w:ascii="仿宋_GB2312" w:eastAsia="仿宋_GB2312"/>
          <w:color w:val="auto"/>
          <w:sz w:val="32"/>
          <w:szCs w:val="32"/>
        </w:rPr>
        <w:t>共组织对</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个项目开展了</w:t>
      </w:r>
      <w:r>
        <w:rPr>
          <w:rFonts w:hint="eastAsia" w:ascii="仿宋_GB2312" w:eastAsia="仿宋_GB2312"/>
          <w:color w:val="auto"/>
          <w:sz w:val="32"/>
          <w:szCs w:val="32"/>
          <w:lang w:eastAsia="zh-CN"/>
        </w:rPr>
        <w:t>单位</w:t>
      </w:r>
      <w:r>
        <w:rPr>
          <w:rFonts w:hint="eastAsia" w:ascii="仿宋_GB2312" w:eastAsia="仿宋_GB2312"/>
          <w:color w:val="auto"/>
          <w:sz w:val="32"/>
          <w:szCs w:val="32"/>
        </w:rPr>
        <w:t>评价，</w:t>
      </w:r>
      <w:r>
        <w:rPr>
          <w:rFonts w:hint="eastAsia" w:ascii="仿宋_GB2312" w:eastAsia="仿宋_GB2312"/>
          <w:color w:val="auto"/>
          <w:sz w:val="32"/>
          <w:szCs w:val="32"/>
          <w:lang w:bidi="ar"/>
        </w:rPr>
        <w:t>涉及一般公共预算支出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万元，政府性基金预算支出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万元，国有资本经营预算支出</w:t>
      </w:r>
      <w:r>
        <w:rPr>
          <w:rFonts w:hint="eastAsia" w:ascii="仿宋_GB2312" w:eastAsia="仿宋_GB2312"/>
          <w:color w:val="auto"/>
          <w:sz w:val="32"/>
          <w:szCs w:val="32"/>
          <w:lang w:val="en-US" w:eastAsia="zh-CN" w:bidi="ar"/>
        </w:rPr>
        <w:t>0</w:t>
      </w:r>
      <w:r>
        <w:rPr>
          <w:rFonts w:hint="eastAsia" w:ascii="仿宋_GB2312" w:eastAsia="仿宋_GB2312"/>
          <w:sz w:val="32"/>
          <w:szCs w:val="32"/>
          <w:lang w:bidi="ar"/>
        </w:rPr>
        <w:t>万元。</w:t>
      </w:r>
      <w:r>
        <w:rPr>
          <w:rFonts w:hint="eastAsia" w:ascii="仿宋_GB2312" w:eastAsia="仿宋_GB2312"/>
          <w:sz w:val="32"/>
          <w:szCs w:val="32"/>
        </w:rPr>
        <w:t>（预算</w:t>
      </w:r>
      <w:r>
        <w:rPr>
          <w:rFonts w:hint="eastAsia" w:ascii="仿宋_GB2312" w:eastAsia="仿宋_GB2312"/>
          <w:sz w:val="32"/>
          <w:szCs w:val="32"/>
          <w:lang w:eastAsia="zh-CN"/>
        </w:rPr>
        <w:t>单位</w:t>
      </w:r>
      <w:r>
        <w:rPr>
          <w:rFonts w:hint="eastAsia" w:ascii="仿宋_GB2312" w:eastAsia="仿宋_GB2312"/>
          <w:sz w:val="32"/>
          <w:szCs w:val="32"/>
        </w:rPr>
        <w:t>如有，请对预算绩效评价情况进行简单说明；没有，则简要说明本年没有进行相关工作及理由。</w:t>
      </w:r>
      <w:r>
        <w:rPr>
          <w:rFonts w:hint="eastAsia" w:ascii="仿宋_GB2312" w:eastAsia="仿宋_GB2312"/>
          <w:sz w:val="32"/>
          <w:szCs w:val="32"/>
          <w:lang w:eastAsia="zh-CN"/>
        </w:rPr>
        <w:t>单位</w:t>
      </w:r>
      <w:r>
        <w:rPr>
          <w:rFonts w:hint="eastAsia" w:ascii="仿宋_GB2312" w:eastAsia="仿宋_GB2312"/>
          <w:sz w:val="32"/>
          <w:szCs w:val="32"/>
        </w:rPr>
        <w:t>所属单位不需填写此项）。</w:t>
      </w:r>
    </w:p>
    <w:p w14:paraId="41FA45F8">
      <w:pPr>
        <w:spacing w:line="578" w:lineRule="exact"/>
        <w:ind w:firstLine="640" w:firstLineChars="200"/>
        <w:rPr>
          <w:rFonts w:hint="eastAsia" w:ascii="楷体" w:hAnsi="楷体" w:eastAsia="楷体" w:cs="楷体"/>
          <w:bCs/>
          <w:sz w:val="32"/>
          <w:szCs w:val="32"/>
        </w:rPr>
      </w:pPr>
      <w:r>
        <w:rPr>
          <w:rFonts w:hint="eastAsia" w:ascii="楷体" w:hAnsi="楷体" w:eastAsia="楷体" w:cs="楷体"/>
          <w:bCs/>
          <w:sz w:val="32"/>
          <w:szCs w:val="32"/>
        </w:rPr>
        <w:t>（二）</w:t>
      </w:r>
      <w:r>
        <w:rPr>
          <w:rFonts w:hint="eastAsia" w:ascii="楷体" w:hAnsi="楷体" w:eastAsia="楷体" w:cs="楷体"/>
          <w:bCs/>
          <w:sz w:val="32"/>
          <w:szCs w:val="32"/>
          <w:lang w:eastAsia="zh-CN"/>
        </w:rPr>
        <w:t>单位</w:t>
      </w:r>
      <w:r>
        <w:rPr>
          <w:rFonts w:hint="eastAsia" w:ascii="楷体" w:hAnsi="楷体" w:eastAsia="楷体" w:cs="楷体"/>
          <w:bCs/>
          <w:sz w:val="32"/>
          <w:szCs w:val="32"/>
        </w:rPr>
        <w:t>决算中项目绩效自评结果（预算</w:t>
      </w:r>
      <w:r>
        <w:rPr>
          <w:rFonts w:hint="eastAsia" w:ascii="楷体" w:hAnsi="楷体" w:eastAsia="楷体" w:cs="楷体"/>
          <w:bCs/>
          <w:sz w:val="32"/>
          <w:szCs w:val="32"/>
          <w:lang w:eastAsia="zh-CN"/>
        </w:rPr>
        <w:t>单位</w:t>
      </w:r>
      <w:r>
        <w:rPr>
          <w:rFonts w:hint="eastAsia" w:ascii="楷体" w:hAnsi="楷体" w:eastAsia="楷体" w:cs="楷体"/>
          <w:bCs/>
          <w:sz w:val="32"/>
          <w:szCs w:val="32"/>
        </w:rPr>
        <w:t>、单位可根据实际情况反映重点项目绩效自评结果）</w:t>
      </w:r>
    </w:p>
    <w:p w14:paraId="43D7D0B3">
      <w:pPr>
        <w:spacing w:line="578" w:lineRule="exact"/>
        <w:ind w:firstLine="960" w:firstLineChars="300"/>
        <w:rPr>
          <w:rFonts w:hint="eastAsia" w:ascii="楷体" w:hAnsi="楷体" w:eastAsia="楷体" w:cs="楷体"/>
          <w:bCs/>
          <w:sz w:val="32"/>
          <w:szCs w:val="32"/>
        </w:rPr>
      </w:pPr>
      <w:r>
        <w:rPr>
          <w:rFonts w:hint="eastAsia" w:ascii="楷体" w:hAnsi="楷体" w:eastAsia="楷体" w:cs="楷体"/>
          <w:bCs/>
          <w:sz w:val="32"/>
          <w:szCs w:val="32"/>
        </w:rPr>
        <w:t>无</w:t>
      </w:r>
    </w:p>
    <w:p w14:paraId="2CEA3559">
      <w:pPr>
        <w:spacing w:line="578" w:lineRule="exact"/>
        <w:ind w:firstLine="640" w:firstLineChars="200"/>
        <w:rPr>
          <w:rFonts w:hint="eastAsia" w:ascii="楷体" w:hAnsi="楷体" w:eastAsia="楷体" w:cs="楷体"/>
          <w:bCs/>
          <w:sz w:val="32"/>
          <w:szCs w:val="32"/>
        </w:rPr>
      </w:pPr>
      <w:r>
        <w:rPr>
          <w:rFonts w:hint="eastAsia" w:ascii="楷体" w:hAnsi="楷体" w:eastAsia="楷体" w:cs="楷体"/>
          <w:bCs/>
          <w:sz w:val="32"/>
          <w:szCs w:val="32"/>
        </w:rPr>
        <w:t>（三）</w:t>
      </w:r>
      <w:r>
        <w:rPr>
          <w:rFonts w:hint="eastAsia" w:ascii="楷体" w:hAnsi="楷体" w:eastAsia="楷体" w:cs="楷体"/>
          <w:bCs/>
          <w:sz w:val="32"/>
          <w:szCs w:val="32"/>
          <w:lang w:eastAsia="zh-CN"/>
        </w:rPr>
        <w:t>单位</w:t>
      </w:r>
      <w:r>
        <w:rPr>
          <w:rFonts w:hint="eastAsia" w:ascii="楷体" w:hAnsi="楷体" w:eastAsia="楷体" w:cs="楷体"/>
          <w:bCs/>
          <w:sz w:val="32"/>
          <w:szCs w:val="32"/>
        </w:rPr>
        <w:t>评价结果（预算</w:t>
      </w:r>
      <w:r>
        <w:rPr>
          <w:rFonts w:hint="eastAsia" w:ascii="楷体" w:hAnsi="楷体" w:eastAsia="楷体" w:cs="楷体"/>
          <w:bCs/>
          <w:sz w:val="32"/>
          <w:szCs w:val="32"/>
          <w:lang w:eastAsia="zh-CN"/>
        </w:rPr>
        <w:t>单位</w:t>
      </w:r>
      <w:r>
        <w:rPr>
          <w:rFonts w:hint="eastAsia" w:ascii="楷体" w:hAnsi="楷体" w:eastAsia="楷体" w:cs="楷体"/>
          <w:bCs/>
          <w:sz w:val="32"/>
          <w:szCs w:val="32"/>
        </w:rPr>
        <w:t>填写，</w:t>
      </w:r>
      <w:r>
        <w:rPr>
          <w:rFonts w:hint="eastAsia" w:ascii="楷体" w:hAnsi="楷体" w:eastAsia="楷体" w:cs="楷体"/>
          <w:bCs/>
          <w:sz w:val="32"/>
          <w:szCs w:val="32"/>
          <w:lang w:eastAsia="zh-CN"/>
        </w:rPr>
        <w:t>单位</w:t>
      </w:r>
      <w:r>
        <w:rPr>
          <w:rFonts w:hint="eastAsia" w:ascii="楷体" w:hAnsi="楷体" w:eastAsia="楷体" w:cs="楷体"/>
          <w:bCs/>
          <w:sz w:val="32"/>
          <w:szCs w:val="32"/>
        </w:rPr>
        <w:t>所属单位不需填写）</w:t>
      </w:r>
    </w:p>
    <w:p w14:paraId="29276DBD">
      <w:pPr>
        <w:spacing w:line="578" w:lineRule="exact"/>
        <w:ind w:firstLine="960" w:firstLineChars="300"/>
        <w:rPr>
          <w:rFonts w:hint="eastAsia" w:ascii="楷体" w:hAnsi="楷体" w:eastAsia="楷体" w:cs="楷体"/>
          <w:bCs/>
          <w:sz w:val="32"/>
          <w:szCs w:val="32"/>
        </w:rPr>
      </w:pPr>
      <w:r>
        <w:rPr>
          <w:rFonts w:hint="eastAsia" w:ascii="楷体" w:hAnsi="楷体" w:eastAsia="楷体" w:cs="楷体"/>
          <w:bCs/>
          <w:sz w:val="32"/>
          <w:szCs w:val="32"/>
        </w:rPr>
        <w:t>无</w:t>
      </w:r>
    </w:p>
    <w:p w14:paraId="0958F462">
      <w:pPr>
        <w:spacing w:line="578" w:lineRule="exact"/>
        <w:ind w:firstLine="640" w:firstLineChars="200"/>
        <w:rPr>
          <w:rFonts w:hint="eastAsia" w:ascii="楷体" w:hAnsi="楷体" w:eastAsia="楷体" w:cs="楷体"/>
          <w:bCs/>
          <w:sz w:val="32"/>
          <w:szCs w:val="32"/>
        </w:rPr>
      </w:pPr>
      <w:r>
        <w:rPr>
          <w:rFonts w:hint="eastAsia" w:ascii="楷体" w:hAnsi="楷体" w:eastAsia="楷体" w:cs="楷体"/>
          <w:bCs/>
          <w:sz w:val="32"/>
          <w:szCs w:val="32"/>
        </w:rPr>
        <w:t>（四）财政评价结果（如有）</w:t>
      </w:r>
    </w:p>
    <w:p w14:paraId="7433466B">
      <w:pPr>
        <w:spacing w:before="0" w:beforeAutospacing="1" w:after="0" w:afterAutospacing="1"/>
        <w:ind w:firstLine="960" w:firstLineChars="300"/>
        <w:rPr>
          <w:rFonts w:hint="eastAsia" w:ascii="仿宋_GB2312" w:hAnsi="宋体" w:eastAsia="仿宋_GB2312" w:cs="仿宋_GB2312"/>
          <w:sz w:val="32"/>
          <w:szCs w:val="32"/>
          <w:lang w:val="en-US"/>
        </w:rPr>
      </w:pPr>
      <w:r>
        <w:rPr>
          <w:rFonts w:hint="eastAsia" w:ascii="楷体" w:hAnsi="楷体" w:eastAsia="楷体" w:cs="楷体"/>
          <w:bCs/>
          <w:sz w:val="32"/>
          <w:szCs w:val="32"/>
        </w:rPr>
        <w:t>无</w:t>
      </w:r>
    </w:p>
    <w:p w14:paraId="6D823F17">
      <w:pPr>
        <w:spacing w:line="578"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14:paraId="71759FDC">
      <w:pPr>
        <w:spacing w:line="578" w:lineRule="exact"/>
        <w:ind w:firstLine="640" w:firstLineChars="200"/>
        <w:rPr>
          <w:rFonts w:hint="eastAsia" w:ascii="楷体" w:hAnsi="楷体" w:eastAsia="楷体" w:cs="楷体"/>
          <w:bCs/>
          <w:sz w:val="32"/>
          <w:szCs w:val="32"/>
        </w:rPr>
      </w:pPr>
      <w:bookmarkStart w:id="98" w:name="_Toc18325_WPSOffice_Level2"/>
      <w:bookmarkStart w:id="99" w:name="_Toc32639_WPSOffice_Level2"/>
      <w:bookmarkStart w:id="100" w:name="_Toc23598_WPSOffice_Level2"/>
      <w:bookmarkStart w:id="101" w:name="_Toc15565_WPSOffice_Level2"/>
      <w:bookmarkStart w:id="102" w:name="_Toc5978_WPSOffice_Level2"/>
      <w:bookmarkStart w:id="103" w:name="_Toc15262_WPSOffice_Level2"/>
      <w:r>
        <w:rPr>
          <w:rFonts w:hint="eastAsia" w:ascii="楷体" w:hAnsi="楷体" w:eastAsia="楷体" w:cs="楷体"/>
          <w:bCs/>
          <w:sz w:val="32"/>
          <w:szCs w:val="32"/>
        </w:rPr>
        <w:t>（一）机关运行经费支出情况</w:t>
      </w:r>
      <w:bookmarkEnd w:id="98"/>
      <w:bookmarkEnd w:id="99"/>
      <w:bookmarkEnd w:id="100"/>
      <w:bookmarkEnd w:id="101"/>
      <w:bookmarkEnd w:id="102"/>
      <w:bookmarkEnd w:id="103"/>
    </w:p>
    <w:p w14:paraId="418E4245">
      <w:pPr>
        <w:spacing w:line="578" w:lineRule="exact"/>
        <w:ind w:firstLine="640" w:firstLineChars="200"/>
        <w:rPr>
          <w:rFonts w:hint="eastAsia" w:ascii="仿宋_GB2312" w:hAnsi="ˎ̥" w:eastAsia="仿宋_GB2312"/>
          <w:color w:val="auto"/>
          <w:sz w:val="32"/>
          <w:szCs w:val="32"/>
        </w:rPr>
      </w:pPr>
      <w:r>
        <w:rPr>
          <w:rFonts w:ascii="仿宋_GB2312" w:hAnsi="ˎ̥" w:eastAsia="仿宋_GB2312"/>
          <w:color w:val="auto"/>
          <w:sz w:val="32"/>
          <w:szCs w:val="32"/>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屯昌县实验小学</w:t>
      </w:r>
      <w:r>
        <w:rPr>
          <w:rFonts w:hint="eastAsia" w:ascii="仿宋_GB2312" w:hAnsi="ˎ̥" w:eastAsia="仿宋_GB2312"/>
          <w:color w:val="auto"/>
          <w:sz w:val="32"/>
          <w:szCs w:val="32"/>
        </w:rPr>
        <w:t>机关运行经费</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万元（为</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决算中行政单位和参公事业单位财政拨款基本支出中公用经费支出之和，事业单位没有机关运行经费支出），比年初预算增加（减少）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%；与2023年度相比，机关运行经费增加（减少）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%。主要原因是：本单位无机关运行经费支出</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（具体增减原因由预算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、单位根据实际情况填列）。</w:t>
      </w:r>
    </w:p>
    <w:p w14:paraId="13374C4C">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机关运行经费预算数可取自</w:t>
      </w:r>
      <w:r>
        <w:rPr>
          <w:rFonts w:hint="eastAsia" w:ascii="仿宋_GB2312" w:hAnsi="ˎ̥" w:eastAsia="仿宋_GB2312"/>
          <w:sz w:val="32"/>
          <w:szCs w:val="32"/>
          <w:lang w:eastAsia="zh-CN"/>
        </w:rPr>
        <w:t>单位</w:t>
      </w:r>
      <w:r>
        <w:rPr>
          <w:rFonts w:hint="eastAsia" w:ascii="仿宋_GB2312" w:hAnsi="ˎ̥" w:eastAsia="仿宋_GB2312"/>
          <w:sz w:val="32"/>
          <w:szCs w:val="32"/>
        </w:rPr>
        <w:t>决算报表财决01-1表《财政拨款收入支出决算总表》，年初预算数-一般公共预算财政拨款-公用经费，注意</w:t>
      </w:r>
      <w:r>
        <w:rPr>
          <w:rFonts w:hint="eastAsia" w:ascii="仿宋_GB2312" w:hAnsi="ˎ̥" w:eastAsia="仿宋_GB2312"/>
          <w:sz w:val="32"/>
          <w:szCs w:val="32"/>
          <w:lang w:eastAsia="zh-CN"/>
        </w:rPr>
        <w:t>单位</w:t>
      </w:r>
      <w:r>
        <w:rPr>
          <w:rFonts w:hint="eastAsia" w:ascii="仿宋_GB2312" w:hAnsi="ˎ̥" w:eastAsia="仿宋_GB2312"/>
          <w:sz w:val="32"/>
          <w:szCs w:val="32"/>
        </w:rPr>
        <w:t>汇总公开决算时，因事业单位没有机关运行经费支出，故</w:t>
      </w:r>
      <w:r>
        <w:rPr>
          <w:rFonts w:hint="eastAsia" w:ascii="仿宋_GB2312" w:hAnsi="ˎ̥" w:eastAsia="仿宋_GB2312"/>
          <w:sz w:val="32"/>
          <w:szCs w:val="32"/>
          <w:lang w:eastAsia="zh-CN"/>
        </w:rPr>
        <w:t>单位</w:t>
      </w:r>
      <w:r>
        <w:rPr>
          <w:rFonts w:hint="eastAsia" w:ascii="仿宋_GB2312" w:hAnsi="ˎ̥" w:eastAsia="仿宋_GB2312"/>
          <w:sz w:val="32"/>
          <w:szCs w:val="32"/>
        </w:rPr>
        <w:t>汇总的机关运行经费预算数应为</w:t>
      </w:r>
      <w:r>
        <w:rPr>
          <w:rFonts w:hint="eastAsia" w:ascii="仿宋_GB2312" w:hAnsi="ˎ̥" w:eastAsia="仿宋_GB2312"/>
          <w:sz w:val="32"/>
          <w:szCs w:val="32"/>
          <w:lang w:eastAsia="zh-CN"/>
        </w:rPr>
        <w:t>单位</w:t>
      </w:r>
      <w:r>
        <w:rPr>
          <w:rFonts w:hint="eastAsia" w:ascii="仿宋_GB2312" w:hAnsi="ˎ̥" w:eastAsia="仿宋_GB2312"/>
          <w:sz w:val="32"/>
          <w:szCs w:val="32"/>
        </w:rPr>
        <w:t>所属的各行政单位或参公单位的汇总数；决算数可取自</w:t>
      </w:r>
      <w:r>
        <w:rPr>
          <w:rFonts w:ascii="仿宋_GB2312" w:hAnsi="ˎ̥" w:eastAsia="仿宋_GB2312"/>
          <w:sz w:val="32"/>
          <w:szCs w:val="32"/>
        </w:rPr>
        <w:t>2024</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决算报表F03表《机构运行信息表》“机关运行经费”栏。）</w:t>
      </w:r>
    </w:p>
    <w:p w14:paraId="5360F389">
      <w:pPr>
        <w:spacing w:line="578" w:lineRule="exact"/>
        <w:ind w:firstLine="640" w:firstLineChars="200"/>
        <w:rPr>
          <w:rFonts w:hint="eastAsia" w:ascii="楷体" w:hAnsi="楷体" w:eastAsia="楷体" w:cs="楷体"/>
          <w:bCs/>
          <w:sz w:val="32"/>
          <w:szCs w:val="32"/>
        </w:rPr>
      </w:pPr>
      <w:bookmarkStart w:id="104" w:name="_Toc23966_WPSOffice_Level2"/>
      <w:bookmarkStart w:id="105" w:name="_Toc13084_WPSOffice_Level2"/>
      <w:bookmarkStart w:id="106" w:name="_Toc30383_WPSOffice_Level2"/>
      <w:bookmarkStart w:id="107" w:name="_Toc25333_WPSOffice_Level2"/>
      <w:bookmarkStart w:id="108" w:name="_Toc3131_WPSOffice_Level2"/>
      <w:bookmarkStart w:id="109" w:name="_Toc32689_WPSOffice_Level2"/>
      <w:r>
        <w:rPr>
          <w:rFonts w:hint="eastAsia" w:ascii="楷体" w:hAnsi="楷体" w:eastAsia="楷体" w:cs="楷体"/>
          <w:bCs/>
          <w:sz w:val="32"/>
          <w:szCs w:val="32"/>
        </w:rPr>
        <w:t>（二）政府采购支出情况</w:t>
      </w:r>
      <w:bookmarkEnd w:id="104"/>
      <w:bookmarkEnd w:id="105"/>
      <w:bookmarkEnd w:id="106"/>
      <w:bookmarkEnd w:id="107"/>
      <w:bookmarkEnd w:id="108"/>
      <w:bookmarkEnd w:id="109"/>
    </w:p>
    <w:p w14:paraId="64879F69">
      <w:pPr>
        <w:spacing w:line="578" w:lineRule="exact"/>
        <w:ind w:firstLine="640" w:firstLineChars="200"/>
        <w:jc w:val="left"/>
        <w:rPr>
          <w:rFonts w:hint="eastAsia"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屯昌县实验小学政府采购支出总额0万元，其中：政府采购货物支出0万元、政府采购工程支出0万元、政府采购服务支出0万元。授予中小企业合同金额0万元，占政府采购支出总额的0%，其中：授予小微企业合同金0万元，占</w:t>
      </w:r>
      <w:r>
        <w:rPr>
          <w:rFonts w:hint="eastAsia" w:ascii="仿宋_GB2312" w:hAnsi="仿宋_GB2312" w:eastAsia="仿宋_GB2312" w:cs="仿宋_GB2312"/>
          <w:kern w:val="0"/>
          <w:sz w:val="32"/>
          <w:szCs w:val="32"/>
          <w:lang w:bidi="ar"/>
        </w:rPr>
        <w:t>授予中小企业合同金额</w:t>
      </w:r>
      <w:r>
        <w:rPr>
          <w:rFonts w:hint="eastAsia" w:ascii="仿宋_GB2312" w:hAnsi="仿宋_GB2312" w:eastAsia="仿宋_GB2312" w:cs="仿宋_GB2312"/>
          <w:sz w:val="32"/>
          <w:szCs w:val="32"/>
        </w:rPr>
        <w:t>的</w:t>
      </w:r>
      <w:r>
        <w:rPr>
          <w:rFonts w:hint="eastAsia" w:ascii="仿宋_GB2312" w:hAnsi="ˎ̥" w:eastAsia="仿宋_GB2312"/>
          <w:sz w:val="32"/>
          <w:szCs w:val="32"/>
        </w:rPr>
        <w:t>0%。</w:t>
      </w:r>
    </w:p>
    <w:p w14:paraId="0F5B1268">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上述政府采购支出相关数据取自</w:t>
      </w:r>
      <w:r>
        <w:rPr>
          <w:rFonts w:ascii="仿宋_GB2312" w:hAnsi="ˎ̥" w:eastAsia="仿宋_GB2312"/>
          <w:sz w:val="32"/>
          <w:szCs w:val="32"/>
        </w:rPr>
        <w:t>2024</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决算报表F03表《机构运行信息表》，授予中小企业和小微企业合同金额由各</w:t>
      </w:r>
      <w:r>
        <w:rPr>
          <w:rFonts w:hint="eastAsia" w:ascii="仿宋_GB2312" w:hAnsi="ˎ̥" w:eastAsia="仿宋_GB2312"/>
          <w:sz w:val="32"/>
          <w:szCs w:val="32"/>
          <w:lang w:eastAsia="zh-CN"/>
        </w:rPr>
        <w:t>单位</w:t>
      </w:r>
      <w:r>
        <w:rPr>
          <w:rFonts w:hint="eastAsia" w:ascii="仿宋_GB2312" w:hAnsi="ˎ̥" w:eastAsia="仿宋_GB2312"/>
          <w:sz w:val="32"/>
          <w:szCs w:val="32"/>
        </w:rPr>
        <w:t>查阅本</w:t>
      </w:r>
      <w:r>
        <w:rPr>
          <w:rFonts w:hint="eastAsia" w:ascii="仿宋_GB2312" w:hAnsi="ˎ̥" w:eastAsia="仿宋_GB2312"/>
          <w:sz w:val="32"/>
          <w:szCs w:val="32"/>
          <w:lang w:eastAsia="zh-CN"/>
        </w:rPr>
        <w:t>单位</w:t>
      </w:r>
      <w:r>
        <w:rPr>
          <w:rFonts w:hint="eastAsia" w:ascii="仿宋_GB2312" w:hAnsi="ˎ̥" w:eastAsia="仿宋_GB2312"/>
          <w:sz w:val="32"/>
          <w:szCs w:val="32"/>
        </w:rPr>
        <w:t>相关资料填写。）</w:t>
      </w:r>
    </w:p>
    <w:p w14:paraId="1686C600">
      <w:pPr>
        <w:spacing w:line="578" w:lineRule="exact"/>
        <w:ind w:firstLine="640" w:firstLineChars="200"/>
        <w:rPr>
          <w:rFonts w:hint="eastAsia" w:ascii="楷体" w:hAnsi="楷体" w:eastAsia="楷体" w:cs="楷体"/>
          <w:bCs/>
          <w:sz w:val="32"/>
          <w:szCs w:val="32"/>
        </w:rPr>
      </w:pPr>
      <w:bookmarkStart w:id="110" w:name="_Toc6016_WPSOffice_Level2"/>
      <w:bookmarkStart w:id="111" w:name="_Toc29584_WPSOffice_Level2"/>
      <w:bookmarkStart w:id="112" w:name="_Toc527_WPSOffice_Level2"/>
      <w:bookmarkStart w:id="113" w:name="_Toc19989_WPSOffice_Level2"/>
      <w:bookmarkStart w:id="114" w:name="_Toc15129_WPSOffice_Level2"/>
      <w:bookmarkStart w:id="115" w:name="_Toc10902_WPSOffice_Level2"/>
      <w:r>
        <w:rPr>
          <w:rFonts w:hint="eastAsia" w:ascii="楷体" w:hAnsi="楷体" w:eastAsia="楷体" w:cs="楷体"/>
          <w:bCs/>
          <w:sz w:val="32"/>
          <w:szCs w:val="32"/>
        </w:rPr>
        <w:t>（三）国有资产占用情况</w:t>
      </w:r>
      <w:bookmarkEnd w:id="110"/>
      <w:bookmarkEnd w:id="111"/>
      <w:bookmarkEnd w:id="112"/>
      <w:bookmarkEnd w:id="113"/>
      <w:bookmarkEnd w:id="114"/>
      <w:bookmarkEnd w:id="115"/>
    </w:p>
    <w:p w14:paraId="545E0809">
      <w:pPr>
        <w:spacing w:line="578" w:lineRule="exact"/>
        <w:ind w:firstLine="640" w:firstLineChars="200"/>
        <w:rPr>
          <w:rFonts w:hint="eastAsia" w:ascii="仿宋_GB2312" w:hAnsi="ˎ̥" w:eastAsia="仿宋_GB2312"/>
          <w:bCs/>
          <w:sz w:val="32"/>
          <w:szCs w:val="32"/>
        </w:rPr>
      </w:pPr>
      <w:r>
        <w:rPr>
          <w:rFonts w:hint="eastAsia" w:ascii="仿宋_GB2312" w:hAnsi="ˎ̥" w:eastAsia="仿宋_GB2312"/>
          <w:bCs/>
          <w:sz w:val="32"/>
          <w:szCs w:val="32"/>
        </w:rPr>
        <w:t>截至</w:t>
      </w:r>
      <w:r>
        <w:rPr>
          <w:rFonts w:ascii="仿宋_GB2312" w:hAnsi="ˎ̥" w:eastAsia="仿宋_GB2312"/>
          <w:bCs/>
          <w:sz w:val="32"/>
          <w:szCs w:val="32"/>
        </w:rPr>
        <w:t>2024</w:t>
      </w:r>
      <w:r>
        <w:rPr>
          <w:rFonts w:hint="eastAsia" w:ascii="仿宋_GB2312" w:hAnsi="ˎ̥" w:eastAsia="仿宋_GB2312"/>
          <w:bCs/>
          <w:sz w:val="32"/>
          <w:szCs w:val="32"/>
        </w:rPr>
        <w:t>年12月31日，本</w:t>
      </w:r>
      <w:r>
        <w:rPr>
          <w:rFonts w:hint="eastAsia" w:ascii="仿宋_GB2312" w:hAnsi="ˎ̥" w:eastAsia="仿宋_GB2312"/>
          <w:bCs/>
          <w:sz w:val="32"/>
          <w:szCs w:val="32"/>
          <w:lang w:eastAsia="zh-CN"/>
        </w:rPr>
        <w:t>单位</w:t>
      </w:r>
      <w:r>
        <w:rPr>
          <w:rFonts w:hint="eastAsia" w:ascii="仿宋_GB2312" w:hAnsi="ˎ̥" w:eastAsia="仿宋_GB2312"/>
          <w:bCs/>
          <w:sz w:val="32"/>
          <w:szCs w:val="32"/>
        </w:rPr>
        <w:t>拥有</w:t>
      </w:r>
      <w:r>
        <w:rPr>
          <w:rFonts w:hint="eastAsia" w:ascii="仿宋_GB2312" w:hAnsi="ˎ̥" w:eastAsia="仿宋_GB2312"/>
          <w:sz w:val="32"/>
          <w:szCs w:val="32"/>
        </w:rPr>
        <w:t>房屋面积</w:t>
      </w:r>
      <w:r>
        <w:rPr>
          <w:rFonts w:hint="eastAsia" w:ascii="仿宋_GB2312" w:hAnsi="ˎ̥" w:eastAsia="仿宋_GB2312"/>
          <w:bCs/>
          <w:sz w:val="32"/>
          <w:szCs w:val="32"/>
        </w:rPr>
        <w:t>9676.76</w:t>
      </w:r>
      <w:r>
        <w:rPr>
          <w:rFonts w:hint="eastAsia" w:ascii="仿宋_GB2312" w:hAnsi="ˎ̥" w:eastAsia="仿宋_GB2312"/>
          <w:sz w:val="32"/>
          <w:szCs w:val="32"/>
        </w:rPr>
        <w:t>平方米。</w:t>
      </w:r>
    </w:p>
    <w:p w14:paraId="5EC868BF">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本</w:t>
      </w:r>
      <w:r>
        <w:rPr>
          <w:rFonts w:hint="eastAsia" w:ascii="仿宋_GB2312" w:hAnsi="ˎ̥" w:eastAsia="仿宋_GB2312"/>
          <w:sz w:val="32"/>
          <w:szCs w:val="32"/>
          <w:lang w:eastAsia="zh-CN"/>
        </w:rPr>
        <w:t>单位</w:t>
      </w:r>
      <w:r>
        <w:rPr>
          <w:rFonts w:hint="eastAsia" w:ascii="仿宋_GB2312" w:hAnsi="ˎ̥" w:eastAsia="仿宋_GB2312"/>
          <w:sz w:val="32"/>
          <w:szCs w:val="32"/>
        </w:rPr>
        <w:t xml:space="preserve">共有车辆0辆，其中，副部（省）级及以上领导用车0辆、主要负责人用车0辆、机要通信用车0辆、应急保障用车0辆、执法执勤用车0辆、特种专业技术用车0辆、离退休干部服务用车0辆、其他用车0辆。     </w:t>
      </w:r>
    </w:p>
    <w:p w14:paraId="6EE6653A">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单价100万元（含）以上设备（不含车辆）0台（套）。</w:t>
      </w:r>
    </w:p>
    <w:p w14:paraId="2F2C395C">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上述国有资产占用情况相关数据取自</w:t>
      </w:r>
      <w:r>
        <w:rPr>
          <w:rFonts w:ascii="仿宋_GB2312" w:hAnsi="ˎ̥" w:eastAsia="仿宋_GB2312"/>
          <w:sz w:val="32"/>
          <w:szCs w:val="32"/>
        </w:rPr>
        <w:t>2024</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决算F0</w:t>
      </w:r>
      <w:r>
        <w:rPr>
          <w:rFonts w:ascii="仿宋_GB2312" w:hAnsi="ˎ̥" w:eastAsia="仿宋_GB2312"/>
          <w:sz w:val="32"/>
          <w:szCs w:val="32"/>
        </w:rPr>
        <w:t>2</w:t>
      </w:r>
      <w:r>
        <w:rPr>
          <w:rFonts w:hint="eastAsia" w:ascii="仿宋_GB2312" w:hAnsi="ˎ̥" w:eastAsia="仿宋_GB2312"/>
          <w:sz w:val="32"/>
          <w:szCs w:val="32"/>
        </w:rPr>
        <w:t>表《预算支出相关信息表》、F03表《机构运行信息表》。）</w:t>
      </w:r>
    </w:p>
    <w:p w14:paraId="5D779C91">
      <w:pPr>
        <w:spacing w:line="578" w:lineRule="exact"/>
        <w:jc w:val="center"/>
        <w:rPr>
          <w:rFonts w:hint="eastAsia" w:ascii="黑体" w:hAnsi="ˎ̥" w:eastAsia="黑体"/>
          <w:sz w:val="32"/>
          <w:szCs w:val="32"/>
        </w:rPr>
      </w:pPr>
      <w:bookmarkStart w:id="116" w:name="_Toc17580_WPSOffice_Level1"/>
      <w:bookmarkStart w:id="117" w:name="_Toc8874_WPSOffice_Level1"/>
      <w:bookmarkStart w:id="118" w:name="_Toc4398_WPSOffice_Level1"/>
      <w:bookmarkStart w:id="119" w:name="_Toc11039_WPSOffice_Level1"/>
      <w:bookmarkStart w:id="120" w:name="_Toc8808_WPSOffice_Level1"/>
      <w:bookmarkStart w:id="121" w:name="_Toc15425_WPSOffice_Level1"/>
    </w:p>
    <w:p w14:paraId="2398CA1B">
      <w:pPr>
        <w:spacing w:line="578" w:lineRule="exact"/>
        <w:jc w:val="center"/>
        <w:rPr>
          <w:rFonts w:hint="eastAsia" w:ascii="黑体" w:hAnsi="ˎ̥" w:eastAsia="黑体"/>
          <w:sz w:val="32"/>
          <w:szCs w:val="32"/>
        </w:rPr>
      </w:pPr>
      <w:r>
        <w:rPr>
          <w:rFonts w:hint="eastAsia" w:ascii="黑体" w:hAnsi="ˎ̥" w:eastAsia="黑体"/>
          <w:sz w:val="32"/>
          <w:szCs w:val="32"/>
        </w:rPr>
        <w:t>第四部分  名词解释</w:t>
      </w:r>
      <w:bookmarkEnd w:id="116"/>
      <w:bookmarkEnd w:id="117"/>
      <w:bookmarkEnd w:id="118"/>
      <w:bookmarkEnd w:id="119"/>
      <w:bookmarkEnd w:id="120"/>
      <w:bookmarkEnd w:id="121"/>
    </w:p>
    <w:p w14:paraId="752D8ADA">
      <w:pPr>
        <w:spacing w:line="578" w:lineRule="exact"/>
        <w:jc w:val="center"/>
        <w:rPr>
          <w:rFonts w:hint="eastAsia" w:ascii="黑体" w:hAnsi="ˎ̥" w:eastAsia="黑体"/>
          <w:sz w:val="32"/>
          <w:szCs w:val="32"/>
        </w:rPr>
      </w:pPr>
    </w:p>
    <w:p w14:paraId="49073DD6">
      <w:pPr>
        <w:numPr>
          <w:ilvl w:val="0"/>
          <w:numId w:val="3"/>
        </w:num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财政拨款收入：指同级政府财政</w:t>
      </w:r>
      <w:r>
        <w:rPr>
          <w:rFonts w:hint="eastAsia" w:ascii="仿宋_GB2312" w:hAnsi="ˎ̥" w:eastAsia="仿宋_GB2312"/>
          <w:sz w:val="32"/>
          <w:szCs w:val="32"/>
          <w:lang w:eastAsia="zh-CN"/>
        </w:rPr>
        <w:t>单位</w:t>
      </w:r>
      <w:r>
        <w:rPr>
          <w:rFonts w:hint="eastAsia" w:ascii="仿宋_GB2312" w:hAnsi="ˎ̥" w:eastAsia="仿宋_GB2312"/>
          <w:sz w:val="32"/>
          <w:szCs w:val="32"/>
        </w:rPr>
        <w:t>当年拨付的各类财政拨款。</w:t>
      </w:r>
    </w:p>
    <w:p w14:paraId="400AC500">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二、上级补助收入：指事业单位从主管</w:t>
      </w:r>
      <w:r>
        <w:rPr>
          <w:rFonts w:hint="eastAsia" w:ascii="仿宋_GB2312" w:hAnsi="ˎ̥" w:eastAsia="仿宋_GB2312"/>
          <w:sz w:val="32"/>
          <w:szCs w:val="32"/>
          <w:lang w:eastAsia="zh-CN"/>
        </w:rPr>
        <w:t>单位</w:t>
      </w:r>
      <w:r>
        <w:rPr>
          <w:rFonts w:hint="eastAsia" w:ascii="仿宋_GB2312" w:hAnsi="ˎ̥" w:eastAsia="仿宋_GB2312"/>
          <w:sz w:val="32"/>
          <w:szCs w:val="32"/>
        </w:rPr>
        <w:t>和上级单位取得的非财政补助收入。</w:t>
      </w:r>
    </w:p>
    <w:p w14:paraId="761FE8B5">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14:paraId="014498BF">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14:paraId="28BF73B8">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14:paraId="01414B86">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14:paraId="57429965">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14:paraId="7F2909E0">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14:paraId="5284CF88">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14:paraId="5EA7E12C">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14:paraId="52E0BD45">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14:paraId="63124FD8">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14:paraId="4A63161A">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14:paraId="74D57563">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14:paraId="746992E8">
      <w:pPr>
        <w:spacing w:line="578" w:lineRule="exact"/>
        <w:ind w:firstLine="645"/>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14:paraId="30BFF0E2">
      <w:pPr>
        <w:spacing w:line="578" w:lineRule="exact"/>
        <w:ind w:firstLine="645"/>
        <w:rPr>
          <w:rFonts w:hint="eastAsia"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14:paraId="4B6E49B0">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卫生健康支出（类）行政事业单位医疗（款）事业单位医疗（项）是指：财政</w:t>
      </w:r>
      <w:r>
        <w:rPr>
          <w:rFonts w:hint="eastAsia" w:ascii="仿宋_GB2312" w:hAnsi="ˎ̥" w:eastAsia="仿宋_GB2312"/>
          <w:sz w:val="32"/>
          <w:szCs w:val="32"/>
          <w:lang w:eastAsia="zh-CN"/>
        </w:rPr>
        <w:t>单位</w:t>
      </w:r>
      <w:r>
        <w:rPr>
          <w:rFonts w:hint="eastAsia" w:ascii="仿宋_GB2312" w:hAnsi="ˎ̥" w:eastAsia="仿宋_GB2312"/>
          <w:sz w:val="32"/>
          <w:szCs w:val="32"/>
        </w:rPr>
        <w:t>安排的事业单位基本医疗保险缴费经费，未参加医疗保险的事业单位的公费医疗经费，按国家规定享受离休人员待遇的医疗经费。</w:t>
      </w:r>
    </w:p>
    <w:p w14:paraId="4F55182B">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住房保障支出（类）住房改革支出（款）住房公积金（项）是指：行政事业单位按人力资源和社会保障部、财政部规定的基本工资和津贴补贴以及规定比例为职工缴纳的住房公积金</w:t>
      </w:r>
      <w:r>
        <w:rPr>
          <w:rFonts w:ascii="仿宋_GB2312" w:hAnsi="ˎ̥" w:eastAsia="仿宋_GB2312"/>
          <w:sz w:val="32"/>
          <w:szCs w:val="32"/>
        </w:rPr>
        <w:t>……</w:t>
      </w:r>
    </w:p>
    <w:p w14:paraId="78EDC0D2">
      <w:pPr>
        <w:spacing w:line="578" w:lineRule="exact"/>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支出功能分类的名词解释，各预算</w:t>
      </w:r>
      <w:r>
        <w:rPr>
          <w:rFonts w:hint="eastAsia" w:ascii="仿宋_GB2312" w:hAnsi="ˎ̥" w:eastAsia="仿宋_GB2312"/>
          <w:sz w:val="32"/>
          <w:szCs w:val="32"/>
          <w:lang w:eastAsia="zh-CN"/>
        </w:rPr>
        <w:t>单位</w:t>
      </w:r>
      <w:r>
        <w:rPr>
          <w:rFonts w:hint="eastAsia" w:ascii="仿宋_GB2312" w:hAnsi="ˎ̥" w:eastAsia="仿宋_GB2312"/>
          <w:sz w:val="32"/>
          <w:szCs w:val="32"/>
        </w:rPr>
        <w:t>、单位根据实际支出情况填列，可参阅财政部印发的《</w:t>
      </w:r>
      <w:r>
        <w:rPr>
          <w:rFonts w:ascii="仿宋_GB2312" w:hAnsi="ˎ̥" w:eastAsia="仿宋_GB2312"/>
          <w:sz w:val="32"/>
          <w:szCs w:val="32"/>
        </w:rPr>
        <w:t>2024</w:t>
      </w:r>
      <w:r>
        <w:rPr>
          <w:rFonts w:hint="eastAsia" w:ascii="仿宋_GB2312" w:hAnsi="ˎ̥" w:eastAsia="仿宋_GB2312"/>
          <w:sz w:val="32"/>
          <w:szCs w:val="32"/>
        </w:rPr>
        <w:t>年政府收支分类科目》。）</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CFD8D">
    <w:pPr>
      <w:pStyle w:val="4"/>
      <w:framePr w:wrap="around" w:vAnchor="text" w:hAnchor="margin" w:xAlign="center" w:y="1"/>
      <w:rPr>
        <w:rStyle w:val="10"/>
      </w:rPr>
    </w:pPr>
    <w:r>
      <w:fldChar w:fldCharType="begin"/>
    </w:r>
    <w:r>
      <w:rPr>
        <w:rStyle w:val="10"/>
      </w:rPr>
      <w:instrText xml:space="preserve">PAGE  </w:instrText>
    </w:r>
    <w:r>
      <w:fldChar w:fldCharType="separate"/>
    </w:r>
    <w:r>
      <w:rPr>
        <w:rStyle w:val="10"/>
      </w:rPr>
      <w:t>18</w:t>
    </w:r>
    <w:r>
      <w:fldChar w:fldCharType="end"/>
    </w:r>
  </w:p>
  <w:p w14:paraId="3629226B">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E8173">
    <w:pPr>
      <w:pStyle w:val="4"/>
      <w:framePr w:wrap="around" w:vAnchor="text" w:hAnchor="margin" w:xAlign="center" w:y="1"/>
      <w:rPr>
        <w:rStyle w:val="10"/>
      </w:rPr>
    </w:pPr>
    <w:r>
      <w:fldChar w:fldCharType="begin"/>
    </w:r>
    <w:r>
      <w:rPr>
        <w:rStyle w:val="10"/>
      </w:rPr>
      <w:instrText xml:space="preserve">PAGE  </w:instrText>
    </w:r>
    <w:r>
      <w:fldChar w:fldCharType="separate"/>
    </w:r>
    <w:r>
      <w:fldChar w:fldCharType="end"/>
    </w:r>
  </w:p>
  <w:p w14:paraId="45B3AE36">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4D737E44"/>
    <w:multiLevelType w:val="multilevel"/>
    <w:tmpl w:val="4D737E44"/>
    <w:lvl w:ilvl="0" w:tentative="0">
      <w:start w:val="1"/>
      <w:numFmt w:val="japaneseCounting"/>
      <w:lvlText w:val="%1、"/>
      <w:lvlJc w:val="left"/>
      <w:pPr>
        <w:ind w:left="1040" w:hanging="720"/>
      </w:pPr>
      <w:rPr>
        <w:rFonts w:hint="default"/>
      </w:rPr>
    </w:lvl>
    <w:lvl w:ilvl="1" w:tentative="0">
      <w:start w:val="1"/>
      <w:numFmt w:val="lowerLetter"/>
      <w:lvlText w:val="%2)"/>
      <w:lvlJc w:val="left"/>
      <w:pPr>
        <w:ind w:left="1200" w:hanging="440"/>
      </w:pPr>
    </w:lvl>
    <w:lvl w:ilvl="2" w:tentative="0">
      <w:start w:val="1"/>
      <w:numFmt w:val="lowerRoman"/>
      <w:lvlText w:val="%3."/>
      <w:lvlJc w:val="right"/>
      <w:pPr>
        <w:ind w:left="1640" w:hanging="440"/>
      </w:pPr>
    </w:lvl>
    <w:lvl w:ilvl="3" w:tentative="0">
      <w:start w:val="1"/>
      <w:numFmt w:val="decimal"/>
      <w:lvlText w:val="%4."/>
      <w:lvlJc w:val="left"/>
      <w:pPr>
        <w:ind w:left="2080" w:hanging="440"/>
      </w:pPr>
    </w:lvl>
    <w:lvl w:ilvl="4" w:tentative="0">
      <w:start w:val="1"/>
      <w:numFmt w:val="lowerLetter"/>
      <w:lvlText w:val="%5)"/>
      <w:lvlJc w:val="left"/>
      <w:pPr>
        <w:ind w:left="2520" w:hanging="440"/>
      </w:pPr>
    </w:lvl>
    <w:lvl w:ilvl="5" w:tentative="0">
      <w:start w:val="1"/>
      <w:numFmt w:val="lowerRoman"/>
      <w:lvlText w:val="%6."/>
      <w:lvlJc w:val="right"/>
      <w:pPr>
        <w:ind w:left="2960" w:hanging="440"/>
      </w:pPr>
    </w:lvl>
    <w:lvl w:ilvl="6" w:tentative="0">
      <w:start w:val="1"/>
      <w:numFmt w:val="decimal"/>
      <w:lvlText w:val="%7."/>
      <w:lvlJc w:val="left"/>
      <w:pPr>
        <w:ind w:left="3400" w:hanging="440"/>
      </w:pPr>
    </w:lvl>
    <w:lvl w:ilvl="7" w:tentative="0">
      <w:start w:val="1"/>
      <w:numFmt w:val="lowerLetter"/>
      <w:lvlText w:val="%8)"/>
      <w:lvlJc w:val="left"/>
      <w:pPr>
        <w:ind w:left="3840" w:hanging="440"/>
      </w:pPr>
    </w:lvl>
    <w:lvl w:ilvl="8" w:tentative="0">
      <w:start w:val="1"/>
      <w:numFmt w:val="lowerRoman"/>
      <w:lvlText w:val="%9."/>
      <w:lvlJc w:val="right"/>
      <w:pPr>
        <w:ind w:left="4280" w:hanging="440"/>
      </w:p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14FB1"/>
    <w:rsid w:val="00064A91"/>
    <w:rsid w:val="000718C4"/>
    <w:rsid w:val="000779B0"/>
    <w:rsid w:val="001D3B15"/>
    <w:rsid w:val="001E4E23"/>
    <w:rsid w:val="001E510D"/>
    <w:rsid w:val="001F28C1"/>
    <w:rsid w:val="001F4EC0"/>
    <w:rsid w:val="00213789"/>
    <w:rsid w:val="002365EF"/>
    <w:rsid w:val="002A6E07"/>
    <w:rsid w:val="0034456B"/>
    <w:rsid w:val="00345564"/>
    <w:rsid w:val="00381588"/>
    <w:rsid w:val="003D2F77"/>
    <w:rsid w:val="004C755C"/>
    <w:rsid w:val="004D515A"/>
    <w:rsid w:val="004D5572"/>
    <w:rsid w:val="0050273F"/>
    <w:rsid w:val="00506486"/>
    <w:rsid w:val="00513897"/>
    <w:rsid w:val="00530C81"/>
    <w:rsid w:val="005C43A2"/>
    <w:rsid w:val="005E64FB"/>
    <w:rsid w:val="005F5987"/>
    <w:rsid w:val="00602EED"/>
    <w:rsid w:val="006B0D64"/>
    <w:rsid w:val="00731FC7"/>
    <w:rsid w:val="00740E64"/>
    <w:rsid w:val="00754F6E"/>
    <w:rsid w:val="007A4101"/>
    <w:rsid w:val="008232A9"/>
    <w:rsid w:val="00896ADB"/>
    <w:rsid w:val="009477E6"/>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77BB1"/>
    <w:rsid w:val="00CA0F14"/>
    <w:rsid w:val="00CA536B"/>
    <w:rsid w:val="00CB0D1E"/>
    <w:rsid w:val="00CD6E49"/>
    <w:rsid w:val="00CD794A"/>
    <w:rsid w:val="00D0585B"/>
    <w:rsid w:val="00DB612B"/>
    <w:rsid w:val="00DC2A37"/>
    <w:rsid w:val="00E07782"/>
    <w:rsid w:val="00E42AEF"/>
    <w:rsid w:val="00E70EA3"/>
    <w:rsid w:val="00F0336A"/>
    <w:rsid w:val="00F06DA9"/>
    <w:rsid w:val="00F103D6"/>
    <w:rsid w:val="00F25220"/>
    <w:rsid w:val="00F566E4"/>
    <w:rsid w:val="00FA2884"/>
    <w:rsid w:val="00FC03DC"/>
    <w:rsid w:val="00FC5708"/>
    <w:rsid w:val="09201287"/>
    <w:rsid w:val="0E732A42"/>
    <w:rsid w:val="0FC80124"/>
    <w:rsid w:val="136F98C7"/>
    <w:rsid w:val="17427E68"/>
    <w:rsid w:val="1755065F"/>
    <w:rsid w:val="1AFC29C9"/>
    <w:rsid w:val="1CA52F2E"/>
    <w:rsid w:val="1E3630B9"/>
    <w:rsid w:val="242A05DA"/>
    <w:rsid w:val="26EEC2B5"/>
    <w:rsid w:val="29472309"/>
    <w:rsid w:val="2B406E77"/>
    <w:rsid w:val="2C2A0C43"/>
    <w:rsid w:val="2C541BEC"/>
    <w:rsid w:val="2D1E73A5"/>
    <w:rsid w:val="2FA67694"/>
    <w:rsid w:val="32717154"/>
    <w:rsid w:val="34B63260"/>
    <w:rsid w:val="37FDA7E2"/>
    <w:rsid w:val="3A314D88"/>
    <w:rsid w:val="3A746883"/>
    <w:rsid w:val="3CA15DE9"/>
    <w:rsid w:val="3EB751E4"/>
    <w:rsid w:val="3FE61EE5"/>
    <w:rsid w:val="405C464A"/>
    <w:rsid w:val="406508EE"/>
    <w:rsid w:val="408D6263"/>
    <w:rsid w:val="41B40CEE"/>
    <w:rsid w:val="436639C6"/>
    <w:rsid w:val="48317291"/>
    <w:rsid w:val="485F7024"/>
    <w:rsid w:val="48E70666"/>
    <w:rsid w:val="4C6877E5"/>
    <w:rsid w:val="4D6A468D"/>
    <w:rsid w:val="4EA86137"/>
    <w:rsid w:val="50B04E5B"/>
    <w:rsid w:val="533A55D2"/>
    <w:rsid w:val="548E22F5"/>
    <w:rsid w:val="55963F21"/>
    <w:rsid w:val="56CA7FD0"/>
    <w:rsid w:val="57FA38D1"/>
    <w:rsid w:val="5EBE0F09"/>
    <w:rsid w:val="5F7D3333"/>
    <w:rsid w:val="61385890"/>
    <w:rsid w:val="687436E1"/>
    <w:rsid w:val="6C3E795B"/>
    <w:rsid w:val="6DA45C50"/>
    <w:rsid w:val="6E9A7825"/>
    <w:rsid w:val="6F670F9B"/>
    <w:rsid w:val="737450E0"/>
    <w:rsid w:val="74054476"/>
    <w:rsid w:val="742F38C4"/>
    <w:rsid w:val="74AB66DC"/>
    <w:rsid w:val="74C4154C"/>
    <w:rsid w:val="757E658E"/>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0"/>
    <w:pPr>
      <w:jc w:val="left"/>
    </w:pPr>
  </w:style>
  <w:style w:type="paragraph" w:styleId="3">
    <w:name w:val="Balloon Text"/>
    <w:basedOn w:val="1"/>
    <w:link w:val="13"/>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paragraph" w:styleId="7">
    <w:name w:val="annotation subject"/>
    <w:basedOn w:val="2"/>
    <w:next w:val="2"/>
    <w:link w:val="15"/>
    <w:qFormat/>
    <w:uiPriority w:val="0"/>
    <w:rPr>
      <w:b/>
      <w:bCs/>
    </w:rPr>
  </w:style>
  <w:style w:type="character" w:styleId="10">
    <w:name w:val="page number"/>
    <w:qFormat/>
    <w:uiPriority w:val="0"/>
  </w:style>
  <w:style w:type="character" w:styleId="11">
    <w:name w:val="annotation reference"/>
    <w:qFormat/>
    <w:uiPriority w:val="0"/>
    <w:rPr>
      <w:sz w:val="21"/>
      <w:szCs w:val="21"/>
    </w:rPr>
  </w:style>
  <w:style w:type="character" w:customStyle="1" w:styleId="12">
    <w:name w:val="批注文字 字符"/>
    <w:link w:val="2"/>
    <w:qFormat/>
    <w:uiPriority w:val="0"/>
    <w:rPr>
      <w:kern w:val="2"/>
      <w:sz w:val="21"/>
      <w:szCs w:val="24"/>
    </w:rPr>
  </w:style>
  <w:style w:type="character" w:customStyle="1" w:styleId="13">
    <w:name w:val="批注框文本 字符"/>
    <w:link w:val="3"/>
    <w:qFormat/>
    <w:uiPriority w:val="0"/>
    <w:rPr>
      <w:kern w:val="2"/>
      <w:sz w:val="18"/>
      <w:szCs w:val="18"/>
    </w:rPr>
  </w:style>
  <w:style w:type="character" w:customStyle="1" w:styleId="14">
    <w:name w:val="页眉 字符"/>
    <w:link w:val="5"/>
    <w:qFormat/>
    <w:uiPriority w:val="0"/>
    <w:rPr>
      <w:kern w:val="2"/>
      <w:sz w:val="18"/>
      <w:szCs w:val="18"/>
    </w:rPr>
  </w:style>
  <w:style w:type="character" w:customStyle="1" w:styleId="15">
    <w:name w:val="批注主题 字符"/>
    <w:link w:val="7"/>
    <w:qFormat/>
    <w:uiPriority w:val="0"/>
    <w:rPr>
      <w:b/>
      <w:bCs/>
      <w:kern w:val="2"/>
      <w:sz w:val="21"/>
      <w:szCs w:val="24"/>
    </w:rPr>
  </w:style>
  <w:style w:type="paragraph" w:customStyle="1" w:styleId="16">
    <w:name w:val="WPSOffice手动目录 1"/>
    <w:qFormat/>
    <w:uiPriority w:val="0"/>
    <w:rPr>
      <w:rFonts w:ascii="Times New Roman" w:hAnsi="Times New Roman" w:eastAsia="宋体" w:cs="Times New Roman"/>
      <w:lang w:val="en-US" w:eastAsia="zh-CN" w:bidi="ar-SA"/>
    </w:rPr>
  </w:style>
  <w:style w:type="paragraph" w:customStyle="1" w:styleId="17">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8">
    <w:name w:val="正文1 Char Char Char"/>
    <w:basedOn w:val="1"/>
    <w:qFormat/>
    <w:uiPriority w:val="0"/>
    <w:pPr>
      <w:spacing w:line="360" w:lineRule="auto"/>
      <w:ind w:firstLine="200" w:firstLineChars="200"/>
    </w:pPr>
  </w:style>
  <w:style w:type="paragraph" w:styleId="19">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5145</Words>
  <Characters>5830</Characters>
  <Lines>60</Lines>
  <Paragraphs>17</Paragraphs>
  <TotalTime>22</TotalTime>
  <ScaleCrop>false</ScaleCrop>
  <LinksUpToDate>false</LinksUpToDate>
  <CharactersWithSpaces>5894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Administrator</cp:lastModifiedBy>
  <cp:lastPrinted>2023-08-03T00:58:00Z</cp:lastPrinted>
  <dcterms:modified xsi:type="dcterms:W3CDTF">2026-02-03T06:09:44Z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03AE7F14E2DC4BACB053764200FF950D_13</vt:lpwstr>
  </property>
  <property fmtid="{D5CDD505-2E9C-101B-9397-08002B2CF9AE}" pid="4" name="KSOTemplateDocerSaveRecord">
    <vt:lpwstr>eyJoZGlkIjoiZjYzODlhNzJhNTdiNTI2NzA5MDMxZDI3MmRlNjY0YTEiLCJ1c2VySWQiOiI3ODI0MjQwOTcifQ==</vt:lpwstr>
  </property>
</Properties>
</file>