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屯昌县南坤镇藤寨中心小学2024年度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bookmarkStart w:id="119" w:name="_GoBack"/>
      <w:bookmarkEnd w:id="119"/>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sz w:val="32"/>
          <w:szCs w:val="32"/>
        </w:rPr>
      </w:pPr>
      <w:r>
        <w:fldChar w:fldCharType="begin"/>
      </w:r>
      <w:r>
        <w:instrText xml:space="preserve"> HYPERLINK \l "_Toc1704_WPSOffice_Level1" </w:instrText>
      </w:r>
      <w: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"_Toc20274_WPSOffice_Level2" </w:instrText>
      </w:r>
      <w: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"_Toc4833_WPSOffice_Level2" </w:instrText>
      </w:r>
      <w: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sz w:val="32"/>
          <w:szCs w:val="32"/>
        </w:rPr>
      </w:pPr>
      <w:r>
        <w:fldChar w:fldCharType="begin"/>
      </w:r>
      <w:r>
        <w:instrText xml:space="preserve"> HYPERLINK \l "_Toc28253_WPSOffice_Level1" </w:instrText>
      </w:r>
      <w:r>
        <w:fldChar w:fldCharType="separate"/>
      </w:r>
      <w:r>
        <w:rPr>
          <w:rFonts w:hint="eastAsia" w:ascii="黑体" w:hAnsi="ˎ̥" w:eastAsia="黑体"/>
          <w:sz w:val="32"/>
          <w:szCs w:val="32"/>
        </w:rPr>
        <w:t xml:space="preserve">第二部分  </w:t>
      </w:r>
      <w:r>
        <w:rPr>
          <w:rFonts w:ascii="黑体" w:hAnsi="ˎ̥" w:eastAsia="黑体"/>
          <w:sz w:val="32"/>
          <w:szCs w:val="32"/>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sz w:val="32"/>
          <w:szCs w:val="32"/>
        </w:rPr>
      </w:pPr>
      <w:r>
        <w:fldChar w:fldCharType="begin"/>
      </w:r>
      <w:r>
        <w:instrText xml:space="preserve"> HYPERLINK \l "_Toc27590_WPSOffice_Level1" </w:instrText>
      </w:r>
      <w:r>
        <w:fldChar w:fldCharType="separate"/>
      </w:r>
      <w:r>
        <w:rPr>
          <w:rFonts w:hint="eastAsia" w:ascii="黑体" w:hAnsi="黑体" w:eastAsia="黑体" w:cs="黑体"/>
          <w:sz w:val="32"/>
          <w:szCs w:val="32"/>
        </w:rPr>
        <w:t>第三部分</w:t>
      </w:r>
      <w:r>
        <w:rPr>
          <w:rFonts w:hint="eastAsia"/>
          <w:sz w:val="32"/>
          <w:szCs w:val="32"/>
        </w:rPr>
        <w:t xml:space="preserve">  </w:t>
      </w:r>
      <w:r>
        <w:rPr>
          <w:rFonts w:ascii="黑体" w:hAnsi="ˎ̥" w:eastAsia="黑体"/>
          <w:sz w:val="32"/>
          <w:szCs w:val="32"/>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"_Toc21737_WPSOffice_Level2" </w:instrText>
      </w:r>
      <w: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四、财政拨款收入支出决算总体情况说明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bCs/>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fldChar w:fldCharType="begin"/>
      </w:r>
      <w:r>
        <w:instrText xml:space="preserve"> HYPERLINK \l "_Toc15425_WPSOffice_Level1" </w:instrText>
      </w:r>
      <w: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rPr>
          <w:rFonts w:hint="eastAsia" w:ascii="黑体" w:hAnsi="ˎ̥" w:eastAsia="黑体"/>
          <w:sz w:val="32"/>
          <w:szCs w:val="32"/>
        </w:rPr>
      </w:pPr>
      <w:bookmarkStart w:id="2" w:name="_Toc22941_WPSOffice_Level1"/>
      <w:bookmarkStart w:id="3" w:name="_Toc32433_WPSOffice_Level1"/>
      <w:bookmarkStart w:id="4" w:name="_Toc23465_WPSOffice_Level1"/>
      <w:bookmarkStart w:id="5" w:name="_Toc10049_WPSOffice_Level1"/>
      <w:bookmarkStart w:id="6" w:name="_Toc1704_WPSOffice_Level1"/>
      <w:bookmarkStart w:id="7" w:name="_Toc10720_WPSOffice_Level1"/>
      <w:bookmarkStart w:id="8" w:name="_Toc24238_WPSOffice_Level2"/>
      <w:bookmarkStart w:id="9" w:name="_Toc20274_WPSOffice_Level2"/>
      <w:bookmarkStart w:id="10" w:name="_Toc32622_WPSOffice_Level2"/>
      <w:bookmarkStart w:id="11" w:name="_Toc26580_WPSOffice_Level2"/>
      <w:bookmarkStart w:id="12" w:name="_Toc14159_WPSOffice_Level2"/>
      <w:bookmarkStart w:id="13" w:name="_Toc2020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ascii="楷体" w:hAnsi="楷体" w:eastAsia="楷体" w:cs="楷体"/>
          <w:sz w:val="32"/>
          <w:szCs w:val="32"/>
        </w:rPr>
      </w:pPr>
    </w:p>
    <w:bookmarkEnd w:id="8"/>
    <w:p>
      <w:pPr>
        <w:pStyle w:val="18"/>
        <w:numPr>
          <w:ilvl w:val="0"/>
          <w:numId w:val="2"/>
        </w:numPr>
        <w:spacing w:line="578" w:lineRule="exact"/>
        <w:ind w:firstLineChars="0"/>
        <w:rPr>
          <w:rFonts w:hint="eastAsia"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pPr>
        <w:spacing w:afterAutospacing="1"/>
        <w:ind w:firstLine="640" w:firstLineChars="200"/>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我校是一所乡镇中心小学，管辖区内共有</w:t>
      </w:r>
      <w:r>
        <w:rPr>
          <w:rFonts w:hint="eastAsia" w:ascii="仿宋_GB2312" w:hAnsi="ˎ̥" w:eastAsia="仿宋_GB2312" w:cs="仿宋_GB2312"/>
          <w:kern w:val="0"/>
          <w:sz w:val="32"/>
          <w:szCs w:val="32"/>
          <w:shd w:val="clear" w:color="auto" w:fill="FFFFFF"/>
          <w:lang w:val="en-US" w:eastAsia="zh-CN"/>
        </w:rPr>
        <w:t>7</w:t>
      </w:r>
      <w:r>
        <w:rPr>
          <w:rFonts w:hint="eastAsia" w:ascii="仿宋_GB2312" w:hAnsi="ˎ̥" w:eastAsia="仿宋_GB2312" w:cs="仿宋_GB2312"/>
          <w:kern w:val="0"/>
          <w:sz w:val="32"/>
          <w:szCs w:val="32"/>
          <w:shd w:val="clear" w:color="auto" w:fill="FFFFFF"/>
        </w:rPr>
        <w:t>所村完全小学；主要实施适龄儿童的义务教育，促进基础教育发展。</w:t>
      </w:r>
    </w:p>
    <w:p>
      <w:pPr>
        <w:widowControl/>
        <w:numPr>
          <w:ilvl w:val="0"/>
          <w:numId w:val="3"/>
        </w:numPr>
        <w:spacing w:after="100" w:afterAutospacing="1"/>
        <w:ind w:firstLine="640" w:firstLineChars="200"/>
        <w:jc w:val="left"/>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我校为财政全额拨款的事业单位，也是独立预、结算单位，</w:t>
      </w:r>
      <w:r>
        <w:rPr>
          <w:rFonts w:hint="eastAsia" w:ascii="仿宋_GB2312" w:hAnsi="ˎ̥" w:eastAsia="仿宋_GB2312" w:cs="仿宋_GB2312"/>
          <w:color w:val="000000" w:themeColor="text1"/>
          <w:kern w:val="0"/>
          <w:sz w:val="32"/>
          <w:szCs w:val="32"/>
          <w:shd w:val="clear" w:color="auto" w:fill="FFFFFF"/>
        </w:rPr>
        <w:t>2024年年末共有教职工83人，学生892人。</w:t>
      </w:r>
    </w:p>
    <w:p>
      <w:pPr>
        <w:widowControl/>
        <w:numPr>
          <w:ilvl w:val="0"/>
          <w:numId w:val="3"/>
        </w:numPr>
        <w:spacing w:afterAutospacing="1"/>
        <w:ind w:firstLine="640" w:firstLineChars="200"/>
        <w:jc w:val="left"/>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贯彻执行国家和省政府关于教育工作的方针、政策和法规,教书育人为本地区教育服务。</w:t>
      </w:r>
    </w:p>
    <w:p>
      <w:pPr>
        <w:widowControl/>
        <w:numPr>
          <w:ilvl w:val="0"/>
          <w:numId w:val="3"/>
        </w:numPr>
        <w:spacing w:afterAutospacing="1"/>
        <w:ind w:firstLine="640" w:firstLineChars="200"/>
        <w:jc w:val="left"/>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研究拟订本中心学校教育改革与发展战略和教育事业发展规划、年度计划;制定教育体制改革政策以及教育事业的发展重点、结构、规模、速度和步骤,并负责指导、协调、督促实施;负责本校教育信息的统计工作。</w:t>
      </w:r>
    </w:p>
    <w:p>
      <w:pPr>
        <w:widowControl/>
        <w:numPr>
          <w:ilvl w:val="0"/>
          <w:numId w:val="3"/>
        </w:numPr>
        <w:spacing w:after="100" w:afterAutospacing="1"/>
        <w:ind w:firstLine="640" w:firstLineChars="200"/>
        <w:jc w:val="left"/>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教育系统的纪检、监察、审计、统战、老干部和群团工作。</w:t>
      </w:r>
    </w:p>
    <w:p>
      <w:pPr>
        <w:widowControl/>
        <w:numPr>
          <w:ilvl w:val="0"/>
          <w:numId w:val="3"/>
        </w:numPr>
        <w:spacing w:afterAutospacing="1"/>
        <w:ind w:firstLine="640" w:firstLineChars="200"/>
        <w:jc w:val="left"/>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综合管理本中心校基础教育、幼儿教育、特殊教育远程教育等工作。</w:t>
      </w:r>
    </w:p>
    <w:p>
      <w:pPr>
        <w:widowControl/>
        <w:numPr>
          <w:ilvl w:val="0"/>
          <w:numId w:val="3"/>
        </w:numPr>
        <w:spacing w:afterAutospacing="1"/>
        <w:ind w:firstLine="640" w:firstLineChars="200"/>
        <w:jc w:val="left"/>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协调指导各完小校教育体制、办学体制及学校内部管理及本校的培训。</w:t>
      </w:r>
    </w:p>
    <w:p>
      <w:pPr>
        <w:widowControl/>
        <w:numPr>
          <w:ilvl w:val="0"/>
          <w:numId w:val="3"/>
        </w:numPr>
        <w:spacing w:afterAutospacing="1"/>
        <w:ind w:firstLine="640" w:firstLineChars="200"/>
        <w:jc w:val="left"/>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统筹管理本中心小学教育经费;及非税收入经费管理。</w:t>
      </w:r>
    </w:p>
    <w:p>
      <w:pPr>
        <w:widowControl/>
        <w:numPr>
          <w:ilvl w:val="0"/>
          <w:numId w:val="3"/>
        </w:numPr>
        <w:spacing w:after="100" w:afterAutospacing="1"/>
        <w:ind w:firstLine="640" w:firstLineChars="200"/>
        <w:jc w:val="left"/>
        <w:rPr>
          <w:rFonts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主管全中心小学教师工作。负责教师资格认定管理工作、继续教育培训工作。</w:t>
      </w:r>
    </w:p>
    <w:p>
      <w:pPr>
        <w:spacing w:line="578" w:lineRule="exact"/>
        <w:ind w:firstLine="640" w:firstLineChars="200"/>
        <w:rPr>
          <w:rFonts w:ascii="黑体" w:hAnsi="黑体" w:eastAsia="黑体" w:cs="黑体"/>
          <w:sz w:val="32"/>
          <w:szCs w:val="32"/>
        </w:rPr>
      </w:pPr>
      <w:bookmarkStart w:id="14" w:name="_Toc24474_WPSOffice_Level2"/>
      <w:bookmarkStart w:id="15" w:name="_Toc17796_WPSOffice_Level2"/>
      <w:bookmarkStart w:id="16" w:name="_Toc6572_WPSOffice_Level2"/>
      <w:bookmarkStart w:id="17" w:name="_Toc24059_WPSOffice_Level2"/>
      <w:bookmarkStart w:id="18" w:name="_Toc4833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cs="仿宋_GB2312"/>
          <w:kern w:val="0"/>
          <w:sz w:val="32"/>
          <w:szCs w:val="32"/>
          <w:shd w:val="clear" w:color="auto" w:fill="FFFFFF"/>
        </w:rPr>
        <w:t>屯昌县南坤镇藤寨中心小学</w:t>
      </w:r>
      <w:r>
        <w:rPr>
          <w:rFonts w:ascii="仿宋_GB2312" w:hAnsi="ˎ̥" w:eastAsia="仿宋_GB2312"/>
          <w:sz w:val="32"/>
          <w:szCs w:val="32"/>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决算编制范围的单位共</w:t>
      </w:r>
      <w:r>
        <w:rPr>
          <w:rFonts w:hint="eastAsia" w:ascii="仿宋_GB2312" w:hAnsi="ˎ̥" w:eastAsia="仿宋_GB2312"/>
          <w:color w:val="000000" w:themeColor="text1"/>
          <w:sz w:val="32"/>
          <w:szCs w:val="32"/>
        </w:rPr>
        <w:t>7</w:t>
      </w:r>
      <w:r>
        <w:rPr>
          <w:rFonts w:hint="eastAsia" w:ascii="仿宋_GB2312" w:hAnsi="ˎ̥" w:eastAsia="仿宋_GB2312"/>
          <w:sz w:val="32"/>
          <w:szCs w:val="32"/>
        </w:rPr>
        <w:t>个，包括：</w:t>
      </w:r>
    </w:p>
    <w:p>
      <w:pPr>
        <w:widowControl/>
        <w:numPr>
          <w:ilvl w:val="0"/>
          <w:numId w:val="4"/>
        </w:numPr>
        <w:spacing w:afterAutospacing="1"/>
        <w:ind w:firstLine="640" w:firstLineChars="200"/>
        <w:jc w:val="left"/>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屯昌县南坤镇藤寨中心小学本级</w:t>
      </w:r>
    </w:p>
    <w:p>
      <w:pPr>
        <w:widowControl/>
        <w:numPr>
          <w:ilvl w:val="0"/>
          <w:numId w:val="4"/>
        </w:numPr>
        <w:spacing w:afterAutospacing="1"/>
        <w:ind w:firstLine="640" w:firstLineChars="200"/>
        <w:jc w:val="left"/>
        <w:rPr>
          <w:rFonts w:hint="eastAsia" w:ascii="仿宋_GB2312" w:hAnsi="ˎ̥" w:eastAsia="仿宋_GB2312" w:cs="仿宋_GB2312"/>
          <w:sz w:val="32"/>
          <w:szCs w:val="32"/>
          <w:shd w:val="clear" w:color="auto" w:fill="FFFFFF"/>
        </w:rPr>
      </w:pPr>
      <w:r>
        <w:rPr>
          <w:rFonts w:hint="eastAsia" w:ascii="仿宋_GB2312" w:hAnsi="ˎ̥" w:eastAsia="仿宋_GB2312" w:cs="仿宋_GB2312"/>
          <w:kern w:val="0"/>
          <w:sz w:val="32"/>
          <w:szCs w:val="32"/>
          <w:shd w:val="clear" w:color="auto" w:fill="FFFFFF"/>
        </w:rPr>
        <w:t>内设机构：藤寨小学，加握小学，新村小学，松坡小学，岭肚小学，岭坡小学，周朝小学</w:t>
      </w:r>
    </w:p>
    <w:p>
      <w:pPr>
        <w:spacing w:line="578" w:lineRule="exact"/>
        <w:jc w:val="center"/>
        <w:rPr>
          <w:rFonts w:hint="eastAsia" w:ascii="黑体" w:hAnsi="ˎ̥" w:eastAsia="黑体"/>
          <w:color w:val="auto"/>
          <w:sz w:val="32"/>
          <w:szCs w:val="32"/>
        </w:rPr>
      </w:pPr>
      <w:bookmarkStart w:id="19" w:name="_Toc15521_WPSOffice_Level1"/>
      <w:bookmarkStart w:id="20" w:name="_Toc8164_WPSOffice_Level1"/>
      <w:bookmarkStart w:id="21" w:name="_Toc30451_WPSOffice_Level1"/>
      <w:bookmarkStart w:id="22" w:name="_Toc6234_WPSOffice_Level1"/>
      <w:bookmarkStart w:id="23" w:name="_Toc30690_WPSOffice_Level1"/>
      <w:bookmarkStart w:id="24" w:name="_Toc28253_WPSOffice_Level1"/>
      <w:bookmarkStart w:id="25" w:name="_Toc8867_WPSOffice_Level2"/>
      <w:bookmarkStart w:id="26" w:name="_Toc32695_WPSOffice_Level2"/>
      <w:bookmarkStart w:id="27" w:name="_Toc32472_WPSOffice_Level2"/>
      <w:bookmarkStart w:id="28" w:name="_Toc6211_WPSOffice_Level2"/>
      <w:bookmarkStart w:id="29" w:name="_Toc11518_WPSOffice_Level2"/>
      <w:bookmarkStart w:id="30" w:name="_Toc4029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ascii="黑体" w:hAnsi="ˎ̥" w:eastAsia="黑体"/>
          <w:color w:val="auto"/>
          <w:sz w:val="32"/>
          <w:szCs w:val="32"/>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19"/>
      <w:bookmarkEnd w:id="20"/>
      <w:bookmarkEnd w:id="21"/>
      <w:bookmarkEnd w:id="22"/>
      <w:bookmarkEnd w:id="23"/>
      <w:bookmarkEnd w:id="24"/>
    </w:p>
    <w:p>
      <w:pPr>
        <w:spacing w:line="578" w:lineRule="exact"/>
        <w:ind w:firstLine="645"/>
        <w:rPr>
          <w:rFonts w:ascii="黑体" w:hAnsi="黑体" w:eastAsia="黑体" w:cs="黑体"/>
          <w:color w:val="auto"/>
          <w:sz w:val="32"/>
          <w:szCs w:val="32"/>
        </w:rPr>
      </w:pPr>
    </w:p>
    <w:p>
      <w:pPr>
        <w:spacing w:line="578" w:lineRule="exact"/>
        <w:ind w:firstLine="645"/>
        <w:rPr>
          <w:rFonts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spacing w:line="578" w:lineRule="exact"/>
        <w:ind w:firstLine="645"/>
        <w:rPr>
          <w:rFonts w:ascii="黑体" w:hAnsi="黑体" w:eastAsia="黑体" w:cs="黑体"/>
          <w:color w:val="auto"/>
          <w:sz w:val="32"/>
          <w:szCs w:val="32"/>
        </w:rPr>
      </w:pPr>
      <w:bookmarkStart w:id="31" w:name="_Toc14349_WPSOffice_Level2"/>
      <w:bookmarkStart w:id="32" w:name="_Toc30334_WPSOffice_Level2"/>
      <w:bookmarkStart w:id="33" w:name="_Toc25608_WPSOffice_Level2"/>
      <w:bookmarkStart w:id="34" w:name="_Toc28622_WPSOffice_Level2"/>
      <w:bookmarkStart w:id="35" w:name="_Toc23139_WPSOffice_Level2"/>
      <w:bookmarkStart w:id="36" w:name="_Toc26621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17858_WPSOffice_Level2"/>
      <w:bookmarkStart w:id="38" w:name="_Toc14658_WPSOffice_Level2"/>
      <w:bookmarkStart w:id="39" w:name="_Toc17626_WPSOffice_Level2"/>
      <w:bookmarkStart w:id="40" w:name="_Toc3262_WPSOffice_Level2"/>
      <w:bookmarkStart w:id="41" w:name="_Toc5489_WPSOffice_Level2"/>
      <w:bookmarkStart w:id="42" w:name="_Toc13854_WPSOffice_Level2"/>
    </w:p>
    <w:p>
      <w:pPr>
        <w:spacing w:line="578" w:lineRule="exact"/>
        <w:ind w:firstLine="645"/>
        <w:rPr>
          <w:rFonts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23493_WPSOffice_Level2"/>
      <w:bookmarkStart w:id="44" w:name="_Toc4265_WPSOffice_Level2"/>
      <w:bookmarkStart w:id="45" w:name="_Toc21415_WPSOffice_Level2"/>
      <w:bookmarkStart w:id="46" w:name="_Toc23591_WPSOffice_Level2"/>
      <w:bookmarkStart w:id="47" w:name="_Toc13701_WPSOffice_Level2"/>
      <w:bookmarkStart w:id="48" w:name="_Toc7988_WPSOffice_Level2"/>
    </w:p>
    <w:p>
      <w:pPr>
        <w:spacing w:line="578" w:lineRule="exact"/>
        <w:ind w:firstLine="645"/>
        <w:rPr>
          <w:rFonts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spacing w:line="578" w:lineRule="exact"/>
        <w:ind w:firstLine="645"/>
        <w:rPr>
          <w:rFonts w:ascii="黑体" w:hAnsi="黑体" w:eastAsia="黑体" w:cs="黑体"/>
          <w:color w:val="auto"/>
          <w:sz w:val="32"/>
          <w:szCs w:val="32"/>
        </w:rPr>
      </w:pPr>
      <w:bookmarkStart w:id="49" w:name="_Toc25166_WPSOffice_Level2"/>
      <w:bookmarkStart w:id="50" w:name="_Toc7879_WPSOffice_Level2"/>
      <w:bookmarkStart w:id="51" w:name="_Toc22783_WPSOffice_Level2"/>
      <w:bookmarkStart w:id="52" w:name="_Toc23829_WPSOffice_Level2"/>
      <w:bookmarkStart w:id="53" w:name="_Toc2158_WPSOffice_Level2"/>
      <w:bookmarkStart w:id="54" w:name="_Toc13516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17283_WPSOffice_Level2"/>
      <w:bookmarkStart w:id="56" w:name="_Toc25362_WPSOffice_Level2"/>
      <w:bookmarkStart w:id="57" w:name="_Toc2632_WPSOffice_Level2"/>
      <w:bookmarkStart w:id="58" w:name="_Toc17833_WPSOffice_Level2"/>
      <w:bookmarkStart w:id="59" w:name="_Toc5343_WPSOffice_Level2"/>
      <w:bookmarkStart w:id="60" w:name="_Toc8373_WPSOffice_Level2"/>
    </w:p>
    <w:p>
      <w:pPr>
        <w:spacing w:line="578" w:lineRule="exact"/>
        <w:ind w:firstLine="645"/>
        <w:rPr>
          <w:rFonts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spacing w:line="578" w:lineRule="exact"/>
        <w:ind w:left="1118" w:leftChars="304" w:hanging="480" w:hangingChars="150"/>
        <w:rPr>
          <w:rFonts w:ascii="黑体" w:hAnsi="黑体" w:eastAsia="黑体" w:cs="黑体"/>
          <w:color w:val="auto"/>
          <w:sz w:val="32"/>
          <w:szCs w:val="32"/>
        </w:rPr>
      </w:pPr>
      <w:bookmarkStart w:id="61" w:name="_Toc1533_WPSOffice_Level2"/>
      <w:bookmarkStart w:id="62" w:name="_Toc6020_WPSOffice_Level2"/>
      <w:bookmarkStart w:id="63" w:name="_Toc21310_WPSOffice_Level2"/>
      <w:bookmarkStart w:id="64" w:name="_Toc13345_WPSOffice_Level2"/>
      <w:bookmarkStart w:id="65" w:name="_Toc5594_WPSOffice_Level2"/>
      <w:bookmarkStart w:id="66" w:name="_Toc11799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spacing w:line="578" w:lineRule="exact"/>
        <w:ind w:left="1118" w:leftChars="304" w:hanging="480" w:hangingChars="150"/>
        <w:rPr>
          <w:rFonts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ascii="黑体" w:hAnsi="黑体" w:eastAsia="黑体" w:cs="黑体"/>
          <w:color w:val="auto"/>
          <w:sz w:val="32"/>
          <w:szCs w:val="32"/>
        </w:rPr>
      </w:pPr>
      <w:bookmarkStart w:id="67" w:name="_Toc19961_WPSOffice_Level2"/>
      <w:bookmarkStart w:id="68" w:name="_Toc9377_WPSOffice_Level2"/>
      <w:bookmarkStart w:id="69" w:name="_Toc29886_WPSOffice_Level2"/>
      <w:bookmarkStart w:id="70" w:name="_Toc1820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spacing w:line="578" w:lineRule="exact"/>
        <w:ind w:firstLine="640"/>
        <w:rPr>
          <w:rFonts w:ascii="仿宋" w:hAnsi="仿宋" w:eastAsia="仿宋" w:cs="仿宋"/>
          <w:color w:val="auto"/>
          <w:sz w:val="32"/>
          <w:szCs w:val="32"/>
        </w:rPr>
      </w:pPr>
      <w:r>
        <w:rPr>
          <w:rFonts w:hint="eastAsia" w:ascii="仿宋" w:hAnsi="仿宋" w:eastAsia="仿宋" w:cs="仿宋"/>
          <w:color w:val="auto"/>
          <w:sz w:val="32"/>
          <w:szCs w:val="32"/>
        </w:rPr>
        <w:t xml:space="preserve">以上报表见附件1。   </w:t>
      </w:r>
    </w:p>
    <w:p>
      <w:pPr>
        <w:spacing w:line="578" w:lineRule="exact"/>
        <w:rPr>
          <w:rFonts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1" w:name="_Toc31264_WPSOffice_Level1"/>
      <w:bookmarkStart w:id="72" w:name="_Toc29683_WPSOffice_Level1"/>
      <w:bookmarkStart w:id="73" w:name="_Toc16686_WPSOffice_Level1"/>
      <w:bookmarkStart w:id="74" w:name="_Toc28629_WPSOffice_Level1"/>
      <w:bookmarkStart w:id="75" w:name="_Toc27590_WPSOffice_Level1"/>
      <w:bookmarkStart w:id="76" w:name="_Toc4402_WPSOffice_Level1"/>
      <w:r>
        <w:rPr>
          <w:rFonts w:hint="eastAsia" w:ascii="黑体" w:hAnsi="ˎ̥" w:eastAsia="黑体"/>
          <w:color w:val="auto"/>
          <w:sz w:val="32"/>
          <w:szCs w:val="32"/>
        </w:rPr>
        <w:t xml:space="preserve">第三部分  </w:t>
      </w:r>
      <w:r>
        <w:rPr>
          <w:rFonts w:ascii="黑体" w:hAnsi="ˎ̥" w:eastAsia="黑体"/>
          <w:color w:val="auto"/>
          <w:sz w:val="32"/>
          <w:szCs w:val="32"/>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rPr>
      </w:pPr>
    </w:p>
    <w:p>
      <w:pPr>
        <w:spacing w:before="100" w:beforeAutospacing="1" w:after="100" w:afterAutospacing="1"/>
        <w:ind w:firstLine="640" w:firstLineChars="200"/>
        <w:rPr>
          <w:rFonts w:hint="eastAsia" w:ascii="仿宋_GB2312" w:hAnsi="ˎ̥" w:eastAsia="仿宋_GB2312" w:cs="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ascii="仿宋_GB2312" w:hAnsi="ˎ̥" w:eastAsia="仿宋_GB2312"/>
          <w:color w:val="auto"/>
          <w:sz w:val="32"/>
          <w:szCs w:val="32"/>
        </w:rPr>
        <w:t>2024</w:t>
      </w:r>
      <w:r>
        <w:rPr>
          <w:rFonts w:hint="eastAsia" w:ascii="仿宋_GB2312" w:hAnsi="ˎ̥" w:eastAsia="仿宋_GB2312"/>
          <w:color w:val="auto"/>
          <w:sz w:val="32"/>
          <w:szCs w:val="32"/>
        </w:rPr>
        <w:t>年度收入总计</w:t>
      </w:r>
      <w:r>
        <w:rPr>
          <w:rFonts w:ascii="仿宋_GB2312" w:hAnsi="ˎ̥" w:eastAsia="仿宋_GB2312"/>
          <w:color w:val="auto"/>
          <w:sz w:val="32"/>
          <w:szCs w:val="32"/>
        </w:rPr>
        <w:t>2,106.10</w:t>
      </w:r>
      <w:r>
        <w:rPr>
          <w:rFonts w:hint="eastAsia" w:ascii="仿宋_GB2312" w:hAnsi="ˎ̥" w:eastAsia="仿宋_GB2312"/>
          <w:color w:val="auto"/>
          <w:sz w:val="32"/>
          <w:szCs w:val="32"/>
        </w:rPr>
        <w:t>万元，支出总计</w:t>
      </w:r>
      <w:r>
        <w:rPr>
          <w:rFonts w:ascii="仿宋_GB2312" w:hAnsi="ˎ̥" w:eastAsia="仿宋_GB2312"/>
          <w:color w:val="auto"/>
          <w:sz w:val="32"/>
          <w:szCs w:val="32"/>
        </w:rPr>
        <w:t>2,106.10</w:t>
      </w:r>
      <w:r>
        <w:rPr>
          <w:rFonts w:hint="eastAsia" w:ascii="仿宋_GB2312" w:hAnsi="ˎ̥" w:eastAsia="仿宋_GB2312"/>
          <w:color w:val="auto"/>
          <w:sz w:val="32"/>
          <w:szCs w:val="32"/>
        </w:rPr>
        <w:t>万元，与</w:t>
      </w:r>
      <w:r>
        <w:rPr>
          <w:rFonts w:ascii="仿宋_GB2312" w:hAnsi="ˎ̥" w:eastAsia="仿宋_GB2312"/>
          <w:color w:val="auto"/>
          <w:sz w:val="32"/>
          <w:szCs w:val="32"/>
        </w:rPr>
        <w:t>2023</w:t>
      </w:r>
      <w:r>
        <w:rPr>
          <w:rFonts w:hint="eastAsia" w:ascii="仿宋_GB2312" w:hAnsi="ˎ̥" w:eastAsia="仿宋_GB2312"/>
          <w:color w:val="auto"/>
          <w:sz w:val="32"/>
          <w:szCs w:val="32"/>
        </w:rPr>
        <w:t>年度相比，收入减少197.37万元，支出总计197.51万元，下降8.59%。</w:t>
      </w:r>
      <w:r>
        <w:rPr>
          <w:rFonts w:hint="eastAsia" w:ascii="仿宋_GB2312" w:hAnsi="ˎ̥" w:eastAsia="仿宋_GB2312" w:cs="仿宋_GB2312"/>
          <w:color w:val="auto"/>
          <w:kern w:val="0"/>
          <w:sz w:val="32"/>
          <w:szCs w:val="32"/>
          <w:shd w:val="clear" w:color="auto" w:fill="FFFFFF"/>
        </w:rPr>
        <w:t>主要原因：一是教育支出减少</w:t>
      </w:r>
      <w:r>
        <w:rPr>
          <w:rFonts w:hint="eastAsia" w:ascii="仿宋_GB2312" w:hAnsi="ˎ̥" w:eastAsia="仿宋_GB2312" w:cs="仿宋_GB2312"/>
          <w:color w:val="auto"/>
          <w:sz w:val="32"/>
          <w:szCs w:val="32"/>
        </w:rPr>
        <w:t>；</w:t>
      </w:r>
      <w:r>
        <w:rPr>
          <w:rFonts w:hint="eastAsia" w:ascii="仿宋_GB2312" w:hAnsi="ˎ̥" w:eastAsia="仿宋_GB2312" w:cs="仿宋_GB2312"/>
          <w:color w:val="auto"/>
          <w:kern w:val="0"/>
          <w:sz w:val="32"/>
          <w:szCs w:val="32"/>
          <w:shd w:val="clear" w:color="auto" w:fill="FFFFFF"/>
        </w:rPr>
        <w:t>二是社会保障和就业支出减少。</w:t>
      </w:r>
    </w:p>
    <w:p>
      <w:pPr>
        <w:spacing w:before="100" w:beforeAutospacing="1" w:after="100" w:afterAutospacing="1"/>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收入2,105.66</w:t>
      </w:r>
      <w:r>
        <w:rPr>
          <w:rFonts w:hint="eastAsia" w:ascii="仿宋_GB2312" w:hAnsi="ˎ̥" w:eastAsia="仿宋_GB2312"/>
          <w:color w:val="auto"/>
          <w:sz w:val="32"/>
          <w:szCs w:val="32"/>
        </w:rPr>
        <w:t>万元。</w:t>
      </w:r>
    </w:p>
    <w:p>
      <w:pPr>
        <w:spacing w:line="578" w:lineRule="exact"/>
        <w:ind w:firstLine="640" w:firstLineChars="200"/>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olor w:val="auto"/>
          <w:sz w:val="32"/>
          <w:szCs w:val="32"/>
        </w:rPr>
        <w:t>非财政拨款结余0.08万元，较</w:t>
      </w:r>
      <w:r>
        <w:rPr>
          <w:rFonts w:ascii="仿宋_GB2312" w:hAnsi="ˎ̥" w:eastAsia="仿宋_GB2312"/>
          <w:color w:val="auto"/>
          <w:sz w:val="32"/>
          <w:szCs w:val="32"/>
        </w:rPr>
        <w:t>2023</w:t>
      </w:r>
      <w:r>
        <w:rPr>
          <w:rFonts w:hint="eastAsia" w:ascii="仿宋_GB2312" w:hAnsi="ˎ̥" w:eastAsia="仿宋_GB2312"/>
          <w:color w:val="auto"/>
          <w:sz w:val="32"/>
          <w:szCs w:val="32"/>
        </w:rPr>
        <w:t>年度决算数增加0.13万元，主要原因是</w:t>
      </w:r>
      <w:r>
        <w:rPr>
          <w:rFonts w:hint="eastAsia" w:ascii="仿宋_GB2312" w:hAnsi="ˎ̥" w:eastAsia="仿宋_GB2312" w:cs="仿宋_GB2312"/>
          <w:color w:val="auto"/>
          <w:kern w:val="0"/>
          <w:sz w:val="32"/>
          <w:szCs w:val="32"/>
          <w:shd w:val="clear" w:color="auto" w:fill="FFFFFF"/>
        </w:rPr>
        <w:t>主要是事业单位转入非财政拨款结余。</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年初结转结余</w:t>
      </w:r>
      <w:r>
        <w:rPr>
          <w:rFonts w:ascii="仿宋_GB2312" w:hAnsi="ˎ̥" w:eastAsia="仿宋_GB2312"/>
          <w:color w:val="auto"/>
          <w:sz w:val="32"/>
          <w:szCs w:val="32"/>
        </w:rPr>
        <w:t>0.44</w:t>
      </w:r>
      <w:r>
        <w:rPr>
          <w:rFonts w:hint="eastAsia" w:ascii="仿宋_GB2312" w:hAnsi="ˎ̥" w:eastAsia="仿宋_GB2312"/>
          <w:color w:val="auto"/>
          <w:sz w:val="32"/>
          <w:szCs w:val="32"/>
        </w:rPr>
        <w:t>万元，主要是课后服务资金，较</w:t>
      </w:r>
      <w:r>
        <w:rPr>
          <w:rFonts w:ascii="仿宋_GB2312" w:hAnsi="ˎ̥" w:eastAsia="仿宋_GB2312"/>
          <w:color w:val="auto"/>
          <w:sz w:val="32"/>
          <w:szCs w:val="32"/>
        </w:rPr>
        <w:t>2023</w:t>
      </w:r>
      <w:r>
        <w:rPr>
          <w:rFonts w:hint="eastAsia" w:ascii="仿宋_GB2312" w:hAnsi="ˎ̥" w:eastAsia="仿宋_GB2312"/>
          <w:color w:val="auto"/>
          <w:sz w:val="32"/>
          <w:szCs w:val="32"/>
        </w:rPr>
        <w:t>年度决算数奖少0.43万元，下降96.85%，主要原因是使用上年度结转课后服务资金支付课后劳务费用。</w:t>
      </w:r>
    </w:p>
    <w:p>
      <w:pPr>
        <w:spacing w:line="578"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ascii="仿宋_GB2312" w:hAnsi="ˎ̥" w:eastAsia="仿宋_GB2312"/>
          <w:color w:val="auto"/>
          <w:sz w:val="32"/>
          <w:szCs w:val="32"/>
        </w:rPr>
        <w:t>2,105.96</w:t>
      </w:r>
      <w:r>
        <w:rPr>
          <w:rFonts w:hint="eastAsia" w:ascii="仿宋_GB2312" w:hAnsi="ˎ̥" w:eastAsia="仿宋_GB2312"/>
          <w:color w:val="auto"/>
          <w:sz w:val="32"/>
          <w:szCs w:val="32"/>
        </w:rPr>
        <w:t>万元。</w:t>
      </w:r>
    </w:p>
    <w:p>
      <w:pPr>
        <w:spacing w:line="578" w:lineRule="exact"/>
        <w:ind w:firstLine="640" w:firstLineChars="200"/>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olor w:val="auto"/>
          <w:sz w:val="32"/>
          <w:szCs w:val="32"/>
        </w:rPr>
        <w:t>结余分配</w:t>
      </w:r>
      <w:r>
        <w:rPr>
          <w:rFonts w:ascii="仿宋_GB2312" w:hAnsi="ˎ̥" w:eastAsia="仿宋_GB2312"/>
          <w:color w:val="auto"/>
          <w:sz w:val="32"/>
          <w:szCs w:val="32"/>
        </w:rPr>
        <w:t>0.14</w:t>
      </w:r>
      <w:r>
        <w:rPr>
          <w:rFonts w:hint="eastAsia" w:ascii="仿宋_GB2312" w:hAnsi="ˎ̥" w:eastAsia="仿宋_GB2312"/>
          <w:color w:val="auto"/>
          <w:sz w:val="32"/>
          <w:szCs w:val="32"/>
        </w:rPr>
        <w:t>万元，较</w:t>
      </w:r>
      <w:r>
        <w:rPr>
          <w:rFonts w:ascii="仿宋_GB2312" w:hAnsi="ˎ̥" w:eastAsia="仿宋_GB2312"/>
          <w:color w:val="auto"/>
          <w:sz w:val="32"/>
          <w:szCs w:val="32"/>
        </w:rPr>
        <w:t>2023</w:t>
      </w:r>
      <w:r>
        <w:rPr>
          <w:rFonts w:hint="eastAsia" w:ascii="仿宋_GB2312" w:hAnsi="ˎ̥" w:eastAsia="仿宋_GB2312"/>
          <w:color w:val="auto"/>
          <w:sz w:val="32"/>
          <w:szCs w:val="32"/>
        </w:rPr>
        <w:t>年度决算数增加0.13万元，主要原因是</w:t>
      </w:r>
      <w:r>
        <w:rPr>
          <w:rFonts w:hint="eastAsia" w:ascii="仿宋_GB2312" w:hAnsi="ˎ̥" w:eastAsia="仿宋_GB2312" w:cs="仿宋_GB2312"/>
          <w:color w:val="auto"/>
          <w:kern w:val="0"/>
          <w:sz w:val="32"/>
          <w:szCs w:val="32"/>
          <w:shd w:val="clear" w:color="auto" w:fill="FFFFFF"/>
        </w:rPr>
        <w:t>主要是事业单位转入非财政拨款结余。</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年末结转结余0.003万元，主要是课后服务资金，较</w:t>
      </w:r>
      <w:r>
        <w:rPr>
          <w:rFonts w:ascii="仿宋_GB2312" w:hAnsi="ˎ̥" w:eastAsia="仿宋_GB2312"/>
          <w:color w:val="auto"/>
          <w:sz w:val="32"/>
          <w:szCs w:val="32"/>
        </w:rPr>
        <w:t>2023</w:t>
      </w:r>
      <w:r>
        <w:rPr>
          <w:rFonts w:hint="eastAsia" w:ascii="仿宋_GB2312" w:hAnsi="ˎ̥" w:eastAsia="仿宋_GB2312"/>
          <w:color w:val="auto"/>
          <w:sz w:val="32"/>
          <w:szCs w:val="32"/>
        </w:rPr>
        <w:t>年度决算数奖少0.43万元，下降96.85%，主要原因是使用上年度结转课后服务资金支付课后劳务费用。</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：2024</w:t>
      </w:r>
      <w:r>
        <w:rPr>
          <w:rFonts w:hint="eastAsia" w:ascii="仿宋_GB2312" w:hAnsi="ˎ̥" w:eastAsia="仿宋_GB2312"/>
          <w:color w:val="auto"/>
          <w:sz w:val="32"/>
          <w:szCs w:val="32"/>
        </w:rPr>
        <w:t>年度相关决算数据可取自附件财决公开01、02、03表；</w:t>
      </w:r>
      <w:r>
        <w:rPr>
          <w:rFonts w:ascii="仿宋_GB2312" w:hAnsi="ˎ̥" w:eastAsia="仿宋_GB2312"/>
          <w:color w:val="auto"/>
          <w:sz w:val="32"/>
          <w:szCs w:val="32"/>
        </w:rPr>
        <w:t>2023</w:t>
      </w:r>
      <w:r>
        <w:rPr>
          <w:rFonts w:hint="eastAsia" w:ascii="仿宋_GB2312" w:hAnsi="ˎ̥" w:eastAsia="仿宋_GB2312"/>
          <w:color w:val="auto"/>
          <w:sz w:val="32"/>
          <w:szCs w:val="32"/>
        </w:rPr>
        <w:t>年度相关决算数据可取自</w:t>
      </w:r>
      <w:r>
        <w:rPr>
          <w:rFonts w:ascii="仿宋_GB2312" w:hAnsi="ˎ̥" w:eastAsia="仿宋_GB2312"/>
          <w:color w:val="auto"/>
          <w:sz w:val="32"/>
          <w:szCs w:val="32"/>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p>
    <w:p>
      <w:pPr>
        <w:spacing w:line="578" w:lineRule="exact"/>
        <w:ind w:firstLine="640" w:firstLineChars="200"/>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ascii="仿宋_GB2312" w:hAnsi="ˎ̥" w:eastAsia="仿宋_GB2312"/>
          <w:color w:val="auto"/>
          <w:sz w:val="32"/>
          <w:szCs w:val="32"/>
        </w:rPr>
        <w:t>2,105.66</w:t>
      </w:r>
      <w:r>
        <w:rPr>
          <w:rFonts w:hint="eastAsia" w:ascii="仿宋_GB2312" w:hAnsi="ˎ̥" w:eastAsia="仿宋_GB2312"/>
          <w:color w:val="auto"/>
          <w:sz w:val="32"/>
          <w:szCs w:val="32"/>
        </w:rPr>
        <w:t>万元，其中：财政拨款收入</w:t>
      </w:r>
      <w:r>
        <w:rPr>
          <w:rFonts w:ascii="仿宋_GB2312" w:hAnsi="ˎ̥" w:eastAsia="仿宋_GB2312"/>
          <w:color w:val="auto"/>
          <w:sz w:val="32"/>
          <w:szCs w:val="32"/>
        </w:rPr>
        <w:t>2,094.18</w:t>
      </w:r>
      <w:r>
        <w:rPr>
          <w:rFonts w:hint="eastAsia" w:ascii="仿宋_GB2312" w:hAnsi="ˎ̥" w:eastAsia="仿宋_GB2312"/>
          <w:color w:val="auto"/>
          <w:sz w:val="32"/>
          <w:szCs w:val="32"/>
        </w:rPr>
        <w:t>万元，占99.45%；其他收入</w:t>
      </w:r>
      <w:r>
        <w:rPr>
          <w:rFonts w:ascii="仿宋_GB2312" w:hAnsi="ˎ̥" w:eastAsia="仿宋_GB2312"/>
          <w:color w:val="auto"/>
          <w:sz w:val="32"/>
          <w:szCs w:val="32"/>
        </w:rPr>
        <w:t>11.48</w:t>
      </w:r>
      <w:r>
        <w:rPr>
          <w:rFonts w:hint="eastAsia" w:ascii="仿宋_GB2312" w:hAnsi="ˎ̥" w:eastAsia="仿宋_GB2312"/>
          <w:color w:val="auto"/>
          <w:sz w:val="32"/>
          <w:szCs w:val="32"/>
        </w:rPr>
        <w:t>万元，占0.55%。</w:t>
      </w:r>
    </w:p>
    <w:p>
      <w:pPr>
        <w:spacing w:line="578" w:lineRule="exact"/>
        <w:ind w:left="412" w:leftChars="196"/>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p>
    <w:p>
      <w:pPr>
        <w:spacing w:line="578" w:lineRule="exact"/>
        <w:ind w:firstLine="627" w:firstLineChars="196"/>
        <w:rPr>
          <w:rFonts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ascii="仿宋_GB2312" w:hAnsi="ˎ̥" w:eastAsia="仿宋_GB2312"/>
          <w:color w:val="auto"/>
          <w:sz w:val="32"/>
          <w:szCs w:val="32"/>
        </w:rPr>
        <w:t>2,105.96</w:t>
      </w:r>
      <w:r>
        <w:rPr>
          <w:rFonts w:hint="eastAsia" w:ascii="仿宋_GB2312" w:hAnsi="ˎ̥" w:eastAsia="仿宋_GB2312"/>
          <w:color w:val="auto"/>
          <w:sz w:val="32"/>
          <w:szCs w:val="32"/>
        </w:rPr>
        <w:t>万元，其中：基本支出</w:t>
      </w:r>
      <w:r>
        <w:rPr>
          <w:rFonts w:ascii="仿宋_GB2312" w:hAnsi="ˎ̥" w:eastAsia="仿宋_GB2312"/>
          <w:color w:val="auto"/>
          <w:sz w:val="32"/>
          <w:szCs w:val="32"/>
        </w:rPr>
        <w:t>1,962.94</w:t>
      </w:r>
      <w:r>
        <w:rPr>
          <w:rFonts w:hint="eastAsia" w:ascii="仿宋_GB2312" w:hAnsi="ˎ̥" w:eastAsia="仿宋_GB2312"/>
          <w:color w:val="auto"/>
          <w:sz w:val="32"/>
          <w:szCs w:val="32"/>
        </w:rPr>
        <w:t>万元，占93.21%；项目支出</w:t>
      </w:r>
      <w:r>
        <w:rPr>
          <w:rFonts w:ascii="仿宋_GB2312" w:hAnsi="ˎ̥" w:eastAsia="仿宋_GB2312"/>
          <w:color w:val="auto"/>
          <w:sz w:val="32"/>
          <w:szCs w:val="32"/>
        </w:rPr>
        <w:t>143.02</w:t>
      </w:r>
      <w:r>
        <w:rPr>
          <w:rFonts w:hint="eastAsia" w:ascii="仿宋_GB2312" w:hAnsi="ˎ̥" w:eastAsia="仿宋_GB2312"/>
          <w:color w:val="auto"/>
          <w:sz w:val="32"/>
          <w:szCs w:val="32"/>
        </w:rPr>
        <w:t>万元，占6.79%。</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p>
    <w:p>
      <w:pPr>
        <w:spacing w:line="578" w:lineRule="exact"/>
        <w:ind w:firstLine="627" w:firstLineChars="196"/>
        <w:rPr>
          <w:rFonts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spacing w:before="100" w:beforeAutospacing="1" w:after="100" w:afterAutospacing="1"/>
        <w:ind w:firstLine="640" w:firstLineChars="200"/>
        <w:rPr>
          <w:rFonts w:hint="eastAsia" w:ascii="仿宋_GB2312" w:hAnsi="ˎ̥" w:eastAsia="仿宋_GB2312" w:cs="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年度财政拨款收入</w:t>
      </w:r>
      <w:r>
        <w:rPr>
          <w:rFonts w:ascii="仿宋_GB2312" w:hAnsi="ˎ̥" w:eastAsia="仿宋_GB2312"/>
          <w:color w:val="auto"/>
          <w:sz w:val="32"/>
          <w:szCs w:val="32"/>
        </w:rPr>
        <w:t>2,094.18</w:t>
      </w:r>
      <w:r>
        <w:rPr>
          <w:rFonts w:hint="eastAsia" w:ascii="仿宋_GB2312" w:hAnsi="ˎ̥" w:eastAsia="仿宋_GB2312"/>
          <w:color w:val="auto"/>
          <w:sz w:val="32"/>
          <w:szCs w:val="32"/>
        </w:rPr>
        <w:t>万元，支出</w:t>
      </w:r>
      <w:r>
        <w:rPr>
          <w:rFonts w:ascii="仿宋_GB2312" w:hAnsi="ˎ̥" w:eastAsia="仿宋_GB2312"/>
          <w:color w:val="auto"/>
          <w:sz w:val="32"/>
          <w:szCs w:val="32"/>
        </w:rPr>
        <w:t>2,094.18</w:t>
      </w:r>
      <w:r>
        <w:rPr>
          <w:rFonts w:hint="eastAsia" w:ascii="仿宋_GB2312" w:hAnsi="ˎ̥" w:eastAsia="仿宋_GB2312"/>
          <w:color w:val="auto"/>
          <w:sz w:val="32"/>
          <w:szCs w:val="32"/>
        </w:rPr>
        <w:t>万元。与</w:t>
      </w:r>
      <w:r>
        <w:rPr>
          <w:rFonts w:ascii="仿宋_GB2312" w:hAnsi="ˎ̥" w:eastAsia="仿宋_GB2312"/>
          <w:color w:val="auto"/>
          <w:sz w:val="32"/>
          <w:szCs w:val="32"/>
        </w:rPr>
        <w:t>2023</w:t>
      </w:r>
      <w:r>
        <w:rPr>
          <w:rFonts w:hint="eastAsia" w:ascii="仿宋_GB2312" w:hAnsi="ˎ̥" w:eastAsia="仿宋_GB2312"/>
          <w:color w:val="auto"/>
          <w:sz w:val="32"/>
          <w:szCs w:val="32"/>
        </w:rPr>
        <w:t>年度相比，财政拨款收入减少184.15万元，增长（下降）8.08%，</w:t>
      </w:r>
      <w:r>
        <w:rPr>
          <w:rFonts w:hint="eastAsia" w:ascii="仿宋_GB2312" w:hAnsi="ˎ̥" w:eastAsia="仿宋_GB2312" w:cs="仿宋_GB2312"/>
          <w:color w:val="auto"/>
          <w:kern w:val="0"/>
          <w:sz w:val="32"/>
          <w:szCs w:val="32"/>
          <w:shd w:val="clear" w:color="auto" w:fill="FFFFFF"/>
        </w:rPr>
        <w:t>主要原因：一是教育支出减少</w:t>
      </w:r>
      <w:r>
        <w:rPr>
          <w:rFonts w:hint="eastAsia" w:ascii="仿宋_GB2312" w:hAnsi="ˎ̥" w:eastAsia="仿宋_GB2312" w:cs="仿宋_GB2312"/>
          <w:color w:val="auto"/>
          <w:sz w:val="32"/>
          <w:szCs w:val="32"/>
        </w:rPr>
        <w:t>；</w:t>
      </w:r>
      <w:r>
        <w:rPr>
          <w:rFonts w:hint="eastAsia" w:ascii="仿宋_GB2312" w:hAnsi="ˎ̥" w:eastAsia="仿宋_GB2312" w:cs="仿宋_GB2312"/>
          <w:color w:val="auto"/>
          <w:kern w:val="0"/>
          <w:sz w:val="32"/>
          <w:szCs w:val="32"/>
          <w:shd w:val="clear" w:color="auto" w:fill="FFFFFF"/>
        </w:rPr>
        <w:t>二是社会保障和就业支出减少。</w:t>
      </w:r>
    </w:p>
    <w:p>
      <w:pPr>
        <w:spacing w:before="100" w:beforeAutospacing="1" w:after="100" w:afterAutospacing="1"/>
        <w:ind w:firstLine="640" w:firstLineChars="200"/>
        <w:rPr>
          <w:rFonts w:hint="eastAsia" w:ascii="仿宋_GB2312" w:hAnsi="ˎ̥" w:eastAsia="仿宋_GB2312" w:cs="仿宋_GB2312"/>
          <w:color w:val="auto"/>
          <w:sz w:val="32"/>
          <w:szCs w:val="32"/>
        </w:rPr>
      </w:pPr>
      <w:r>
        <w:rPr>
          <w:rFonts w:hint="eastAsia" w:ascii="仿宋_GB2312" w:hAnsi="ˎ̥" w:eastAsia="仿宋_GB2312"/>
          <w:color w:val="auto"/>
          <w:sz w:val="32"/>
          <w:szCs w:val="32"/>
        </w:rPr>
        <w:t>支出减少184.15，与</w:t>
      </w:r>
      <w:r>
        <w:rPr>
          <w:rFonts w:ascii="仿宋_GB2312" w:hAnsi="ˎ̥" w:eastAsia="仿宋_GB2312"/>
          <w:color w:val="auto"/>
          <w:sz w:val="32"/>
          <w:szCs w:val="32"/>
        </w:rPr>
        <w:t>2023</w:t>
      </w:r>
      <w:r>
        <w:rPr>
          <w:rFonts w:hint="eastAsia" w:ascii="仿宋_GB2312" w:hAnsi="ˎ̥" w:eastAsia="仿宋_GB2312"/>
          <w:color w:val="auto"/>
          <w:sz w:val="32"/>
          <w:szCs w:val="32"/>
        </w:rPr>
        <w:t>年度相比财政拨款支出减少184.15万元，增长（下降）8.08%，</w:t>
      </w:r>
      <w:r>
        <w:rPr>
          <w:rFonts w:hint="eastAsia" w:ascii="仿宋_GB2312" w:hAnsi="ˎ̥" w:eastAsia="仿宋_GB2312" w:cs="仿宋_GB2312"/>
          <w:color w:val="auto"/>
          <w:kern w:val="0"/>
          <w:sz w:val="32"/>
          <w:szCs w:val="32"/>
          <w:shd w:val="clear" w:color="auto" w:fill="FFFFFF"/>
        </w:rPr>
        <w:t>主要原因：一是教育支出减少</w:t>
      </w:r>
      <w:r>
        <w:rPr>
          <w:rFonts w:hint="eastAsia" w:ascii="仿宋_GB2312" w:hAnsi="ˎ̥" w:eastAsia="仿宋_GB2312" w:cs="仿宋_GB2312"/>
          <w:color w:val="auto"/>
          <w:sz w:val="32"/>
          <w:szCs w:val="32"/>
        </w:rPr>
        <w:t>；</w:t>
      </w:r>
      <w:r>
        <w:rPr>
          <w:rFonts w:hint="eastAsia" w:ascii="仿宋_GB2312" w:hAnsi="ˎ̥" w:eastAsia="仿宋_GB2312" w:cs="仿宋_GB2312"/>
          <w:color w:val="auto"/>
          <w:kern w:val="0"/>
          <w:sz w:val="32"/>
          <w:szCs w:val="32"/>
          <w:shd w:val="clear" w:color="auto" w:fill="FFFFFF"/>
        </w:rPr>
        <w:t>二是社会保障和就业支出减少</w:t>
      </w:r>
      <w:r>
        <w:rPr>
          <w:rFonts w:hint="eastAsia" w:ascii="仿宋_GB2312" w:hAnsi="ˎ̥" w:eastAsia="仿宋_GB2312" w:cs="仿宋_GB2312"/>
          <w:color w:val="auto"/>
          <w:sz w:val="32"/>
          <w:szCs w:val="32"/>
        </w:rPr>
        <w:t>。</w:t>
      </w:r>
    </w:p>
    <w:p>
      <w:pPr>
        <w:spacing w:before="100" w:beforeAutospacing="1" w:after="100" w:afterAutospacing="1"/>
        <w:ind w:left="638" w:leftChars="304"/>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ascii="仿宋_GB2312" w:hAnsi="ˎ̥" w:eastAsia="仿宋_GB2312"/>
          <w:color w:val="auto"/>
          <w:sz w:val="32"/>
          <w:szCs w:val="32"/>
        </w:rPr>
        <w:t>0.00</w:t>
      </w:r>
      <w:r>
        <w:rPr>
          <w:rFonts w:hint="eastAsia" w:ascii="仿宋_GB2312" w:hAnsi="ˎ̥" w:eastAsia="仿宋_GB2312"/>
          <w:color w:val="auto"/>
          <w:sz w:val="32"/>
          <w:szCs w:val="32"/>
        </w:rPr>
        <w:t>万元，较</w:t>
      </w:r>
      <w:r>
        <w:rPr>
          <w:rFonts w:ascii="仿宋_GB2312" w:hAnsi="ˎ̥" w:eastAsia="仿宋_GB2312"/>
          <w:color w:val="auto"/>
          <w:sz w:val="32"/>
          <w:szCs w:val="32"/>
        </w:rPr>
        <w:t>2023</w:t>
      </w:r>
      <w:r>
        <w:rPr>
          <w:rFonts w:hint="eastAsia" w:ascii="仿宋_GB2312" w:hAnsi="ˎ̥" w:eastAsia="仿宋_GB2312"/>
          <w:color w:val="auto"/>
          <w:sz w:val="32"/>
          <w:szCs w:val="32"/>
        </w:rPr>
        <w:t>年度决算数持平。财政拨款年末结转结余</w:t>
      </w:r>
      <w:r>
        <w:rPr>
          <w:rFonts w:ascii="仿宋_GB2312" w:hAnsi="ˎ̥" w:eastAsia="仿宋_GB2312"/>
          <w:color w:val="auto"/>
          <w:sz w:val="32"/>
          <w:szCs w:val="32"/>
        </w:rPr>
        <w:t>0.00</w:t>
      </w:r>
      <w:r>
        <w:rPr>
          <w:rFonts w:hint="eastAsia" w:ascii="仿宋_GB2312" w:hAnsi="ˎ̥" w:eastAsia="仿宋_GB2312"/>
          <w:color w:val="auto"/>
          <w:sz w:val="32"/>
          <w:szCs w:val="32"/>
        </w:rPr>
        <w:t>万元，较</w:t>
      </w:r>
      <w:r>
        <w:rPr>
          <w:rFonts w:ascii="仿宋_GB2312" w:hAnsi="ˎ̥" w:eastAsia="仿宋_GB2312"/>
          <w:color w:val="auto"/>
          <w:sz w:val="32"/>
          <w:szCs w:val="32"/>
        </w:rPr>
        <w:t>2023</w:t>
      </w:r>
      <w:r>
        <w:rPr>
          <w:rFonts w:hint="eastAsia" w:ascii="仿宋_GB2312" w:hAnsi="ˎ̥" w:eastAsia="仿宋_GB2312"/>
          <w:color w:val="auto"/>
          <w:sz w:val="32"/>
          <w:szCs w:val="32"/>
        </w:rPr>
        <w:t>年度决算数持平。（注</w:t>
      </w:r>
      <w:r>
        <w:rPr>
          <w:rFonts w:ascii="仿宋_GB2312" w:hAnsi="ˎ̥" w:eastAsia="仿宋_GB2312"/>
          <w:color w:val="auto"/>
          <w:sz w:val="32"/>
          <w:szCs w:val="32"/>
        </w:rPr>
        <w:t>：2024</w:t>
      </w:r>
      <w:r>
        <w:rPr>
          <w:rFonts w:hint="eastAsia" w:ascii="仿宋_GB2312" w:hAnsi="ˎ̥" w:eastAsia="仿宋_GB2312"/>
          <w:color w:val="auto"/>
          <w:sz w:val="32"/>
          <w:szCs w:val="32"/>
        </w:rPr>
        <w:t>年度决算相关数据可取自财决公开04表。</w:t>
      </w:r>
      <w:r>
        <w:rPr>
          <w:rFonts w:ascii="仿宋_GB2312" w:hAnsi="ˎ̥" w:eastAsia="仿宋_GB2312"/>
          <w:color w:val="auto"/>
          <w:sz w:val="32"/>
          <w:szCs w:val="32"/>
        </w:rPr>
        <w:t>2023</w:t>
      </w:r>
      <w:r>
        <w:rPr>
          <w:rFonts w:hint="eastAsia" w:ascii="仿宋_GB2312" w:hAnsi="ˎ̥" w:eastAsia="仿宋_GB2312"/>
          <w:color w:val="auto"/>
          <w:sz w:val="32"/>
          <w:szCs w:val="32"/>
        </w:rPr>
        <w:t>年度决算相关数据可取自</w:t>
      </w:r>
      <w:r>
        <w:rPr>
          <w:rFonts w:ascii="仿宋_GB2312" w:hAnsi="ˎ̥" w:eastAsia="仿宋_GB2312"/>
          <w:color w:val="auto"/>
          <w:sz w:val="32"/>
          <w:szCs w:val="32"/>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p>
    <w:p>
      <w:pPr>
        <w:spacing w:line="578" w:lineRule="exact"/>
        <w:ind w:firstLine="627" w:firstLineChars="196"/>
        <w:rPr>
          <w:rFonts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spacing w:line="578" w:lineRule="exact"/>
        <w:ind w:firstLine="640" w:firstLineChars="200"/>
        <w:rPr>
          <w:rFonts w:ascii="楷体" w:hAnsi="楷体" w:eastAsia="楷体" w:cs="楷体"/>
          <w:color w:val="auto"/>
          <w:sz w:val="32"/>
          <w:szCs w:val="32"/>
        </w:rPr>
      </w:pPr>
      <w:bookmarkStart w:id="77" w:name="_Toc13694_WPSOffice_Level2"/>
      <w:bookmarkStart w:id="78" w:name="_Toc23005_WPSOffice_Level2"/>
      <w:bookmarkStart w:id="79" w:name="_Toc17398_WPSOffice_Level2"/>
      <w:bookmarkStart w:id="80" w:name="_Toc19665_WPSOffice_Level2"/>
      <w:bookmarkStart w:id="81" w:name="_Toc21737_WPSOffice_Level2"/>
      <w:bookmarkStart w:id="82" w:name="_Toc9989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spacing w:before="100" w:beforeAutospacing="1" w:after="100" w:afterAutospacing="1"/>
        <w:ind w:firstLine="640" w:firstLineChars="200"/>
        <w:rPr>
          <w:rFonts w:hint="eastAsia" w:ascii="仿宋_GB2312" w:hAnsi="ˎ̥" w:eastAsia="仿宋_GB2312" w:cs="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年度一般公共预算财政拨款支出</w:t>
      </w:r>
      <w:r>
        <w:rPr>
          <w:rFonts w:ascii="仿宋_GB2312" w:hAnsi="ˎ̥" w:eastAsia="仿宋_GB2312"/>
          <w:color w:val="auto"/>
          <w:sz w:val="32"/>
          <w:szCs w:val="32"/>
        </w:rPr>
        <w:t>2,094.18</w:t>
      </w:r>
      <w:r>
        <w:rPr>
          <w:rFonts w:hint="eastAsia" w:ascii="仿宋_GB2312" w:hAnsi="ˎ̥" w:eastAsia="仿宋_GB2312"/>
          <w:color w:val="auto"/>
          <w:sz w:val="32"/>
          <w:szCs w:val="32"/>
        </w:rPr>
        <w:t>万元，占本年支出合计的100%。</w:t>
      </w:r>
      <w:bookmarkStart w:id="83" w:name="_Toc19535_WPSOffice_Level2"/>
      <w:bookmarkStart w:id="84" w:name="_Toc27767_WPSOffice_Level2"/>
      <w:bookmarkStart w:id="85" w:name="_Toc19075_WPSOffice_Level2"/>
      <w:bookmarkStart w:id="86" w:name="_Toc2711_WPSOffice_Level2"/>
      <w:bookmarkStart w:id="87" w:name="_Toc23864_WPSOffice_Level2"/>
      <w:bookmarkStart w:id="88" w:name="_Toc18793_WPSOffice_Level2"/>
      <w:r>
        <w:rPr>
          <w:rFonts w:hint="eastAsia" w:ascii="仿宋_GB2312" w:hAnsi="ˎ̥" w:eastAsia="仿宋_GB2312"/>
          <w:color w:val="auto"/>
          <w:sz w:val="32"/>
          <w:szCs w:val="32"/>
        </w:rPr>
        <w:t>与</w:t>
      </w:r>
      <w:r>
        <w:rPr>
          <w:rFonts w:ascii="仿宋_GB2312" w:hAnsi="ˎ̥" w:eastAsia="仿宋_GB2312"/>
          <w:color w:val="auto"/>
          <w:sz w:val="32"/>
          <w:szCs w:val="32"/>
        </w:rPr>
        <w:t>2023</w:t>
      </w:r>
      <w:r>
        <w:rPr>
          <w:rFonts w:hint="eastAsia" w:ascii="仿宋_GB2312" w:hAnsi="ˎ̥" w:eastAsia="仿宋_GB2312"/>
          <w:color w:val="auto"/>
          <w:sz w:val="32"/>
          <w:szCs w:val="32"/>
        </w:rPr>
        <w:t>年度相比，财政拨款支出减少184.15，与</w:t>
      </w:r>
      <w:r>
        <w:rPr>
          <w:rFonts w:ascii="仿宋_GB2312" w:hAnsi="ˎ̥" w:eastAsia="仿宋_GB2312"/>
          <w:color w:val="auto"/>
          <w:sz w:val="32"/>
          <w:szCs w:val="32"/>
        </w:rPr>
        <w:t>2023</w:t>
      </w:r>
      <w:r>
        <w:rPr>
          <w:rFonts w:hint="eastAsia" w:ascii="仿宋_GB2312" w:hAnsi="ˎ̥" w:eastAsia="仿宋_GB2312"/>
          <w:color w:val="auto"/>
          <w:sz w:val="32"/>
          <w:szCs w:val="32"/>
        </w:rPr>
        <w:t>年度相比财政拨款支出减少184.15万元，增长（下降）8.08%，</w:t>
      </w:r>
      <w:r>
        <w:rPr>
          <w:rFonts w:hint="eastAsia" w:ascii="仿宋_GB2312" w:hAnsi="ˎ̥" w:eastAsia="仿宋_GB2312" w:cs="仿宋_GB2312"/>
          <w:color w:val="auto"/>
          <w:kern w:val="0"/>
          <w:sz w:val="32"/>
          <w:szCs w:val="32"/>
          <w:shd w:val="clear" w:color="auto" w:fill="FFFFFF"/>
        </w:rPr>
        <w:t>主要原因：一是教育支出减少</w:t>
      </w:r>
      <w:r>
        <w:rPr>
          <w:rFonts w:hint="eastAsia" w:ascii="仿宋_GB2312" w:hAnsi="ˎ̥" w:eastAsia="仿宋_GB2312" w:cs="仿宋_GB2312"/>
          <w:color w:val="auto"/>
          <w:sz w:val="32"/>
          <w:szCs w:val="32"/>
        </w:rPr>
        <w:t>；</w:t>
      </w:r>
      <w:r>
        <w:rPr>
          <w:rFonts w:hint="eastAsia" w:ascii="仿宋_GB2312" w:hAnsi="ˎ̥" w:eastAsia="仿宋_GB2312" w:cs="仿宋_GB2312"/>
          <w:color w:val="auto"/>
          <w:kern w:val="0"/>
          <w:sz w:val="32"/>
          <w:szCs w:val="32"/>
          <w:shd w:val="clear" w:color="auto" w:fill="FFFFFF"/>
        </w:rPr>
        <w:t>二是社会保障和就业支出减少</w:t>
      </w:r>
      <w:r>
        <w:rPr>
          <w:rFonts w:hint="eastAsia" w:ascii="仿宋_GB2312" w:hAnsi="ˎ̥" w:eastAsia="仿宋_GB2312" w:cs="仿宋_GB2312"/>
          <w:color w:val="auto"/>
          <w:sz w:val="32"/>
          <w:szCs w:val="32"/>
        </w:rPr>
        <w:t>。</w:t>
      </w:r>
    </w:p>
    <w:p>
      <w:pPr>
        <w:spacing w:line="578"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spacing w:afterAutospacing="1"/>
        <w:ind w:firstLine="640" w:firstLineChars="200"/>
        <w:rPr>
          <w:rFonts w:hint="eastAsia" w:ascii="仿宋_GB2312" w:hAnsi="ˎ̥" w:eastAsia="仿宋_GB2312" w:cs="仿宋_GB2312"/>
          <w:color w:val="auto"/>
          <w:sz w:val="32"/>
          <w:szCs w:val="32"/>
          <w:shd w:val="clear" w:color="auto" w:fill="FFFFFF"/>
        </w:rPr>
      </w:pPr>
      <w:r>
        <w:rPr>
          <w:rFonts w:ascii="仿宋_GB2312" w:hAnsi="ˎ̥" w:eastAsia="仿宋_GB2312"/>
          <w:color w:val="auto"/>
          <w:sz w:val="32"/>
          <w:szCs w:val="32"/>
        </w:rPr>
        <w:t>2024</w:t>
      </w:r>
      <w:r>
        <w:rPr>
          <w:rFonts w:hint="eastAsia" w:ascii="仿宋_GB2312" w:hAnsi="ˎ̥" w:eastAsia="仿宋_GB2312"/>
          <w:color w:val="auto"/>
          <w:sz w:val="32"/>
          <w:szCs w:val="32"/>
        </w:rPr>
        <w:t>年度一般公共预算财政拨款支出</w:t>
      </w:r>
      <w:r>
        <w:rPr>
          <w:rFonts w:ascii="仿宋_GB2312" w:hAnsi="ˎ̥" w:eastAsia="仿宋_GB2312"/>
          <w:color w:val="auto"/>
          <w:sz w:val="32"/>
          <w:szCs w:val="32"/>
        </w:rPr>
        <w:t>2,094.18</w:t>
      </w:r>
      <w:r>
        <w:rPr>
          <w:rFonts w:hint="eastAsia" w:ascii="仿宋_GB2312" w:hAnsi="ˎ̥" w:eastAsia="仿宋_GB2312"/>
          <w:color w:val="auto"/>
          <w:sz w:val="32"/>
          <w:szCs w:val="32"/>
        </w:rPr>
        <w:t>万元，主要用于以下方面：</w:t>
      </w:r>
      <w:r>
        <w:rPr>
          <w:rFonts w:hint="eastAsia" w:ascii="仿宋_GB2312" w:hAnsi="ˎ̥" w:eastAsia="仿宋_GB2312" w:cs="仿宋_GB2312"/>
          <w:b/>
          <w:color w:val="auto"/>
          <w:kern w:val="0"/>
          <w:sz w:val="32"/>
          <w:szCs w:val="32"/>
          <w:shd w:val="clear" w:color="auto" w:fill="FFFFFF"/>
        </w:rPr>
        <w:t>教育支出（类）</w:t>
      </w:r>
      <w:r>
        <w:rPr>
          <w:rFonts w:hint="eastAsia" w:ascii="仿宋_GB2312" w:hAnsi="ˎ̥" w:eastAsia="仿宋_GB2312"/>
          <w:color w:val="auto"/>
          <w:sz w:val="32"/>
          <w:szCs w:val="32"/>
        </w:rPr>
        <w:t>支出1391.11万元，占66.42%；</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支出305.02万元，占14.57%；</w:t>
      </w:r>
      <w:r>
        <w:rPr>
          <w:rFonts w:hint="eastAsia" w:ascii="仿宋_GB2312" w:hAnsi="ˎ̥" w:eastAsia="仿宋_GB2312" w:cs="仿宋_GB2312"/>
          <w:b/>
          <w:color w:val="auto"/>
          <w:kern w:val="0"/>
          <w:sz w:val="32"/>
          <w:szCs w:val="32"/>
          <w:shd w:val="clear" w:color="auto" w:fill="FFFFFF"/>
        </w:rPr>
        <w:t>卫生健康支出（类）</w:t>
      </w:r>
      <w:r>
        <w:rPr>
          <w:rFonts w:hint="eastAsia" w:ascii="仿宋_GB2312" w:hAnsi="ˎ̥" w:eastAsia="仿宋_GB2312" w:cs="仿宋_GB2312"/>
          <w:color w:val="auto"/>
          <w:kern w:val="0"/>
          <w:sz w:val="32"/>
          <w:szCs w:val="32"/>
          <w:shd w:val="clear" w:color="auto" w:fill="FFFFFF"/>
        </w:rPr>
        <w:t>支出262.85万元，占12.55%；</w:t>
      </w:r>
      <w:r>
        <w:rPr>
          <w:rFonts w:hint="eastAsia" w:ascii="仿宋_GB2312" w:hAnsi="ˎ̥" w:eastAsia="仿宋_GB2312" w:cs="仿宋_GB2312"/>
          <w:b/>
          <w:color w:val="auto"/>
          <w:kern w:val="0"/>
          <w:sz w:val="32"/>
          <w:szCs w:val="32"/>
          <w:shd w:val="clear" w:color="auto" w:fill="FFFFFF"/>
        </w:rPr>
        <w:t>住房保障（类）</w:t>
      </w:r>
      <w:r>
        <w:rPr>
          <w:rFonts w:hint="eastAsia" w:ascii="仿宋_GB2312" w:hAnsi="ˎ̥" w:eastAsia="仿宋_GB2312" w:cs="仿宋_GB2312"/>
          <w:color w:val="auto"/>
          <w:kern w:val="0"/>
          <w:sz w:val="32"/>
          <w:szCs w:val="32"/>
          <w:shd w:val="clear" w:color="auto" w:fill="FFFFFF"/>
        </w:rPr>
        <w:t>支出135.20万元，占6.46%。</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p>
    <w:p>
      <w:pPr>
        <w:spacing w:line="578" w:lineRule="exact"/>
        <w:ind w:firstLine="640" w:firstLineChars="200"/>
        <w:rPr>
          <w:rFonts w:ascii="楷体" w:hAnsi="楷体" w:eastAsia="楷体" w:cs="楷体"/>
          <w:color w:val="auto"/>
          <w:sz w:val="32"/>
          <w:szCs w:val="32"/>
        </w:rPr>
      </w:pPr>
      <w:bookmarkStart w:id="89" w:name="_Toc15415_WPSOffice_Level2"/>
      <w:bookmarkStart w:id="90" w:name="_Toc29364_WPSOffice_Level2"/>
      <w:bookmarkStart w:id="91" w:name="_Toc21701_WPSOffice_Level2"/>
      <w:bookmarkStart w:id="92" w:name="_Toc9502_WPSOffice_Level2"/>
      <w:bookmarkStart w:id="93" w:name="_Toc25136_WPSOffice_Level2"/>
      <w:bookmarkStart w:id="94" w:name="_Toc22318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年度一般公共预算财政拨款支出年初预算为1965.36万元，支出决算为</w:t>
      </w:r>
      <w:r>
        <w:rPr>
          <w:rFonts w:ascii="仿宋_GB2312" w:hAnsi="ˎ̥" w:eastAsia="仿宋_GB2312"/>
          <w:color w:val="auto"/>
          <w:sz w:val="32"/>
          <w:szCs w:val="32"/>
        </w:rPr>
        <w:t>2,094.18</w:t>
      </w:r>
      <w:r>
        <w:rPr>
          <w:rFonts w:hint="eastAsia" w:ascii="仿宋_GB2312" w:hAnsi="ˎ̥" w:eastAsia="仿宋_GB2312"/>
          <w:color w:val="auto"/>
          <w:sz w:val="32"/>
          <w:szCs w:val="32"/>
        </w:rPr>
        <w:t>万元，完成年初预算的106.55%。其中：</w:t>
      </w:r>
    </w:p>
    <w:p>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pPr>
        <w:spacing w:afterAutospacing="1"/>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年初预算为1965.36万元，支出决算为2094.18万元，完成年初预算的106.55%。决算数大于预算数的主要原因：</w:t>
      </w:r>
    </w:p>
    <w:p>
      <w:pPr>
        <w:spacing w:afterAutospacing="1"/>
        <w:ind w:firstLine="640" w:firstLineChars="200"/>
        <w:rPr>
          <w:rFonts w:hint="eastAsia" w:ascii="仿宋_GB2312" w:hAnsi="ˎ̥" w:eastAsia="仿宋_GB2312" w:cs="仿宋_GB2312"/>
          <w:b/>
          <w:color w:val="auto"/>
          <w:sz w:val="32"/>
          <w:szCs w:val="32"/>
          <w:shd w:val="clear" w:color="auto" w:fill="FFFFFF"/>
        </w:rPr>
      </w:pPr>
      <w:r>
        <w:rPr>
          <w:rFonts w:hint="eastAsia" w:ascii="仿宋_GB2312" w:hAnsi="ˎ̥" w:eastAsia="仿宋_GB2312" w:cs="仿宋_GB2312"/>
          <w:color w:val="auto"/>
          <w:kern w:val="0"/>
          <w:sz w:val="32"/>
          <w:szCs w:val="32"/>
          <w:shd w:val="clear" w:color="auto" w:fill="FFFFFF"/>
        </w:rPr>
        <w:t>1.</w:t>
      </w:r>
      <w:r>
        <w:rPr>
          <w:rFonts w:hint="eastAsia" w:ascii="仿宋_GB2312" w:hAnsi="ˎ̥" w:eastAsia="仿宋_GB2312" w:cs="仿宋_GB2312"/>
          <w:b/>
          <w:color w:val="auto"/>
          <w:kern w:val="0"/>
          <w:sz w:val="32"/>
          <w:szCs w:val="32"/>
          <w:shd w:val="clear" w:color="auto" w:fill="FFFFFF"/>
        </w:rPr>
        <w:t>教育支出（类）</w:t>
      </w:r>
    </w:p>
    <w:p>
      <w:pPr>
        <w:spacing w:afterAutospacing="1"/>
        <w:rPr>
          <w:rFonts w:hint="eastAsia" w:ascii="仿宋_GB2312" w:hAnsi="ˎ̥" w:eastAsia="仿宋_GB2312" w:cs="仿宋_GB2312"/>
          <w:color w:val="auto"/>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年初预算为1291.17万元，支出决算为</w:t>
      </w:r>
      <w:r>
        <w:rPr>
          <w:rFonts w:hint="eastAsia" w:ascii="仿宋_GB2312" w:hAnsi="ˎ̥" w:eastAsia="仿宋_GB2312"/>
          <w:color w:val="auto"/>
          <w:sz w:val="32"/>
          <w:szCs w:val="32"/>
        </w:rPr>
        <w:t>1391.11</w:t>
      </w:r>
      <w:r>
        <w:rPr>
          <w:rFonts w:hint="eastAsia" w:ascii="仿宋_GB2312" w:hAnsi="ˎ̥" w:eastAsia="仿宋_GB2312" w:cs="仿宋_GB2312"/>
          <w:color w:val="auto"/>
          <w:kern w:val="0"/>
          <w:sz w:val="32"/>
          <w:szCs w:val="32"/>
          <w:shd w:val="clear" w:color="auto" w:fill="FFFFFF"/>
        </w:rPr>
        <w:t>万元，完成年初预算的107.74%。决算数大于预算数的主要原因：一是基本支出增加，二是项目支出增加。</w:t>
      </w:r>
    </w:p>
    <w:p>
      <w:pPr>
        <w:spacing w:afterAutospacing="1"/>
        <w:ind w:firstLine="640" w:firstLineChars="200"/>
        <w:rPr>
          <w:rFonts w:hint="eastAsia" w:ascii="仿宋_GB2312" w:hAnsi="ˎ̥" w:eastAsia="仿宋_GB2312" w:cs="仿宋_GB2312"/>
          <w:b/>
          <w:color w:val="auto"/>
          <w:sz w:val="32"/>
          <w:szCs w:val="32"/>
          <w:shd w:val="clear" w:color="auto" w:fill="FFFFFF"/>
        </w:rPr>
      </w:pPr>
      <w:r>
        <w:rPr>
          <w:rFonts w:hint="eastAsia" w:ascii="仿宋_GB2312" w:hAnsi="ˎ̥" w:eastAsia="仿宋_GB2312" w:cs="仿宋_GB2312"/>
          <w:color w:val="auto"/>
          <w:kern w:val="0"/>
          <w:sz w:val="32"/>
          <w:szCs w:val="32"/>
          <w:shd w:val="clear" w:color="auto" w:fill="FFFFFF"/>
        </w:rPr>
        <w:t>2.</w:t>
      </w:r>
      <w:r>
        <w:rPr>
          <w:rFonts w:hint="eastAsia" w:ascii="仿宋_GB2312" w:hAnsi="ˎ̥" w:eastAsia="仿宋_GB2312" w:cs="仿宋_GB2312"/>
          <w:b/>
          <w:color w:val="auto"/>
          <w:kern w:val="0"/>
          <w:sz w:val="32"/>
          <w:szCs w:val="32"/>
          <w:shd w:val="clear" w:color="auto" w:fill="FFFFFF"/>
        </w:rPr>
        <w:t>社会保障和就业（类）</w:t>
      </w:r>
    </w:p>
    <w:p>
      <w:pPr>
        <w:spacing w:afterAutospacing="1"/>
        <w:rPr>
          <w:rFonts w:hint="eastAsia" w:ascii="仿宋_GB2312" w:hAnsi="ˎ̥" w:eastAsia="仿宋_GB2312" w:cs="仿宋_GB2312"/>
          <w:color w:val="auto"/>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年初预算为272.43万元，支出决算为</w:t>
      </w:r>
      <w:r>
        <w:rPr>
          <w:rFonts w:hint="eastAsia" w:ascii="仿宋_GB2312" w:hAnsi="ˎ̥" w:eastAsia="仿宋_GB2312"/>
          <w:color w:val="auto"/>
          <w:sz w:val="32"/>
          <w:szCs w:val="32"/>
        </w:rPr>
        <w:t>305.02</w:t>
      </w:r>
      <w:r>
        <w:rPr>
          <w:rFonts w:hint="eastAsia" w:ascii="仿宋_GB2312" w:hAnsi="ˎ̥" w:eastAsia="仿宋_GB2312" w:cs="仿宋_GB2312"/>
          <w:color w:val="auto"/>
          <w:kern w:val="0"/>
          <w:sz w:val="32"/>
          <w:szCs w:val="32"/>
          <w:shd w:val="clear" w:color="auto" w:fill="FFFFFF"/>
        </w:rPr>
        <w:t>万元，完成年初预算的111.96%。决算数大于预算数的主要原因：缴费基数增加。</w:t>
      </w:r>
    </w:p>
    <w:p>
      <w:pPr>
        <w:spacing w:afterAutospacing="1"/>
        <w:ind w:firstLine="640" w:firstLineChars="200"/>
        <w:rPr>
          <w:rFonts w:hint="eastAsia" w:ascii="仿宋_GB2312" w:hAnsi="ˎ̥" w:eastAsia="仿宋_GB2312" w:cs="仿宋_GB2312"/>
          <w:b/>
          <w:color w:val="auto"/>
          <w:sz w:val="32"/>
          <w:szCs w:val="32"/>
          <w:shd w:val="clear" w:color="auto" w:fill="FFFFFF"/>
        </w:rPr>
      </w:pPr>
      <w:r>
        <w:rPr>
          <w:rFonts w:hint="eastAsia" w:ascii="仿宋_GB2312" w:hAnsi="ˎ̥" w:eastAsia="仿宋_GB2312" w:cs="仿宋_GB2312"/>
          <w:color w:val="auto"/>
          <w:kern w:val="0"/>
          <w:sz w:val="32"/>
          <w:szCs w:val="32"/>
          <w:shd w:val="clear" w:color="auto" w:fill="FFFFFF"/>
        </w:rPr>
        <w:t>3.</w:t>
      </w:r>
      <w:r>
        <w:rPr>
          <w:rFonts w:hint="eastAsia" w:ascii="仿宋_GB2312" w:hAnsi="ˎ̥" w:eastAsia="仿宋_GB2312" w:cs="仿宋_GB2312"/>
          <w:b/>
          <w:color w:val="auto"/>
          <w:kern w:val="0"/>
          <w:sz w:val="32"/>
          <w:szCs w:val="32"/>
          <w:shd w:val="clear" w:color="auto" w:fill="FFFFFF"/>
        </w:rPr>
        <w:t>卫生健康支出（类）</w:t>
      </w:r>
    </w:p>
    <w:p>
      <w:pPr>
        <w:spacing w:afterAutospacing="1"/>
        <w:rPr>
          <w:rFonts w:hint="eastAsia" w:ascii="仿宋_GB2312" w:hAnsi="ˎ̥" w:eastAsia="仿宋_GB2312" w:cs="仿宋_GB2312"/>
          <w:color w:val="auto"/>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年初预算为252.19万元，支出决算为262.85万元，完成年初预算的104.22%。决算数小于预算数的主要原因：缴费基数增加。</w:t>
      </w:r>
    </w:p>
    <w:p>
      <w:pPr>
        <w:spacing w:afterAutospacing="1"/>
        <w:ind w:firstLine="640" w:firstLineChars="200"/>
        <w:rPr>
          <w:rFonts w:hint="eastAsia" w:ascii="仿宋_GB2312" w:hAnsi="ˎ̥" w:eastAsia="仿宋_GB2312" w:cs="仿宋_GB2312"/>
          <w:b/>
          <w:color w:val="auto"/>
          <w:sz w:val="32"/>
          <w:szCs w:val="32"/>
          <w:shd w:val="clear" w:color="auto" w:fill="FFFFFF"/>
        </w:rPr>
      </w:pPr>
      <w:r>
        <w:rPr>
          <w:rFonts w:hint="eastAsia" w:ascii="仿宋_GB2312" w:hAnsi="ˎ̥" w:eastAsia="仿宋_GB2312" w:cs="仿宋_GB2312"/>
          <w:color w:val="auto"/>
          <w:kern w:val="0"/>
          <w:sz w:val="32"/>
          <w:szCs w:val="32"/>
          <w:shd w:val="clear" w:color="auto" w:fill="FFFFFF"/>
        </w:rPr>
        <w:t>4.</w:t>
      </w:r>
      <w:r>
        <w:rPr>
          <w:rFonts w:hint="eastAsia" w:ascii="仿宋_GB2312" w:hAnsi="ˎ̥" w:eastAsia="仿宋_GB2312" w:cs="仿宋_GB2312"/>
          <w:b/>
          <w:color w:val="auto"/>
          <w:kern w:val="0"/>
          <w:sz w:val="32"/>
          <w:szCs w:val="32"/>
          <w:shd w:val="clear" w:color="auto" w:fill="FFFFFF"/>
        </w:rPr>
        <w:t>住房保障支出（类）</w:t>
      </w:r>
    </w:p>
    <w:p>
      <w:pPr>
        <w:spacing w:afterAutospacing="1"/>
        <w:rPr>
          <w:rFonts w:hint="eastAsia" w:ascii="仿宋_GB2312" w:hAnsi="ˎ̥" w:eastAsia="仿宋_GB2312" w:cs="仿宋_GB2312"/>
          <w:color w:val="auto"/>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年初预算为143.77万元，支出决算为135.20万元，完成年初预算的94.03%。决算数大于预算数的主要原因：缴费基数增加。</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p>
    <w:p>
      <w:pPr>
        <w:spacing w:line="578" w:lineRule="exact"/>
        <w:ind w:firstLine="627" w:firstLineChars="196"/>
        <w:rPr>
          <w:rFonts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tabs>
          <w:tab w:val="center" w:pos="4473"/>
        </w:tabs>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年度财政拨款基本支出1962.94万元，其中：人员经费</w:t>
      </w:r>
      <w:r>
        <w:rPr>
          <w:rFonts w:ascii="仿宋_GB2312" w:hAnsi="ˎ̥" w:eastAsia="仿宋_GB2312"/>
          <w:color w:val="auto"/>
          <w:sz w:val="32"/>
          <w:szCs w:val="32"/>
        </w:rPr>
        <w:t>1,939.07</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rPr>
        <w:t>23.87</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tabs>
          <w:tab w:val="center" w:pos="4473"/>
        </w:tabs>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上述数据可取自财决公开06表，各预算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tabs>
          <w:tab w:val="center" w:pos="4473"/>
        </w:tabs>
        <w:spacing w:line="578" w:lineRule="exact"/>
        <w:ind w:firstLine="627" w:firstLineChars="196"/>
        <w:rPr>
          <w:rFonts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spacing w:line="578"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年度政府性基金预算财政拨款支出</w:t>
      </w:r>
      <w:r>
        <w:rPr>
          <w:rFonts w:ascii="仿宋_GB2312" w:hAnsi="ˎ̥" w:eastAsia="仿宋_GB2312"/>
          <w:color w:val="auto"/>
          <w:sz w:val="32"/>
          <w:szCs w:val="32"/>
        </w:rPr>
        <w:t>0.00</w:t>
      </w:r>
      <w:r>
        <w:rPr>
          <w:rFonts w:hint="eastAsia" w:ascii="仿宋_GB2312" w:hAnsi="ˎ̥" w:eastAsia="仿宋_GB2312"/>
          <w:color w:val="auto"/>
          <w:sz w:val="32"/>
          <w:szCs w:val="32"/>
        </w:rPr>
        <w:t>万元，占本年支出合计的0%。与</w:t>
      </w:r>
      <w:r>
        <w:rPr>
          <w:rFonts w:ascii="仿宋_GB2312" w:hAnsi="ˎ̥" w:eastAsia="仿宋_GB2312"/>
          <w:color w:val="auto"/>
          <w:sz w:val="32"/>
          <w:szCs w:val="32"/>
        </w:rPr>
        <w:t>2023</w:t>
      </w:r>
      <w:r>
        <w:rPr>
          <w:rFonts w:hint="eastAsia" w:ascii="仿宋_GB2312" w:hAnsi="ˎ̥" w:eastAsia="仿宋_GB2312"/>
          <w:color w:val="auto"/>
          <w:sz w:val="32"/>
          <w:szCs w:val="32"/>
        </w:rPr>
        <w:t>年度相比，政府性基金预算财政拨款支出增加（减少）0万元，增长（下降）0%，主要原因是……。</w:t>
      </w:r>
    </w:p>
    <w:p>
      <w:pPr>
        <w:spacing w:line="578"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年度政府性基金预算财政拨款支出</w:t>
      </w:r>
      <w:r>
        <w:rPr>
          <w:rFonts w:ascii="仿宋_GB2312" w:hAnsi="ˎ̥" w:eastAsia="仿宋_GB2312"/>
          <w:color w:val="auto"/>
          <w:sz w:val="32"/>
          <w:szCs w:val="32"/>
        </w:rPr>
        <w:t>0.00</w:t>
      </w:r>
      <w:r>
        <w:rPr>
          <w:rFonts w:hint="eastAsia" w:ascii="仿宋_GB2312" w:hAnsi="ˎ̥" w:eastAsia="仿宋_GB2312"/>
          <w:color w:val="auto"/>
          <w:sz w:val="32"/>
          <w:szCs w:val="32"/>
        </w:rPr>
        <w:t>万元，主要用于以下方面：0（类）支出0万元，占0%；0（类）支出0万元，占0%；0（类）支出0万元，占0%。</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p>
    <w:p>
      <w:pPr>
        <w:spacing w:line="578"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年度政府性基金预算财政拨款支出年初预算为0万元，支出决算为</w:t>
      </w:r>
      <w:r>
        <w:rPr>
          <w:rFonts w:ascii="仿宋_GB2312" w:hAnsi="ˎ̥" w:eastAsia="仿宋_GB2312"/>
          <w:color w:val="auto"/>
          <w:sz w:val="32"/>
          <w:szCs w:val="32"/>
        </w:rPr>
        <w:t>0.00</w:t>
      </w:r>
      <w:r>
        <w:rPr>
          <w:rFonts w:hint="eastAsia" w:ascii="仿宋_GB2312" w:hAnsi="ˎ̥" w:eastAsia="仿宋_GB2312"/>
          <w:color w:val="auto"/>
          <w:sz w:val="32"/>
          <w:szCs w:val="32"/>
        </w:rPr>
        <w:t>万元，完成年初预算的0%。</w:t>
      </w:r>
    </w:p>
    <w:p>
      <w:pPr>
        <w:tabs>
          <w:tab w:val="center" w:pos="4473"/>
        </w:tabs>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ascii="仿宋_GB2312" w:hAnsi="ˎ̥" w:eastAsia="仿宋_GB2312"/>
          <w:color w:val="auto"/>
          <w:sz w:val="32"/>
          <w:szCs w:val="32"/>
        </w:rPr>
        <w:t>2024</w:t>
      </w:r>
      <w:r>
        <w:rPr>
          <w:rFonts w:hint="eastAsia" w:ascii="仿宋_GB2312" w:hAnsi="ˎ̥" w:eastAsia="仿宋_GB2312"/>
          <w:color w:val="auto"/>
          <w:sz w:val="32"/>
          <w:szCs w:val="32"/>
        </w:rPr>
        <w:t>年度决算相关数据取自财决公开07表；</w:t>
      </w:r>
      <w:r>
        <w:rPr>
          <w:rFonts w:ascii="仿宋_GB2312" w:hAnsi="ˎ̥" w:eastAsia="仿宋_GB2312"/>
          <w:color w:val="auto"/>
          <w:sz w:val="32"/>
          <w:szCs w:val="32"/>
        </w:rPr>
        <w:t>2023</w:t>
      </w:r>
      <w:r>
        <w:rPr>
          <w:rFonts w:hint="eastAsia" w:ascii="仿宋_GB2312" w:hAnsi="ˎ̥" w:eastAsia="仿宋_GB2312"/>
          <w:color w:val="auto"/>
          <w:sz w:val="32"/>
          <w:szCs w:val="32"/>
        </w:rPr>
        <w:t>年度决算相关数据取自</w:t>
      </w:r>
      <w:r>
        <w:rPr>
          <w:rFonts w:ascii="仿宋_GB2312" w:hAnsi="ˎ̥" w:eastAsia="仿宋_GB2312"/>
          <w:color w:val="auto"/>
          <w:sz w:val="32"/>
          <w:szCs w:val="32"/>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决算报表财决09表《政府性基金预算财政拨款收入支出决算表》。）</w:t>
      </w:r>
    </w:p>
    <w:p>
      <w:pPr>
        <w:tabs>
          <w:tab w:val="center" w:pos="4473"/>
        </w:tabs>
        <w:spacing w:line="578" w:lineRule="exact"/>
        <w:ind w:firstLine="627" w:firstLineChars="196"/>
        <w:rPr>
          <w:rFonts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spacing w:line="578"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年度国有资本经营预算财政拨款支出</w:t>
      </w:r>
      <w:r>
        <w:rPr>
          <w:rFonts w:ascii="仿宋_GB2312" w:hAnsi="ˎ̥" w:eastAsia="仿宋_GB2312"/>
          <w:color w:val="auto"/>
          <w:sz w:val="32"/>
          <w:szCs w:val="32"/>
        </w:rPr>
        <w:t>0.00</w:t>
      </w:r>
      <w:r>
        <w:rPr>
          <w:rFonts w:hint="eastAsia" w:ascii="仿宋_GB2312" w:hAnsi="ˎ̥" w:eastAsia="仿宋_GB2312"/>
          <w:color w:val="auto"/>
          <w:sz w:val="32"/>
          <w:szCs w:val="32"/>
        </w:rPr>
        <w:t>万元，占本年支出合计的0%。与</w:t>
      </w:r>
      <w:r>
        <w:rPr>
          <w:rFonts w:ascii="仿宋_GB2312" w:hAnsi="ˎ̥" w:eastAsia="仿宋_GB2312"/>
          <w:color w:val="auto"/>
          <w:sz w:val="32"/>
          <w:szCs w:val="32"/>
        </w:rPr>
        <w:t>2023</w:t>
      </w:r>
      <w:r>
        <w:rPr>
          <w:rFonts w:hint="eastAsia" w:ascii="仿宋_GB2312" w:hAnsi="ˎ̥" w:eastAsia="仿宋_GB2312"/>
          <w:color w:val="auto"/>
          <w:sz w:val="32"/>
          <w:szCs w:val="32"/>
        </w:rPr>
        <w:t>年度相比，国有资本经营预算财政拨款支出增加（减少）0万元，增长（下降）0%。</w:t>
      </w:r>
    </w:p>
    <w:p>
      <w:pPr>
        <w:spacing w:line="578"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年度国有资本经营预算财政拨款支出</w:t>
      </w:r>
      <w:r>
        <w:rPr>
          <w:rFonts w:ascii="仿宋_GB2312" w:hAnsi="ˎ̥" w:eastAsia="仿宋_GB2312"/>
          <w:color w:val="auto"/>
          <w:sz w:val="32"/>
          <w:szCs w:val="32"/>
        </w:rPr>
        <w:t>0.00</w:t>
      </w:r>
      <w:r>
        <w:rPr>
          <w:rFonts w:hint="eastAsia" w:ascii="仿宋_GB2312" w:hAnsi="ˎ̥" w:eastAsia="仿宋_GB2312"/>
          <w:color w:val="auto"/>
          <w:sz w:val="32"/>
          <w:szCs w:val="32"/>
        </w:rPr>
        <w:t>万元。</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p>
    <w:p>
      <w:pPr>
        <w:spacing w:line="578"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spacing w:line="578" w:lineRule="exact"/>
        <w:ind w:firstLine="640" w:firstLineChars="200"/>
        <w:rPr>
          <w:rFonts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年度国有资本经营预算财政拨款支出年初预算为0万元，支出决算为</w:t>
      </w:r>
      <w:r>
        <w:rPr>
          <w:rFonts w:ascii="仿宋_GB2312" w:hAnsi="ˎ̥" w:eastAsia="仿宋_GB2312"/>
          <w:color w:val="auto"/>
          <w:sz w:val="32"/>
          <w:szCs w:val="32"/>
        </w:rPr>
        <w:t>0.00</w:t>
      </w:r>
      <w:r>
        <w:rPr>
          <w:rFonts w:hint="eastAsia" w:ascii="仿宋_GB2312" w:hAnsi="ˎ̥" w:eastAsia="仿宋_GB2312"/>
          <w:color w:val="auto"/>
          <w:sz w:val="32"/>
          <w:szCs w:val="32"/>
        </w:rPr>
        <w:t>万元，完成年初预算的0%。</w:t>
      </w:r>
    </w:p>
    <w:p>
      <w:pPr>
        <w:spacing w:line="578" w:lineRule="exact"/>
        <w:rPr>
          <w:rFonts w:hint="eastAsia" w:ascii="仿宋_GB2312" w:hAnsi="ˎ̥" w:eastAsia="仿宋_GB2312"/>
          <w:b/>
          <w:color w:val="auto"/>
          <w:sz w:val="32"/>
          <w:szCs w:val="32"/>
        </w:rPr>
      </w:pPr>
      <w:r>
        <w:rPr>
          <w:rFonts w:hint="eastAsia" w:ascii="仿宋_GB2312" w:hAnsi="ˎ̥" w:eastAsia="仿宋_GB2312"/>
          <w:color w:val="auto"/>
          <w:sz w:val="32"/>
          <w:szCs w:val="32"/>
        </w:rPr>
        <w:t xml:space="preserve">   </w:t>
      </w:r>
    </w:p>
    <w:p>
      <w:pPr>
        <w:tabs>
          <w:tab w:val="center" w:pos="4473"/>
        </w:tabs>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ascii="仿宋_GB2312" w:hAnsi="ˎ̥" w:eastAsia="仿宋_GB2312"/>
          <w:color w:val="auto"/>
          <w:sz w:val="32"/>
          <w:szCs w:val="32"/>
        </w:rPr>
        <w:t>2024</w:t>
      </w:r>
      <w:r>
        <w:rPr>
          <w:rFonts w:hint="eastAsia" w:ascii="仿宋_GB2312" w:hAnsi="ˎ̥" w:eastAsia="仿宋_GB2312"/>
          <w:color w:val="auto"/>
          <w:sz w:val="32"/>
          <w:szCs w:val="32"/>
        </w:rPr>
        <w:t>年度决算相关数据取自财决公开08表。）</w:t>
      </w:r>
    </w:p>
    <w:p>
      <w:pPr>
        <w:spacing w:line="578" w:lineRule="exact"/>
        <w:ind w:firstLine="627" w:firstLineChars="196"/>
        <w:rPr>
          <w:rFonts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spacing w:line="578" w:lineRule="exact"/>
        <w:ind w:firstLine="640" w:firstLineChars="200"/>
        <w:rPr>
          <w:rFonts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ascii="仿宋_GB2312" w:hAnsi="ˎ̥" w:eastAsia="仿宋_GB2312"/>
          <w:color w:val="auto"/>
          <w:sz w:val="32"/>
          <w:szCs w:val="32"/>
        </w:rPr>
        <w:t>2024</w:t>
      </w:r>
      <w:r>
        <w:rPr>
          <w:rFonts w:hint="eastAsia" w:ascii="仿宋_GB2312" w:hAnsi="ˎ̥" w:eastAsia="仿宋_GB2312"/>
          <w:color w:val="auto"/>
          <w:sz w:val="32"/>
          <w:szCs w:val="32"/>
        </w:rPr>
        <w:t>年度财政拨款“三公”经费支出预算为</w:t>
      </w:r>
      <w:r>
        <w:rPr>
          <w:rFonts w:ascii="仿宋_GB2312" w:hAnsi="ˎ̥" w:eastAsia="仿宋_GB2312"/>
          <w:color w:val="auto"/>
          <w:sz w:val="32"/>
          <w:szCs w:val="32"/>
        </w:rPr>
        <w:t>0.00</w:t>
      </w:r>
      <w:r>
        <w:rPr>
          <w:rFonts w:hint="eastAsia" w:ascii="仿宋_GB2312" w:hAnsi="ˎ̥" w:eastAsia="仿宋_GB2312"/>
          <w:color w:val="auto"/>
          <w:sz w:val="32"/>
          <w:szCs w:val="32"/>
        </w:rPr>
        <w:t>万元，支出决算为</w:t>
      </w:r>
      <w:r>
        <w:rPr>
          <w:rFonts w:ascii="仿宋_GB2312" w:hAnsi="ˎ̥" w:eastAsia="仿宋_GB2312"/>
          <w:color w:val="auto"/>
          <w:sz w:val="32"/>
          <w:szCs w:val="32"/>
        </w:rPr>
        <w:t>0.00</w:t>
      </w:r>
      <w:r>
        <w:rPr>
          <w:rFonts w:hint="eastAsia" w:ascii="仿宋_GB2312" w:hAnsi="ˎ̥" w:eastAsia="仿宋_GB2312"/>
          <w:color w:val="auto"/>
          <w:sz w:val="32"/>
          <w:szCs w:val="32"/>
        </w:rPr>
        <w:t>万元，完成预算的%，</w:t>
      </w:r>
      <w:r>
        <w:rPr>
          <w:rFonts w:ascii="仿宋_GB2312" w:hAnsi="ˎ̥" w:eastAsia="仿宋_GB2312"/>
          <w:color w:val="auto"/>
          <w:sz w:val="32"/>
          <w:szCs w:val="32"/>
        </w:rPr>
        <w:t>与2023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rPr>
        <w:t>%。</w:t>
      </w:r>
    </w:p>
    <w:p>
      <w:pPr>
        <w:spacing w:line="578" w:lineRule="exact"/>
        <w:rPr>
          <w:rFonts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年度财政拨款“三公”经费支出决算中，因公出国（境）费支出决算</w:t>
      </w:r>
      <w:r>
        <w:rPr>
          <w:rFonts w:ascii="仿宋_GB2312" w:hAnsi="ˎ̥" w:eastAsia="仿宋_GB2312"/>
          <w:color w:val="auto"/>
          <w:sz w:val="32"/>
          <w:szCs w:val="32"/>
        </w:rPr>
        <w:t>0.00</w:t>
      </w:r>
      <w:r>
        <w:rPr>
          <w:rFonts w:hint="eastAsia" w:ascii="仿宋_GB2312" w:hAnsi="ˎ̥" w:eastAsia="仿宋_GB2312"/>
          <w:color w:val="auto"/>
          <w:sz w:val="32"/>
          <w:szCs w:val="32"/>
        </w:rPr>
        <w:t>万元，占0%；公务用车购置及运行维护费支出决算</w:t>
      </w:r>
      <w:r>
        <w:rPr>
          <w:rFonts w:ascii="仿宋_GB2312" w:hAnsi="ˎ̥" w:eastAsia="仿宋_GB2312"/>
          <w:color w:val="auto"/>
          <w:sz w:val="32"/>
          <w:szCs w:val="32"/>
        </w:rPr>
        <w:t>0.00</w:t>
      </w:r>
      <w:r>
        <w:rPr>
          <w:rFonts w:hint="eastAsia" w:ascii="仿宋_GB2312" w:hAnsi="ˎ̥" w:eastAsia="仿宋_GB2312"/>
          <w:color w:val="auto"/>
          <w:sz w:val="32"/>
          <w:szCs w:val="32"/>
        </w:rPr>
        <w:t>万元，占0%；公务接待费支出决算</w:t>
      </w:r>
      <w:r>
        <w:rPr>
          <w:rFonts w:ascii="仿宋_GB2312" w:hAnsi="ˎ̥" w:eastAsia="仿宋_GB2312"/>
          <w:color w:val="auto"/>
          <w:sz w:val="32"/>
          <w:szCs w:val="32"/>
        </w:rPr>
        <w:t>0.00</w:t>
      </w:r>
      <w:r>
        <w:rPr>
          <w:rFonts w:hint="eastAsia" w:ascii="仿宋_GB2312" w:hAnsi="ˎ̥" w:eastAsia="仿宋_GB2312"/>
          <w:color w:val="auto"/>
          <w:sz w:val="32"/>
          <w:szCs w:val="32"/>
        </w:rPr>
        <w:t>万元，占0%。具体情况如下：</w:t>
      </w:r>
    </w:p>
    <w:p>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ascii="仿宋_GB2312" w:hAnsi="ˎ̥" w:eastAsia="仿宋_GB2312"/>
          <w:color w:val="auto"/>
          <w:sz w:val="32"/>
          <w:szCs w:val="32"/>
        </w:rPr>
        <w:t>0.00</w:t>
      </w:r>
      <w:r>
        <w:rPr>
          <w:rFonts w:hint="eastAsia" w:ascii="仿宋_GB2312" w:hAnsi="ˎ̥" w:eastAsia="仿宋_GB2312"/>
          <w:color w:val="auto"/>
          <w:sz w:val="32"/>
          <w:szCs w:val="32"/>
        </w:rPr>
        <w:t>万元。全年安排因公出国（境）团组0个，因公出国（境）0人次。</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因公出国（境）费支出决算数比预算数增加（减少）0万元，完成预算的0</w:t>
      </w:r>
      <w:r>
        <w:rPr>
          <w:rFonts w:ascii="仿宋_GB2312" w:hAnsi="ˎ̥" w:eastAsia="仿宋_GB2312"/>
          <w:color w:val="auto"/>
          <w:sz w:val="32"/>
          <w:szCs w:val="32"/>
        </w:rPr>
        <w:t>%</w:t>
      </w:r>
      <w:r>
        <w:rPr>
          <w:rFonts w:hint="eastAsia" w:ascii="仿宋_GB2312" w:hAnsi="ˎ̥" w:eastAsia="仿宋_GB2312"/>
          <w:color w:val="auto"/>
          <w:sz w:val="32"/>
          <w:szCs w:val="32"/>
        </w:rPr>
        <w:t>。与</w:t>
      </w:r>
      <w:r>
        <w:rPr>
          <w:rFonts w:ascii="仿宋_GB2312" w:hAnsi="ˎ̥" w:eastAsia="仿宋_GB2312"/>
          <w:color w:val="auto"/>
          <w:sz w:val="32"/>
          <w:szCs w:val="32"/>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rPr>
        <w:t>0万元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rPr>
        <w:t>0%，主要原因是本单位无人因公出国。</w:t>
      </w:r>
    </w:p>
    <w:p>
      <w:pPr>
        <w:spacing w:line="578" w:lineRule="exact"/>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Cs/>
          <w:color w:val="auto"/>
          <w:sz w:val="32"/>
          <w:szCs w:val="32"/>
        </w:rPr>
        <w:t>支出</w:t>
      </w:r>
      <w:r>
        <w:rPr>
          <w:rFonts w:ascii="仿宋_GB2312" w:hAnsi="ˎ̥" w:eastAsia="仿宋_GB2312"/>
          <w:color w:val="auto"/>
          <w:sz w:val="32"/>
          <w:szCs w:val="32"/>
        </w:rPr>
        <w:t>0.00</w:t>
      </w:r>
      <w:r>
        <w:rPr>
          <w:rFonts w:hint="eastAsia" w:ascii="仿宋_GB2312" w:hAnsi="ˎ̥" w:eastAsia="仿宋_GB2312"/>
          <w:color w:val="auto"/>
          <w:sz w:val="32"/>
          <w:szCs w:val="32"/>
        </w:rPr>
        <w:t>万元。其中：</w:t>
      </w:r>
    </w:p>
    <w:p>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Cs/>
          <w:color w:val="auto"/>
          <w:sz w:val="32"/>
          <w:szCs w:val="32"/>
        </w:rPr>
        <w:t>支出</w:t>
      </w:r>
      <w:r>
        <w:rPr>
          <w:rFonts w:ascii="仿宋_GB2312" w:hAnsi="ˎ̥" w:eastAsia="仿宋_GB2312"/>
          <w:color w:val="auto"/>
          <w:sz w:val="32"/>
          <w:szCs w:val="32"/>
        </w:rPr>
        <w:t>0.00</w:t>
      </w:r>
      <w:r>
        <w:rPr>
          <w:rFonts w:hint="eastAsia" w:ascii="仿宋_GB2312" w:hAnsi="ˎ̥" w:eastAsia="仿宋_GB2312"/>
          <w:color w:val="auto"/>
          <w:sz w:val="32"/>
          <w:szCs w:val="32"/>
        </w:rPr>
        <w:t>万元，全年购置公务用车0辆，主要用于0，年末公务用车保有量0辆。</w:t>
      </w:r>
    </w:p>
    <w:p>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ascii="仿宋_GB2312" w:hAnsi="ˎ̥" w:eastAsia="仿宋_GB2312"/>
          <w:color w:val="auto"/>
          <w:sz w:val="32"/>
          <w:szCs w:val="32"/>
        </w:rPr>
        <w:t>0.00</w:t>
      </w:r>
      <w:r>
        <w:rPr>
          <w:rFonts w:hint="eastAsia" w:ascii="仿宋_GB2312" w:hAnsi="ˎ̥" w:eastAsia="仿宋_GB2312"/>
          <w:color w:val="auto"/>
          <w:sz w:val="32"/>
          <w:szCs w:val="32"/>
        </w:rPr>
        <w:t>万元。</w:t>
      </w:r>
    </w:p>
    <w:p>
      <w:pPr>
        <w:spacing w:line="578" w:lineRule="exact"/>
        <w:ind w:firstLine="640" w:firstLineChars="200"/>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比预算数增加（减少）0万元，完成预算的0%。与</w:t>
      </w:r>
      <w:r>
        <w:rPr>
          <w:rFonts w:ascii="仿宋_GB2312" w:hAnsi="ˎ̥" w:eastAsia="仿宋_GB2312"/>
          <w:color w:val="auto"/>
          <w:sz w:val="32"/>
          <w:szCs w:val="32"/>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rPr>
        <w:t>0万元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rPr>
        <w:t>0%，主要原因是本单位无公务用车。</w:t>
      </w:r>
    </w:p>
    <w:p>
      <w:pPr>
        <w:spacing w:line="578" w:lineRule="exact"/>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Cs/>
          <w:color w:val="auto"/>
          <w:sz w:val="32"/>
          <w:szCs w:val="32"/>
        </w:rPr>
        <w:t>支出</w:t>
      </w:r>
      <w:r>
        <w:rPr>
          <w:rFonts w:ascii="仿宋_GB2312" w:hAnsi="ˎ̥" w:eastAsia="仿宋_GB2312"/>
          <w:color w:val="auto"/>
          <w:sz w:val="32"/>
          <w:szCs w:val="32"/>
        </w:rPr>
        <w:t>0.00</w:t>
      </w:r>
      <w:r>
        <w:rPr>
          <w:rFonts w:hint="eastAsia" w:ascii="仿宋_GB2312" w:hAnsi="ˎ̥" w:eastAsia="仿宋_GB2312"/>
          <w:color w:val="auto"/>
          <w:sz w:val="32"/>
          <w:szCs w:val="32"/>
        </w:rPr>
        <w:t>万元，其中：</w:t>
      </w:r>
    </w:p>
    <w:p>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支出0万元，国内公务接待0批次，接待0人次。</w:t>
      </w:r>
    </w:p>
    <w:p>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支出0万元，国（境）外公务接待批次，接待人次。</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公务接待费支出决算数比预算数增加（减少）0万元，完成预算的0%。与</w:t>
      </w:r>
      <w:r>
        <w:rPr>
          <w:rFonts w:ascii="仿宋_GB2312" w:hAnsi="ˎ̥" w:eastAsia="仿宋_GB2312"/>
          <w:color w:val="auto"/>
          <w:sz w:val="32"/>
          <w:szCs w:val="32"/>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rPr>
        <w:t>0万元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rPr>
        <w:t>0%，主要原因是本单位无公务接待费。</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ascii="仿宋_GB2312" w:hAnsi="ˎ̥" w:eastAsia="仿宋_GB2312"/>
          <w:color w:val="auto"/>
          <w:sz w:val="32"/>
          <w:szCs w:val="32"/>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ascii="仿宋_GB2312" w:hAnsi="ˎ̥" w:eastAsia="仿宋_GB2312"/>
          <w:color w:val="auto"/>
          <w:sz w:val="32"/>
          <w:szCs w:val="32"/>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rPr>
        <w:t>。）</w:t>
      </w:r>
    </w:p>
    <w:p>
      <w:pPr>
        <w:spacing w:line="578"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spacing w:afterAutospacing="1" w:line="578" w:lineRule="exact"/>
        <w:ind w:firstLine="640" w:firstLineChars="200"/>
        <w:rPr>
          <w:rFonts w:hint="eastAsia" w:ascii="仿宋_GB2312" w:hAnsi="宋体" w:eastAsia="仿宋_GB2312" w:cs="仿宋_GB2312"/>
          <w:color w:val="auto"/>
          <w:kern w:val="0"/>
          <w:sz w:val="32"/>
          <w:szCs w:val="32"/>
          <w:shd w:val="clear" w:color="auto" w:fill="FFFFFF"/>
        </w:rPr>
      </w:pPr>
      <w:r>
        <w:rPr>
          <w:rFonts w:hint="eastAsia" w:ascii="仿宋_GB2312" w:hAnsi="宋体" w:eastAsia="仿宋_GB2312" w:cs="仿宋_GB2312"/>
          <w:color w:val="auto"/>
          <w:kern w:val="0"/>
          <w:sz w:val="32"/>
          <w:szCs w:val="32"/>
          <w:shd w:val="clear" w:color="auto" w:fill="FFFFFF"/>
        </w:rPr>
        <w:t>根据财政预算管理要求，我单位组织对202</w:t>
      </w:r>
      <w:r>
        <w:rPr>
          <w:rFonts w:hint="eastAsia" w:ascii="仿宋_GB2312" w:hAnsi="宋体" w:eastAsia="仿宋_GB2312" w:cs="仿宋_GB2312"/>
          <w:color w:val="auto"/>
          <w:kern w:val="0"/>
          <w:sz w:val="32"/>
          <w:szCs w:val="32"/>
          <w:shd w:val="clear" w:color="auto" w:fill="FFFFFF"/>
          <w:lang w:val="en-US" w:eastAsia="zh-CN"/>
        </w:rPr>
        <w:t>4</w:t>
      </w:r>
      <w:r>
        <w:rPr>
          <w:rFonts w:hint="eastAsia" w:ascii="仿宋_GB2312" w:hAnsi="宋体" w:eastAsia="仿宋_GB2312" w:cs="仿宋_GB2312"/>
          <w:color w:val="auto"/>
          <w:kern w:val="0"/>
          <w:sz w:val="32"/>
          <w:szCs w:val="32"/>
          <w:shd w:val="clear" w:color="auto" w:fill="FFFFFF"/>
        </w:rPr>
        <w:t>年度一般公共预算项目支出全面开展绩效自评。自评项目0个，共涉及资金0万元，自评覆盖率达到0%。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、单位可根据实际情况反映重点项目绩效自评结果）</w:t>
      </w:r>
    </w:p>
    <w:p>
      <w:pPr>
        <w:keepNext w:val="0"/>
        <w:keepLines w:val="0"/>
        <w:widowControl/>
        <w:numPr>
          <w:ilvl w:val="0"/>
          <w:numId w:val="0"/>
        </w:numPr>
        <w:suppressLineNumbers w:val="0"/>
        <w:spacing w:before="0" w:beforeAutospacing="0" w:after="0" w:afterAutospacing="0"/>
        <w:ind w:leftChars="0" w:right="0" w:rightChars="0" w:firstLine="640" w:firstLineChars="200"/>
        <w:jc w:val="left"/>
        <w:rPr>
          <w:rFonts w:hint="eastAsia" w:ascii="仿宋_GB2312" w:eastAsia="仿宋_GB2312"/>
          <w:color w:val="auto"/>
          <w:sz w:val="32"/>
          <w:szCs w:val="32"/>
        </w:rPr>
      </w:pPr>
      <w:r>
        <w:rPr>
          <w:rFonts w:hint="eastAsia" w:ascii="仿宋_GB2312" w:hAnsi="宋体" w:eastAsia="仿宋_GB2312" w:cs="仿宋_GB2312"/>
          <w:color w:val="auto"/>
          <w:kern w:val="0"/>
          <w:sz w:val="32"/>
          <w:szCs w:val="32"/>
          <w:shd w:val="clear" w:color="auto" w:fill="FFFFFF"/>
          <w:lang w:val="en-US" w:eastAsia="zh-CN"/>
        </w:rPr>
        <w:t>屯昌县南坤镇藤寨中心</w:t>
      </w:r>
      <w:r>
        <w:rPr>
          <w:rFonts w:hint="eastAsia" w:ascii="仿宋_GB2312" w:hAnsi="宋体" w:eastAsia="仿宋_GB2312" w:cs="仿宋_GB2312"/>
          <w:color w:val="auto"/>
          <w:kern w:val="0"/>
          <w:sz w:val="32"/>
          <w:szCs w:val="32"/>
          <w:shd w:val="clear" w:color="auto" w:fill="FFFFFF"/>
        </w:rPr>
        <w:t>组织对202</w:t>
      </w:r>
      <w:r>
        <w:rPr>
          <w:rFonts w:hint="eastAsia" w:ascii="仿宋_GB2312" w:hAnsi="宋体" w:eastAsia="仿宋_GB2312" w:cs="仿宋_GB2312"/>
          <w:color w:val="auto"/>
          <w:kern w:val="0"/>
          <w:sz w:val="32"/>
          <w:szCs w:val="32"/>
          <w:shd w:val="clear" w:color="auto" w:fill="FFFFFF"/>
          <w:lang w:val="en-US" w:eastAsia="zh-CN"/>
        </w:rPr>
        <w:t>4</w:t>
      </w:r>
      <w:r>
        <w:rPr>
          <w:rFonts w:hint="eastAsia" w:ascii="仿宋_GB2312" w:hAnsi="宋体" w:eastAsia="仿宋_GB2312" w:cs="仿宋_GB2312"/>
          <w:color w:val="auto"/>
          <w:kern w:val="0"/>
          <w:sz w:val="32"/>
          <w:szCs w:val="32"/>
          <w:shd w:val="clear" w:color="auto" w:fill="FFFFFF"/>
        </w:rPr>
        <w:t>年度一般公共预算项目支出全面开展绩效自评。自评项目1个，共涉及资金</w:t>
      </w:r>
      <w:r>
        <w:rPr>
          <w:rFonts w:hint="eastAsia" w:ascii="仿宋_GB2312" w:hAnsi="宋体" w:eastAsia="仿宋_GB2312" w:cs="仿宋_GB2312"/>
          <w:color w:val="auto"/>
          <w:kern w:val="0"/>
          <w:sz w:val="32"/>
          <w:szCs w:val="32"/>
          <w:shd w:val="clear" w:color="auto" w:fill="FFFFFF"/>
          <w:lang w:val="en-US" w:eastAsia="zh-CN"/>
        </w:rPr>
        <w:t>9.15</w:t>
      </w:r>
      <w:r>
        <w:rPr>
          <w:rFonts w:hint="eastAsia" w:ascii="仿宋_GB2312" w:hAnsi="宋体" w:eastAsia="仿宋_GB2312" w:cs="仿宋_GB2312"/>
          <w:color w:val="auto"/>
          <w:kern w:val="0"/>
          <w:sz w:val="32"/>
          <w:szCs w:val="32"/>
          <w:shd w:val="clear" w:color="auto" w:fill="FFFFFF"/>
        </w:rPr>
        <w:t>万元，从评价情况来看，</w:t>
      </w:r>
      <w:r>
        <w:rPr>
          <w:rFonts w:hint="eastAsia" w:ascii="仿宋_GB2312" w:hAnsi="宋体" w:eastAsia="仿宋_GB2312" w:cs="仿宋_GB2312"/>
          <w:color w:val="auto"/>
          <w:kern w:val="0"/>
          <w:sz w:val="32"/>
          <w:szCs w:val="32"/>
          <w:shd w:val="clear" w:color="auto" w:fill="FFFFFF"/>
          <w:lang w:val="en-US" w:eastAsia="zh-CN"/>
        </w:rPr>
        <w:t>为了</w:t>
      </w:r>
      <w:r>
        <w:rPr>
          <w:rFonts w:hint="eastAsia" w:ascii="仿宋_GB2312" w:hAnsi="宋体" w:eastAsia="仿宋_GB2312" w:cs="仿宋_GB2312"/>
          <w:color w:val="auto"/>
          <w:kern w:val="0"/>
          <w:sz w:val="32"/>
          <w:szCs w:val="32"/>
          <w:shd w:val="clear" w:color="auto" w:fill="FFFFFF"/>
        </w:rPr>
        <w:t>确保了教职工的</w:t>
      </w:r>
      <w:r>
        <w:rPr>
          <w:rFonts w:hint="eastAsia" w:ascii="仿宋_GB2312" w:hAnsi="宋体" w:eastAsia="仿宋_GB2312" w:cs="仿宋_GB2312"/>
          <w:color w:val="auto"/>
          <w:kern w:val="0"/>
          <w:sz w:val="32"/>
          <w:szCs w:val="32"/>
          <w:shd w:val="clear" w:color="auto" w:fill="FFFFFF"/>
          <w:lang w:val="en-US" w:eastAsia="zh-CN"/>
        </w:rPr>
        <w:t>健康权益落到实处，用精准体检服务为职工的工作与生活保驾护航</w:t>
      </w:r>
      <w:r>
        <w:rPr>
          <w:rFonts w:hint="eastAsia" w:ascii="仿宋_GB2312" w:hAnsi="宋体" w:eastAsia="仿宋_GB2312" w:cs="仿宋_GB2312"/>
          <w:color w:val="auto"/>
          <w:kern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填写，</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所属单位不需填写）</w:t>
      </w:r>
    </w:p>
    <w:p>
      <w:pPr>
        <w:keepNext w:val="0"/>
        <w:keepLines w:val="0"/>
        <w:widowControl/>
        <w:numPr>
          <w:ilvl w:val="0"/>
          <w:numId w:val="0"/>
        </w:numPr>
        <w:suppressLineNumbers w:val="0"/>
        <w:spacing w:before="0" w:beforeAutospacing="0" w:after="0" w:afterAutospacing="0"/>
        <w:ind w:leftChars="0" w:right="0" w:rightChars="0" w:firstLine="640" w:firstLineChars="200"/>
        <w:jc w:val="left"/>
        <w:rPr>
          <w:rFonts w:hint="eastAsia" w:ascii="仿宋_GB2312" w:eastAsia="仿宋_GB2312"/>
          <w:color w:val="auto"/>
          <w:sz w:val="32"/>
          <w:szCs w:val="32"/>
          <w:lang w:val="zh-CN"/>
        </w:rPr>
      </w:pPr>
      <w:r>
        <w:rPr>
          <w:rFonts w:hint="eastAsia" w:ascii="仿宋_GB2312" w:hAnsi="宋体" w:eastAsia="仿宋_GB2312" w:cs="仿宋_GB2312"/>
          <w:color w:val="auto"/>
          <w:kern w:val="0"/>
          <w:sz w:val="32"/>
          <w:szCs w:val="32"/>
          <w:shd w:val="clear" w:color="auto" w:fill="FFFFFF"/>
          <w:lang w:val="en-US" w:eastAsia="zh-CN"/>
        </w:rPr>
        <w:t>屯昌县南坤镇藤寨中心</w:t>
      </w:r>
      <w:r>
        <w:rPr>
          <w:rFonts w:hint="eastAsia" w:ascii="仿宋_GB2312" w:hAnsi="宋体" w:eastAsia="仿宋_GB2312" w:cs="仿宋_GB2312"/>
          <w:color w:val="auto"/>
          <w:kern w:val="0"/>
          <w:sz w:val="32"/>
          <w:szCs w:val="32"/>
          <w:shd w:val="clear" w:color="auto" w:fill="FFFFFF"/>
        </w:rPr>
        <w:t>组织对202</w:t>
      </w:r>
      <w:r>
        <w:rPr>
          <w:rFonts w:hint="eastAsia" w:ascii="仿宋_GB2312" w:hAnsi="宋体" w:eastAsia="仿宋_GB2312" w:cs="仿宋_GB2312"/>
          <w:color w:val="auto"/>
          <w:kern w:val="0"/>
          <w:sz w:val="32"/>
          <w:szCs w:val="32"/>
          <w:shd w:val="clear" w:color="auto" w:fill="FFFFFF"/>
          <w:lang w:val="en-US" w:eastAsia="zh-CN"/>
        </w:rPr>
        <w:t>4</w:t>
      </w:r>
      <w:r>
        <w:rPr>
          <w:rFonts w:hint="eastAsia" w:ascii="仿宋_GB2312" w:hAnsi="宋体" w:eastAsia="仿宋_GB2312" w:cs="仿宋_GB2312"/>
          <w:color w:val="auto"/>
          <w:kern w:val="0"/>
          <w:sz w:val="32"/>
          <w:szCs w:val="32"/>
          <w:shd w:val="clear" w:color="auto" w:fill="FFFFFF"/>
        </w:rPr>
        <w:t>年度一般公共预算项目支出全面开展绩效自评。自评项目1个，共涉及资金</w:t>
      </w:r>
      <w:r>
        <w:rPr>
          <w:rFonts w:hint="eastAsia" w:ascii="仿宋_GB2312" w:hAnsi="宋体" w:eastAsia="仿宋_GB2312" w:cs="仿宋_GB2312"/>
          <w:color w:val="auto"/>
          <w:kern w:val="0"/>
          <w:sz w:val="32"/>
          <w:szCs w:val="32"/>
          <w:shd w:val="clear" w:color="auto" w:fill="FFFFFF"/>
          <w:lang w:val="en-US" w:eastAsia="zh-CN"/>
        </w:rPr>
        <w:t>9.15</w:t>
      </w:r>
      <w:r>
        <w:rPr>
          <w:rFonts w:hint="eastAsia" w:ascii="仿宋_GB2312" w:hAnsi="宋体" w:eastAsia="仿宋_GB2312" w:cs="仿宋_GB2312"/>
          <w:color w:val="auto"/>
          <w:kern w:val="0"/>
          <w:sz w:val="32"/>
          <w:szCs w:val="32"/>
          <w:shd w:val="clear" w:color="auto" w:fill="FFFFFF"/>
        </w:rPr>
        <w:t>万元，从评价情况来看，</w:t>
      </w:r>
      <w:r>
        <w:rPr>
          <w:rFonts w:hint="eastAsia" w:ascii="仿宋_GB2312" w:hAnsi="宋体" w:eastAsia="仿宋_GB2312" w:cs="仿宋_GB2312"/>
          <w:color w:val="auto"/>
          <w:kern w:val="0"/>
          <w:sz w:val="32"/>
          <w:szCs w:val="32"/>
          <w:shd w:val="clear" w:color="auto" w:fill="FFFFFF"/>
          <w:lang w:val="en-US" w:eastAsia="zh-CN"/>
        </w:rPr>
        <w:t>为了</w:t>
      </w:r>
      <w:r>
        <w:rPr>
          <w:rFonts w:hint="eastAsia" w:ascii="仿宋_GB2312" w:hAnsi="宋体" w:eastAsia="仿宋_GB2312" w:cs="仿宋_GB2312"/>
          <w:color w:val="auto"/>
          <w:kern w:val="0"/>
          <w:sz w:val="32"/>
          <w:szCs w:val="32"/>
          <w:shd w:val="clear" w:color="auto" w:fill="FFFFFF"/>
        </w:rPr>
        <w:t>确保了教职工的</w:t>
      </w:r>
      <w:r>
        <w:rPr>
          <w:rFonts w:hint="eastAsia" w:ascii="仿宋_GB2312" w:hAnsi="宋体" w:eastAsia="仿宋_GB2312" w:cs="仿宋_GB2312"/>
          <w:color w:val="auto"/>
          <w:kern w:val="0"/>
          <w:sz w:val="32"/>
          <w:szCs w:val="32"/>
          <w:shd w:val="clear" w:color="auto" w:fill="FFFFFF"/>
          <w:lang w:val="en-US" w:eastAsia="zh-CN"/>
        </w:rPr>
        <w:t>健康权益落到实处，用精准体检服务为职工的工作与生活保驾护航</w:t>
      </w:r>
      <w:r>
        <w:rPr>
          <w:rFonts w:hint="eastAsia" w:ascii="仿宋_GB2312" w:hAnsi="宋体" w:eastAsia="仿宋_GB2312" w:cs="仿宋_GB2312"/>
          <w:color w:val="auto"/>
          <w:kern w:val="0"/>
          <w:sz w:val="32"/>
          <w:szCs w:val="32"/>
          <w:shd w:val="clear" w:color="auto" w:fill="FFFFFF"/>
        </w:rPr>
        <w:t>。</w:t>
      </w:r>
    </w:p>
    <w:p>
      <w:pPr>
        <w:spacing w:line="578"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spacing w:line="578" w:lineRule="exact"/>
        <w:ind w:firstLine="640" w:firstLineChars="200"/>
        <w:rPr>
          <w:rFonts w:ascii="楷体" w:hAnsi="楷体" w:eastAsia="楷体" w:cs="楷体"/>
          <w:bCs/>
          <w:color w:val="auto"/>
          <w:sz w:val="32"/>
          <w:szCs w:val="32"/>
        </w:rPr>
      </w:pPr>
      <w:bookmarkStart w:id="95" w:name="_Toc15565_WPSOffice_Level2"/>
      <w:bookmarkStart w:id="96" w:name="_Toc5978_WPSOffice_Level2"/>
      <w:bookmarkStart w:id="97" w:name="_Toc32639_WPSOffice_Level2"/>
      <w:bookmarkStart w:id="98" w:name="_Toc23598_WPSOffice_Level2"/>
      <w:bookmarkStart w:id="99" w:name="_Toc18325_WPSOffice_Level2"/>
      <w:bookmarkStart w:id="100" w:name="_Toc15262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spacing w:line="578" w:lineRule="exact"/>
        <w:ind w:firstLine="640" w:firstLineChars="200"/>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w:t>
      </w:r>
      <w:r>
        <w:rPr>
          <w:rFonts w:hint="eastAsia" w:ascii="仿宋_GB2312" w:hAnsi="ˎ̥" w:eastAsia="仿宋_GB2312" w:cs="仿宋_GB2312"/>
          <w:color w:val="auto"/>
          <w:kern w:val="0"/>
          <w:sz w:val="32"/>
          <w:szCs w:val="32"/>
          <w:shd w:val="clear" w:color="auto" w:fill="FFFFFF"/>
        </w:rPr>
        <w:t>年度屯昌县南坤镇藤寨中心小学无机关运行经费。</w:t>
      </w: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ascii="仿宋_GB2312" w:hAnsi="ˎ̥" w:eastAsia="仿宋_GB2312"/>
          <w:color w:val="auto"/>
          <w:sz w:val="32"/>
          <w:szCs w:val="32"/>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spacing w:line="578" w:lineRule="exact"/>
        <w:ind w:firstLine="640" w:firstLineChars="200"/>
        <w:rPr>
          <w:rFonts w:ascii="楷体" w:hAnsi="楷体" w:eastAsia="楷体" w:cs="楷体"/>
          <w:bCs/>
          <w:color w:val="auto"/>
          <w:sz w:val="32"/>
          <w:szCs w:val="32"/>
        </w:rPr>
      </w:pPr>
      <w:bookmarkStart w:id="101" w:name="_Toc3131_WPSOffice_Level2"/>
      <w:bookmarkStart w:id="102" w:name="_Toc23966_WPSOffice_Level2"/>
      <w:bookmarkStart w:id="103" w:name="_Toc32689_WPSOffice_Level2"/>
      <w:bookmarkStart w:id="104" w:name="_Toc25333_WPSOffice_Level2"/>
      <w:bookmarkStart w:id="105" w:name="_Toc30383_WPSOffice_Level2"/>
      <w:bookmarkStart w:id="106" w:name="_Toc13084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spacing w:line="578" w:lineRule="exact"/>
        <w:ind w:firstLine="640" w:firstLineChars="200"/>
        <w:jc w:val="left"/>
        <w:rPr>
          <w:rFonts w:hint="eastAsia" w:ascii="仿宋_GB2312" w:hAnsi="ˎ̥" w:eastAsia="仿宋_GB2312"/>
          <w:color w:val="auto"/>
          <w:sz w:val="32"/>
          <w:szCs w:val="32"/>
        </w:rPr>
      </w:pPr>
      <w:r>
        <w:rPr>
          <w:rFonts w:ascii="仿宋_GB2312" w:hAnsi="ˎ̥" w:eastAsia="仿宋_GB2312"/>
          <w:color w:val="auto"/>
          <w:sz w:val="32"/>
          <w:szCs w:val="32"/>
        </w:rPr>
        <w:t>2024</w:t>
      </w:r>
      <w:r>
        <w:rPr>
          <w:rFonts w:hint="eastAsia" w:ascii="仿宋_GB2312" w:hAnsi="ˎ̥" w:eastAsia="仿宋_GB2312"/>
          <w:color w:val="auto"/>
          <w:sz w:val="32"/>
          <w:szCs w:val="32"/>
        </w:rPr>
        <w:t>年度</w:t>
      </w:r>
      <w:r>
        <w:rPr>
          <w:rFonts w:hint="eastAsia" w:ascii="仿宋_GB2312" w:hAnsi="ˎ̥" w:eastAsia="仿宋_GB2312" w:cs="仿宋_GB2312"/>
          <w:color w:val="auto"/>
          <w:kern w:val="0"/>
          <w:sz w:val="32"/>
          <w:szCs w:val="32"/>
          <w:shd w:val="clear" w:color="auto" w:fill="FFFFFF"/>
        </w:rPr>
        <w:t>度屯昌县南坤镇藤寨中心小学政府采购</w:t>
      </w:r>
      <w:r>
        <w:rPr>
          <w:rFonts w:hint="eastAsia" w:ascii="仿宋_GB2312" w:hAnsi="ˎ̥" w:eastAsia="仿宋_GB2312"/>
          <w:color w:val="auto"/>
          <w:sz w:val="32"/>
          <w:szCs w:val="32"/>
        </w:rPr>
        <w:t>支出总额0万元，其中：政府采购货物支出0万元、政府采购工程支出</w:t>
      </w:r>
      <w:r>
        <w:rPr>
          <w:rFonts w:ascii="仿宋_GB2312" w:hAnsi="ˎ̥" w:eastAsia="仿宋_GB2312"/>
          <w:color w:val="auto"/>
          <w:sz w:val="32"/>
          <w:szCs w:val="32"/>
        </w:rPr>
        <w:t>XX</w:t>
      </w:r>
      <w:r>
        <w:rPr>
          <w:rFonts w:hint="eastAsia" w:ascii="仿宋_GB2312" w:hAnsi="ˎ̥" w:eastAsia="仿宋_GB2312"/>
          <w:color w:val="auto"/>
          <w:sz w:val="32"/>
          <w:szCs w:val="32"/>
        </w:rPr>
        <w:t>万元、政府采购服务支出0万元。授予中小企业合同金额0万元，占政府采购支出总额的0%，其中：授予小微企业合同金额0万元，占</w:t>
      </w:r>
      <w:r>
        <w:rPr>
          <w:rFonts w:hint="eastAsia" w:ascii="仿宋_GB2312" w:hAnsi="仿宋_GB2312" w:eastAsia="仿宋_GB2312" w:cs="仿宋_GB2312"/>
          <w:color w:val="auto"/>
          <w:kern w:val="0"/>
          <w:sz w:val="32"/>
          <w:szCs w:val="32"/>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rPr>
        <w:t>0%。</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上述政府采购支出相关数据取自</w:t>
      </w:r>
      <w:r>
        <w:rPr>
          <w:rFonts w:ascii="仿宋_GB2312" w:hAnsi="ˎ̥" w:eastAsia="仿宋_GB2312"/>
          <w:color w:val="auto"/>
          <w:sz w:val="32"/>
          <w:szCs w:val="32"/>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spacing w:line="578" w:lineRule="exact"/>
        <w:ind w:firstLine="640" w:firstLineChars="200"/>
        <w:rPr>
          <w:rFonts w:ascii="楷体" w:hAnsi="楷体" w:eastAsia="楷体" w:cs="楷体"/>
          <w:bCs/>
          <w:color w:val="auto"/>
          <w:sz w:val="32"/>
          <w:szCs w:val="32"/>
        </w:rPr>
      </w:pPr>
      <w:bookmarkStart w:id="107" w:name="_Toc15129_WPSOffice_Level2"/>
      <w:bookmarkStart w:id="108" w:name="_Toc6016_WPSOffice_Level2"/>
      <w:bookmarkStart w:id="109" w:name="_Toc29584_WPSOffice_Level2"/>
      <w:bookmarkStart w:id="110" w:name="_Toc19989_WPSOffice_Level2"/>
      <w:bookmarkStart w:id="111" w:name="_Toc10902_WPSOffice_Level2"/>
      <w:bookmarkStart w:id="112" w:name="_Toc527_WPSOffice_Level2"/>
      <w:r>
        <w:rPr>
          <w:rFonts w:hint="eastAsia" w:ascii="楷体" w:hAnsi="楷体" w:eastAsia="楷体" w:cs="楷体"/>
          <w:bCs/>
          <w:color w:val="auto"/>
          <w:sz w:val="32"/>
          <w:szCs w:val="32"/>
        </w:rPr>
        <w:t>（三）国有资产占用情况</w:t>
      </w:r>
      <w:bookmarkEnd w:id="107"/>
      <w:bookmarkEnd w:id="108"/>
      <w:bookmarkEnd w:id="109"/>
      <w:bookmarkEnd w:id="110"/>
      <w:bookmarkEnd w:id="111"/>
      <w:bookmarkEnd w:id="112"/>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ascii="仿宋_GB2312" w:hAnsi="ˎ̥" w:eastAsia="仿宋_GB2312"/>
          <w:bCs/>
          <w:color w:val="auto"/>
          <w:sz w:val="32"/>
          <w:szCs w:val="32"/>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房屋面积8125.22平方米。</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本</w:t>
      </w:r>
      <w:r>
        <w:rPr>
          <w:rFonts w:hint="eastAsia" w:ascii="仿宋_GB2312" w:hAnsi="ˎ̥" w:eastAsia="仿宋_GB2312"/>
          <w:sz w:val="32"/>
          <w:szCs w:val="32"/>
          <w:lang w:eastAsia="zh-CN"/>
        </w:rPr>
        <w:t>单位</w:t>
      </w:r>
      <w:r>
        <w:rPr>
          <w:rFonts w:hint="eastAsia" w:ascii="仿宋_GB2312" w:hAnsi="ˎ̥" w:eastAsia="仿宋_GB2312"/>
          <w:sz w:val="32"/>
          <w:szCs w:val="32"/>
        </w:rPr>
        <w:t>共有车辆</w:t>
      </w:r>
      <w:r>
        <w:rPr>
          <w:rFonts w:hint="eastAsia" w:ascii="仿宋_GB2312" w:hAnsi="ˎ̥" w:eastAsia="仿宋_GB2312"/>
          <w:color w:val="FF0000"/>
          <w:sz w:val="32"/>
          <w:szCs w:val="32"/>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rPr>
        <w:t>0</w:t>
      </w:r>
      <w:r>
        <w:rPr>
          <w:rFonts w:hint="eastAsia" w:ascii="仿宋_GB2312" w:hAnsi="ˎ̥" w:eastAsia="仿宋_GB2312"/>
          <w:sz w:val="32"/>
          <w:szCs w:val="32"/>
        </w:rPr>
        <w:t>辆、其他用车</w:t>
      </w:r>
      <w:r>
        <w:rPr>
          <w:rFonts w:hint="eastAsia" w:ascii="仿宋_GB2312" w:hAnsi="ˎ̥" w:eastAsia="仿宋_GB2312"/>
          <w:color w:val="FF0000"/>
          <w:sz w:val="32"/>
          <w:szCs w:val="32"/>
        </w:rPr>
        <w:t>0</w:t>
      </w:r>
      <w:r>
        <w:rPr>
          <w:rFonts w:hint="eastAsia" w:ascii="仿宋_GB2312" w:hAnsi="ˎ̥" w:eastAsia="仿宋_GB2312"/>
          <w:sz w:val="32"/>
          <w:szCs w:val="32"/>
        </w:rPr>
        <w:t xml:space="preserve">辆。     </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rPr>
        <w:t>0</w:t>
      </w:r>
      <w:r>
        <w:rPr>
          <w:rFonts w:hint="eastAsia" w:ascii="仿宋_GB2312" w:hAnsi="ˎ̥" w:eastAsia="仿宋_GB2312"/>
          <w:sz w:val="32"/>
          <w:szCs w:val="32"/>
        </w:rPr>
        <w:t>台（套）。</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上述国有资产占用情况相关数据取自</w:t>
      </w:r>
      <w:r>
        <w:rPr>
          <w:rFonts w:ascii="仿宋_GB2312" w:hAnsi="ˎ̥" w:eastAsia="仿宋_GB2312"/>
          <w:sz w:val="32"/>
          <w:szCs w:val="32"/>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决算F0</w:t>
      </w:r>
      <w:r>
        <w:rPr>
          <w:rFonts w:ascii="仿宋_GB2312" w:hAnsi="ˎ̥" w:eastAsia="仿宋_GB2312"/>
          <w:sz w:val="32"/>
          <w:szCs w:val="32"/>
        </w:rPr>
        <w:t>2</w:t>
      </w:r>
      <w:r>
        <w:rPr>
          <w:rFonts w:hint="eastAsia" w:ascii="仿宋_GB2312" w:hAnsi="ˎ̥" w:eastAsia="仿宋_GB2312"/>
          <w:sz w:val="32"/>
          <w:szCs w:val="32"/>
        </w:rPr>
        <w:t>表《预算支出相关信息表》、F03表《机构运行信息表》。）</w:t>
      </w:r>
    </w:p>
    <w:p>
      <w:pPr>
        <w:spacing w:line="578" w:lineRule="exact"/>
        <w:jc w:val="center"/>
        <w:rPr>
          <w:rFonts w:hint="eastAsia" w:ascii="黑体" w:hAnsi="ˎ̥" w:eastAsia="黑体"/>
          <w:sz w:val="32"/>
          <w:szCs w:val="32"/>
        </w:rPr>
      </w:pPr>
      <w:bookmarkStart w:id="113" w:name="_Toc11039_WPSOffice_Level1"/>
      <w:bookmarkStart w:id="114" w:name="_Toc17580_WPSOffice_Level1"/>
      <w:bookmarkStart w:id="115" w:name="_Toc4398_WPSOffice_Level1"/>
      <w:bookmarkStart w:id="116" w:name="_Toc8808_WPSOffice_Level1"/>
      <w:bookmarkStart w:id="117" w:name="_Toc8874_WPSOffice_Level1"/>
      <w:bookmarkStart w:id="118" w:name="_Toc15425_WPSOffice_Level1"/>
    </w:p>
    <w:p>
      <w:pPr>
        <w:spacing w:line="578" w:lineRule="exact"/>
        <w:jc w:val="center"/>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spacing w:line="578" w:lineRule="exact"/>
        <w:jc w:val="center"/>
        <w:rPr>
          <w:rFonts w:hint="eastAsia" w:ascii="黑体" w:hAnsi="ˎ̥" w:eastAsia="黑体"/>
          <w:sz w:val="32"/>
          <w:szCs w:val="32"/>
        </w:rPr>
      </w:pPr>
    </w:p>
    <w:p>
      <w:pPr>
        <w:numPr>
          <w:ilvl w:val="0"/>
          <w:numId w:val="5"/>
        </w:num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spacing w:line="578" w:lineRule="exact"/>
        <w:ind w:firstLine="645"/>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spacing w:line="578" w:lineRule="exact"/>
        <w:ind w:firstLine="645"/>
        <w:rPr>
          <w:rFonts w:hint="eastAsia"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spacing w:line="578" w:lineRule="exact"/>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ascii="仿宋_GB2312" w:hAnsi="ˎ̥" w:eastAsia="仿宋_GB2312"/>
          <w:sz w:val="32"/>
          <w:szCs w:val="32"/>
        </w:rPr>
        <w:t>2024</w:t>
      </w:r>
      <w:r>
        <w:rPr>
          <w:rFonts w:hint="eastAsia" w:ascii="仿宋_GB2312" w:hAnsi="ˎ̥" w:eastAsia="仿宋_GB2312"/>
          <w:sz w:val="32"/>
          <w:szCs w:val="32"/>
        </w:rPr>
        <w:t>年政府收支分类科目》。）</w:t>
      </w:r>
    </w:p>
    <w:sectPr>
      <w:headerReference r:id="rId3" w:type="default"/>
      <w:footerReference r:id="rId5" w:type="default"/>
      <w:headerReference r:id="rId4" w:type="even"/>
      <w:footerReference r:id="rId6" w:type="even"/>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16</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73AB8A"/>
    <w:multiLevelType w:val="multilevel"/>
    <w:tmpl w:val="AC73AB8A"/>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C895F1E7"/>
    <w:multiLevelType w:val="multilevel"/>
    <w:tmpl w:val="C895F1E7"/>
    <w:lvl w:ilvl="0" w:tentative="0">
      <w:start w:val="1"/>
      <w:numFmt w:val="decimal"/>
      <w:suff w:val="nothing"/>
      <w:lvlText w:val="%1、"/>
      <w:lvlJc w:val="left"/>
      <w:pPr>
        <w:tabs>
          <w:tab w:val="left" w:pos="0"/>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295B3C41"/>
    <w:multiLevelType w:val="multilevel"/>
    <w:tmpl w:val="295B3C41"/>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72109F8D"/>
    <w:multiLevelType w:val="singleLevel"/>
    <w:tmpl w:val="72109F8D"/>
    <w:lvl w:ilvl="0" w:tentative="0">
      <w:start w:val="7"/>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冀˅䰴૭卆䵇뮜સ㰀%꣍4ꀀ耀ﰀ꣍+ꀀ耀ﰀ꣍+䪄૭卆䵇뮀સ㰀%꣍4ꀀ耀ﰀ꣍+ꀀ꣍ﰀ呦䬔૭卆䵇믔સ㰀%꣍4ꀀ耀ﰀ꣍+ꀀ푳0ﰀ呦䳄૭卆䵇밀સ㰀%꣍4ꀀ耀ﰀ꣍+ꀀ푳0ﰀ呦䵔૭卆䵇발સ㰀%꣍4ꀀ耀ﰀ꣍+冄˅卆䵇밸સ㰀%꣍4ꀀ耀ﰀ꣍+"/>
  </w:docVars>
  <w:rsids>
    <w:rsidRoot w:val="A7F73C99"/>
    <w:rsid w:val="00064A91"/>
    <w:rsid w:val="000718C4"/>
    <w:rsid w:val="00076485"/>
    <w:rsid w:val="000779B0"/>
    <w:rsid w:val="000B32F4"/>
    <w:rsid w:val="00176473"/>
    <w:rsid w:val="001E4E23"/>
    <w:rsid w:val="001E510D"/>
    <w:rsid w:val="001F28C1"/>
    <w:rsid w:val="001F4EC0"/>
    <w:rsid w:val="00213789"/>
    <w:rsid w:val="002A6E07"/>
    <w:rsid w:val="0034456B"/>
    <w:rsid w:val="003B39A6"/>
    <w:rsid w:val="003D2F77"/>
    <w:rsid w:val="00422420"/>
    <w:rsid w:val="004C755C"/>
    <w:rsid w:val="004D515A"/>
    <w:rsid w:val="004D5572"/>
    <w:rsid w:val="0050273F"/>
    <w:rsid w:val="00513897"/>
    <w:rsid w:val="00530C81"/>
    <w:rsid w:val="005C43A2"/>
    <w:rsid w:val="005E64FB"/>
    <w:rsid w:val="005F5987"/>
    <w:rsid w:val="00602EED"/>
    <w:rsid w:val="00612F73"/>
    <w:rsid w:val="00641BC4"/>
    <w:rsid w:val="006A2108"/>
    <w:rsid w:val="006B0D64"/>
    <w:rsid w:val="0070473F"/>
    <w:rsid w:val="00731FC7"/>
    <w:rsid w:val="00740E64"/>
    <w:rsid w:val="007417DF"/>
    <w:rsid w:val="00754F6E"/>
    <w:rsid w:val="007A4101"/>
    <w:rsid w:val="007B4F7D"/>
    <w:rsid w:val="007C6B8C"/>
    <w:rsid w:val="00815C39"/>
    <w:rsid w:val="008232A9"/>
    <w:rsid w:val="00846E50"/>
    <w:rsid w:val="00896ADB"/>
    <w:rsid w:val="008C38C6"/>
    <w:rsid w:val="008F6B9B"/>
    <w:rsid w:val="00905A47"/>
    <w:rsid w:val="00942F24"/>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CE5952"/>
    <w:rsid w:val="00DA109D"/>
    <w:rsid w:val="00DB612B"/>
    <w:rsid w:val="00DC2A37"/>
    <w:rsid w:val="00E07782"/>
    <w:rsid w:val="00E70EA3"/>
    <w:rsid w:val="00F0336A"/>
    <w:rsid w:val="00F06DA9"/>
    <w:rsid w:val="00F103D6"/>
    <w:rsid w:val="00F25220"/>
    <w:rsid w:val="00FA2884"/>
    <w:rsid w:val="00FC03DC"/>
    <w:rsid w:val="00FC5708"/>
    <w:rsid w:val="057163EB"/>
    <w:rsid w:val="09201287"/>
    <w:rsid w:val="0FC80124"/>
    <w:rsid w:val="136F98C7"/>
    <w:rsid w:val="17427E68"/>
    <w:rsid w:val="1755065F"/>
    <w:rsid w:val="1AFC29C9"/>
    <w:rsid w:val="1CA52F2E"/>
    <w:rsid w:val="1E3630B9"/>
    <w:rsid w:val="1E915B63"/>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3CB71CD"/>
    <w:rsid w:val="48317291"/>
    <w:rsid w:val="485F7024"/>
    <w:rsid w:val="48E70666"/>
    <w:rsid w:val="4C6877E5"/>
    <w:rsid w:val="4CAD3DFA"/>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7F83646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paragraph" w:customStyle="1" w:styleId="1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381ACA-220D-4911-864A-CE49511FC1F5}">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1188</Words>
  <Characters>6772</Characters>
  <Lines>56</Lines>
  <Paragraphs>15</Paragraphs>
  <TotalTime>0</TotalTime>
  <ScaleCrop>false</ScaleCrop>
  <LinksUpToDate>false</LinksUpToDate>
  <CharactersWithSpaces>7945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2025-10-26T07:14:00Z</dcterms:created>
  <dc:creator>uos</dc:creator>
  <cp:lastModifiedBy>子净</cp:lastModifiedBy>
  <cp:lastPrinted>2023-08-03T00:58:00Z</cp:lastPrinted>
  <dcterms:modified xsi:type="dcterms:W3CDTF">2025-10-27T07:31:44Z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