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color w:val="auto"/>
          <w:sz w:val="44"/>
          <w:szCs w:val="44"/>
        </w:rPr>
      </w:pPr>
      <w:r>
        <w:rPr>
          <w:rFonts w:hint="eastAsia" w:ascii="方正小标宋_GBK" w:hAnsi="方正小标宋_GBK" w:eastAsia="方正小标宋_GBK" w:cs="方正小标宋_GBK"/>
          <w:color w:val="auto"/>
          <w:sz w:val="44"/>
          <w:szCs w:val="44"/>
          <w:lang w:eastAsia="zh-CN"/>
        </w:rPr>
        <w:t>屯昌县南坤镇榕仔中心小学</w:t>
      </w:r>
      <w:r>
        <w:rPr>
          <w:rFonts w:hint="eastAsia" w:ascii="方正小标宋_GBK" w:hAnsi="方正小标宋_GBK" w:eastAsia="方正小标宋_GBK" w:cs="方正小标宋_GBK"/>
          <w:color w:val="auto"/>
          <w:sz w:val="44"/>
          <w:szCs w:val="44"/>
        </w:rPr>
        <w:t>202</w:t>
      </w:r>
      <w:r>
        <w:rPr>
          <w:rFonts w:hint="eastAsia" w:ascii="方正小标宋_GBK" w:hAnsi="方正小标宋_GBK" w:eastAsia="方正小标宋_GBK" w:cs="方正小标宋_GBK"/>
          <w:color w:val="auto"/>
          <w:sz w:val="44"/>
          <w:szCs w:val="44"/>
          <w:lang w:val="en-US" w:eastAsia="zh-CN"/>
        </w:rPr>
        <w:t>4</w:t>
      </w:r>
      <w:r>
        <w:rPr>
          <w:rFonts w:hint="eastAsia" w:ascii="方正小标宋_GBK" w:hAnsi="方正小标宋_GBK" w:eastAsia="方正小标宋_GBK" w:cs="方正小标宋_GBK"/>
          <w:color w:val="auto"/>
          <w:sz w:val="44"/>
          <w:szCs w:val="44"/>
        </w:rPr>
        <w:t>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color w:val="auto"/>
          <w:sz w:val="44"/>
          <w:szCs w:val="44"/>
        </w:rPr>
      </w:pPr>
      <w:r>
        <w:rPr>
          <w:rFonts w:hint="eastAsia" w:ascii="方正小标宋_GBK" w:hAnsi="方正小标宋_GBK" w:eastAsia="方正小标宋_GBK" w:cs="方正小标宋_GBK"/>
          <w:color w:val="auto"/>
          <w:sz w:val="44"/>
          <w:szCs w:val="44"/>
          <w:lang w:val="en-US" w:eastAsia="zh-CN"/>
        </w:rPr>
        <w:t>单位</w:t>
      </w:r>
      <w:r>
        <w:rPr>
          <w:rFonts w:hint="eastAsia" w:ascii="方正小标宋_GBK" w:hAnsi="方正小标宋_GBK" w:eastAsia="方正小标宋_GBK" w:cs="方正小标宋_GBK"/>
          <w:color w:val="auto"/>
          <w:sz w:val="44"/>
          <w:szCs w:val="44"/>
        </w:rPr>
        <w:t>决算公开</w:t>
      </w:r>
      <w:r>
        <w:rPr>
          <w:rFonts w:hint="eastAsia" w:ascii="方正小标宋_GBK" w:hAnsi="方正小标宋_GBK" w:eastAsia="方正小标宋_GBK" w:cs="方正小标宋_GBK"/>
          <w:color w:val="auto"/>
          <w:sz w:val="44"/>
          <w:szCs w:val="44"/>
        </w:rPr>
        <w:t>报告</w:t>
      </w:r>
    </w:p>
    <w:p>
      <w:pPr>
        <w:spacing w:line="578" w:lineRule="exact"/>
        <w:jc w:val="center"/>
        <w:rPr>
          <w:rFonts w:hint="eastAsia" w:ascii="黑体" w:hAnsi="ˎ̥" w:eastAsia="黑体"/>
          <w:b/>
          <w:color w:val="auto"/>
          <w:sz w:val="32"/>
          <w:szCs w:val="32"/>
        </w:rPr>
      </w:pPr>
    </w:p>
    <w:p>
      <w:pPr>
        <w:spacing w:line="578" w:lineRule="exact"/>
        <w:jc w:val="center"/>
        <w:rPr>
          <w:rFonts w:hint="eastAsia" w:ascii="黑体" w:hAnsi="黑体" w:eastAsia="黑体" w:cs="黑体"/>
          <w:color w:val="auto"/>
          <w:sz w:val="44"/>
          <w:szCs w:val="44"/>
        </w:rPr>
      </w:pPr>
      <w:bookmarkStart w:id="0" w:name="_Toc11440_WPSOffice_Type2"/>
      <w:r>
        <w:rPr>
          <w:rFonts w:hint="eastAsia" w:ascii="黑体" w:hAnsi="黑体" w:eastAsia="黑体" w:cs="黑体"/>
          <w:color w:val="auto"/>
          <w:sz w:val="44"/>
          <w:szCs w:val="44"/>
        </w:rPr>
        <w:t>目  录</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_Toc1704_WPSOffice_Level1 </w:instrText>
      </w:r>
      <w:r>
        <w:rPr>
          <w:color w:val="auto"/>
          <w:sz w:val="32"/>
          <w:szCs w:val="32"/>
        </w:rPr>
        <w:fldChar w:fldCharType="separate"/>
      </w:r>
      <w:r>
        <w:rPr>
          <w:rFonts w:hint="eastAsia" w:ascii="黑体" w:hAnsi="ˎ̥" w:eastAsia="黑体"/>
          <w:color w:val="auto"/>
          <w:sz w:val="32"/>
          <w:szCs w:val="32"/>
        </w:rPr>
        <w:t>第一部分 基本情况</w:t>
      </w:r>
      <w:r>
        <w:rPr>
          <w:color w:val="auto"/>
          <w:sz w:val="32"/>
          <w:szCs w:val="32"/>
        </w:rPr>
        <w:tab/>
      </w:r>
      <w:r>
        <w:rPr>
          <w:color w:val="auto"/>
          <w:sz w:val="32"/>
          <w:szCs w:val="32"/>
        </w:rPr>
        <w:fldChar w:fldCharType="end"/>
      </w:r>
      <w:r>
        <w:rPr>
          <w:rFonts w:hint="eastAsia"/>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_Toc20274_WPSOffice_Level2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一、</w:t>
      </w:r>
      <w:r>
        <w:rPr>
          <w:rFonts w:hint="eastAsia" w:ascii="仿宋" w:hAnsi="仿宋" w:eastAsia="仿宋" w:cs="仿宋"/>
          <w:color w:val="auto"/>
          <w:sz w:val="32"/>
          <w:szCs w:val="32"/>
          <w:lang w:eastAsia="zh-CN"/>
        </w:rPr>
        <w:t>单位</w:t>
      </w:r>
      <w:r>
        <w:rPr>
          <w:rFonts w:hint="eastAsia" w:ascii="仿宋" w:hAnsi="仿宋" w:eastAsia="仿宋" w:cs="仿宋"/>
          <w:color w:val="auto"/>
          <w:sz w:val="32"/>
          <w:szCs w:val="32"/>
        </w:rPr>
        <w:t>职责</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_Toc4833_WPSOffice_Level2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二、机构设置</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_Toc28253_WPSOffice_Level1 </w:instrText>
      </w:r>
      <w:r>
        <w:rPr>
          <w:color w:val="auto"/>
          <w:sz w:val="32"/>
          <w:szCs w:val="32"/>
        </w:rPr>
        <w:fldChar w:fldCharType="separate"/>
      </w: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决算公开表</w:t>
      </w:r>
      <w:r>
        <w:rPr>
          <w:color w:val="auto"/>
          <w:sz w:val="32"/>
          <w:szCs w:val="32"/>
        </w:rPr>
        <w:tab/>
      </w:r>
      <w:r>
        <w:rPr>
          <w:color w:val="auto"/>
          <w:sz w:val="32"/>
          <w:szCs w:val="32"/>
        </w:rPr>
        <w:fldChar w:fldCharType="end"/>
      </w:r>
      <w:r>
        <w:rPr>
          <w:rFonts w:hint="eastAsia"/>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_Toc27590_WPSOffice_Level1 </w:instrText>
      </w:r>
      <w:r>
        <w:rPr>
          <w:color w:val="auto"/>
          <w:sz w:val="32"/>
          <w:szCs w:val="32"/>
        </w:rPr>
        <w:fldChar w:fldCharType="separate"/>
      </w:r>
      <w:r>
        <w:rPr>
          <w:rFonts w:hint="eastAsia" w:ascii="黑体" w:hAnsi="黑体" w:eastAsia="黑体" w:cs="黑体"/>
          <w:color w:val="auto"/>
          <w:sz w:val="32"/>
          <w:szCs w:val="32"/>
        </w:rPr>
        <w:t>第三部分</w:t>
      </w:r>
      <w:r>
        <w:rPr>
          <w:rFonts w:hint="eastAsia"/>
          <w:color w:val="auto"/>
          <w:sz w:val="32"/>
          <w:szCs w:val="32"/>
        </w:rPr>
        <w:t xml:space="preserve">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决算情况说明</w:t>
      </w:r>
      <w:r>
        <w:rPr>
          <w:color w:val="auto"/>
          <w:sz w:val="32"/>
          <w:szCs w:val="32"/>
        </w:rPr>
        <w:tab/>
      </w:r>
      <w:r>
        <w:rPr>
          <w:color w:val="auto"/>
          <w:sz w:val="32"/>
          <w:szCs w:val="32"/>
        </w:rPr>
        <w:fldChar w:fldCharType="end"/>
      </w:r>
      <w:r>
        <w:rPr>
          <w:rFonts w:hint="eastAsia"/>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_Toc21737_WPSOffice_Level2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一、收入支出总体情况说明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二、收入决算情况说明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三、支出决算情况说明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四、财政拨款收入支出决算</w:t>
      </w:r>
      <w:r>
        <w:rPr>
          <w:rFonts w:hint="eastAsia" w:ascii="仿宋" w:hAnsi="仿宋" w:eastAsia="仿宋" w:cs="仿宋"/>
          <w:bCs/>
          <w:color w:val="auto"/>
          <w:sz w:val="32"/>
          <w:szCs w:val="32"/>
          <w:lang w:val="en-US" w:eastAsia="zh-CN"/>
        </w:rPr>
        <w:t>总体</w:t>
      </w:r>
      <w:r>
        <w:rPr>
          <w:rFonts w:hint="eastAsia" w:ascii="仿宋" w:hAnsi="仿宋" w:eastAsia="仿宋" w:cs="仿宋"/>
          <w:bCs/>
          <w:color w:val="auto"/>
          <w:sz w:val="32"/>
          <w:szCs w:val="32"/>
        </w:rPr>
        <w:t>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五、一般公共预算财政拨款支出决算情况说明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5</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六、一般公共预算财政拨款基本支出决算情况说明</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ab/>
      </w:r>
      <w:r>
        <w:rPr>
          <w:rFonts w:hint="eastAsia" w:ascii="仿宋" w:hAnsi="仿宋" w:eastAsia="仿宋" w:cs="仿宋"/>
          <w:color w:val="auto"/>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政府性基金预算财政拨款支出决算情况说明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国有资本经营预算财政拨款支出决算情况说明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8</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九、财政拨款“三公”经费支出决算情况说明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9</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十、预算绩效情况说明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11</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十一、其他重要事项情况说明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13</w:t>
      </w:r>
    </w:p>
    <w:p>
      <w:pPr>
        <w:pStyle w:val="15"/>
        <w:tabs>
          <w:tab w:val="right" w:leader="dot" w:pos="8306"/>
        </w:tabs>
        <w:spacing w:line="578" w:lineRule="exact"/>
        <w:rPr>
          <w:rFonts w:hint="eastAsia" w:ascii="黑体" w:hAnsi="ˎ̥"/>
          <w:b/>
          <w:color w:val="auto"/>
          <w:sz w:val="32"/>
          <w:szCs w:val="32"/>
        </w:rPr>
      </w:pPr>
      <w:r>
        <w:rPr>
          <w:color w:val="auto"/>
          <w:sz w:val="32"/>
          <w:szCs w:val="32"/>
        </w:rPr>
        <w:fldChar w:fldCharType="begin"/>
      </w:r>
      <w:r>
        <w:rPr>
          <w:color w:val="auto"/>
          <w:sz w:val="32"/>
          <w:szCs w:val="32"/>
        </w:rPr>
        <w:instrText xml:space="preserve"> HYPERLINK \l _Toc15425_WPSOffice_Level1 </w:instrText>
      </w:r>
      <w:r>
        <w:rPr>
          <w:color w:val="auto"/>
          <w:sz w:val="32"/>
          <w:szCs w:val="32"/>
        </w:rPr>
        <w:fldChar w:fldCharType="separate"/>
      </w:r>
      <w:r>
        <w:rPr>
          <w:rFonts w:hint="eastAsia" w:ascii="黑体" w:hAnsi="ˎ̥" w:eastAsia="黑体"/>
          <w:color w:val="auto"/>
          <w:sz w:val="32"/>
          <w:szCs w:val="32"/>
        </w:rPr>
        <w:t>第四部分  名词解释</w:t>
      </w:r>
      <w:r>
        <w:rPr>
          <w:color w:val="auto"/>
          <w:sz w:val="32"/>
          <w:szCs w:val="32"/>
        </w:rPr>
        <w:tab/>
      </w:r>
      <w:bookmarkStart w:id="1" w:name="_Toc15425_WPSOffice_Level1Page"/>
      <w:r>
        <w:rPr>
          <w:color w:val="auto"/>
          <w:sz w:val="32"/>
          <w:szCs w:val="32"/>
        </w:rPr>
        <w:t>1</w:t>
      </w:r>
      <w:bookmarkEnd w:id="1"/>
      <w:r>
        <w:rPr>
          <w:color w:val="auto"/>
          <w:sz w:val="32"/>
          <w:szCs w:val="32"/>
        </w:rPr>
        <w:fldChar w:fldCharType="end"/>
      </w:r>
      <w:bookmarkEnd w:id="0"/>
      <w:r>
        <w:rPr>
          <w:rFonts w:hint="eastAsia"/>
          <w:color w:val="auto"/>
          <w:sz w:val="32"/>
          <w:szCs w:val="32"/>
        </w:rPr>
        <w:t>5</w:t>
      </w:r>
    </w:p>
    <w:p>
      <w:pPr>
        <w:spacing w:line="578" w:lineRule="exact"/>
        <w:jc w:val="both"/>
        <w:rPr>
          <w:rFonts w:hint="eastAsia" w:ascii="黑体" w:hAnsi="ˎ̥" w:eastAsia="黑体"/>
          <w:color w:val="auto"/>
          <w:sz w:val="32"/>
          <w:szCs w:val="32"/>
        </w:rPr>
      </w:pPr>
      <w:bookmarkStart w:id="2" w:name="_Toc10720_WPSOffice_Level1"/>
      <w:bookmarkStart w:id="3" w:name="_Toc22941_WPSOffice_Level1"/>
      <w:bookmarkStart w:id="4" w:name="_Toc10049_WPSOffice_Level1"/>
      <w:bookmarkStart w:id="5" w:name="_Toc1704_WPSOffice_Level1"/>
      <w:bookmarkStart w:id="6" w:name="_Toc23465_WPSOffice_Level1"/>
      <w:bookmarkStart w:id="7" w:name="_Toc32433_WPSOffice_Level1"/>
      <w:bookmarkStart w:id="8" w:name="_Toc24238_WPSOffice_Level2"/>
      <w:bookmarkStart w:id="9" w:name="_Toc32622_WPSOffice_Level2"/>
      <w:bookmarkStart w:id="10" w:name="_Toc14159_WPSOffice_Level2"/>
      <w:bookmarkStart w:id="11" w:name="_Toc26580_WPSOffice_Level2"/>
      <w:bookmarkStart w:id="12" w:name="_Toc20274_WPSOffice_Level2"/>
      <w:bookmarkStart w:id="13" w:name="_Toc20205_WPSOffice_Level2"/>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第一部分  </w:t>
      </w:r>
      <w:bookmarkEnd w:id="2"/>
      <w:bookmarkEnd w:id="3"/>
      <w:bookmarkEnd w:id="4"/>
      <w:bookmarkEnd w:id="5"/>
      <w:bookmarkEnd w:id="6"/>
      <w:bookmarkEnd w:id="7"/>
      <w:r>
        <w:rPr>
          <w:rFonts w:hint="eastAsia" w:ascii="黑体" w:hAnsi="ˎ̥" w:eastAsia="黑体"/>
          <w:color w:val="auto"/>
          <w:sz w:val="32"/>
          <w:szCs w:val="32"/>
        </w:rPr>
        <w:t>基本情况</w:t>
      </w:r>
    </w:p>
    <w:p>
      <w:pPr>
        <w:spacing w:line="578" w:lineRule="exact"/>
        <w:ind w:firstLine="640" w:firstLineChars="200"/>
        <w:rPr>
          <w:rFonts w:hint="eastAsia" w:ascii="楷体" w:hAnsi="楷体" w:eastAsia="楷体" w:cs="楷体"/>
          <w:color w:val="auto"/>
          <w:sz w:val="32"/>
          <w:szCs w:val="32"/>
        </w:rPr>
      </w:pPr>
    </w:p>
    <w:p>
      <w:pPr>
        <w:keepNext w:val="0"/>
        <w:keepLines w:val="0"/>
        <w:pageBreakBefore w:val="0"/>
        <w:widowControl w:val="0"/>
        <w:kinsoku/>
        <w:wordWrap/>
        <w:overflowPunct/>
        <w:topLinePunct w:val="0"/>
        <w:autoSpaceDE/>
        <w:autoSpaceDN/>
        <w:bidi w:val="0"/>
        <w:adjustRightInd/>
        <w:snapToGrid/>
        <w:spacing w:beforeAutospacing="0" w:afterAutospacing="0" w:line="570" w:lineRule="atLeast"/>
        <w:ind w:firstLine="640" w:firstLineChars="200"/>
        <w:textAlignment w:val="auto"/>
        <w:rPr>
          <w:rFonts w:hint="eastAsia" w:ascii="黑体" w:hAnsi="黑体" w:eastAsia="黑体" w:cs="黑体"/>
          <w:color w:val="auto"/>
          <w:sz w:val="32"/>
          <w:szCs w:val="32"/>
        </w:rPr>
      </w:pPr>
      <w:bookmarkStart w:id="119" w:name="_GoBack"/>
      <w:r>
        <w:rPr>
          <w:rFonts w:hint="eastAsia" w:ascii="黑体" w:hAnsi="黑体" w:eastAsia="黑体" w:cs="黑体"/>
          <w:color w:val="auto"/>
          <w:sz w:val="32"/>
          <w:szCs w:val="32"/>
        </w:rPr>
        <w:t>一、</w:t>
      </w:r>
      <w:bookmarkEnd w:id="8"/>
      <w:r>
        <w:rPr>
          <w:rFonts w:hint="eastAsia" w:ascii="黑体" w:hAnsi="黑体" w:eastAsia="黑体" w:cs="黑体"/>
          <w:color w:val="auto"/>
          <w:sz w:val="32"/>
          <w:szCs w:val="32"/>
          <w:lang w:eastAsia="zh-CN"/>
        </w:rPr>
        <w:t>单位</w:t>
      </w:r>
      <w:r>
        <w:rPr>
          <w:rFonts w:hint="eastAsia" w:ascii="黑体" w:hAnsi="黑体" w:eastAsia="黑体" w:cs="黑体"/>
          <w:color w:val="auto"/>
          <w:sz w:val="32"/>
          <w:szCs w:val="32"/>
        </w:rPr>
        <w:t>职责</w:t>
      </w:r>
      <w:bookmarkEnd w:id="9"/>
      <w:bookmarkEnd w:id="10"/>
      <w:bookmarkEnd w:id="11"/>
      <w:bookmarkEnd w:id="12"/>
      <w:bookmarkEnd w:id="13"/>
    </w:p>
    <w:p>
      <w:pPr>
        <w:keepNext w:val="0"/>
        <w:keepLines w:val="0"/>
        <w:pageBreakBefore w:val="0"/>
        <w:widowControl w:val="0"/>
        <w:kinsoku/>
        <w:wordWrap/>
        <w:overflowPunct/>
        <w:topLinePunct w:val="0"/>
        <w:autoSpaceDE/>
        <w:autoSpaceDN/>
        <w:bidi w:val="0"/>
        <w:adjustRightInd/>
        <w:snapToGrid/>
        <w:spacing w:beforeAutospacing="0" w:afterAutospacing="0" w:line="570" w:lineRule="atLeast"/>
        <w:ind w:firstLine="640" w:firstLineChars="200"/>
        <w:textAlignment w:val="auto"/>
        <w:rPr>
          <w:rFonts w:hint="eastAsia" w:ascii="仿宋_GB2312" w:hAnsi="ˎ̥" w:eastAsia="仿宋_GB2312" w:cs="仿宋_GB2312"/>
          <w:color w:val="auto"/>
          <w:sz w:val="32"/>
          <w:szCs w:val="32"/>
        </w:rPr>
      </w:pPr>
      <w:bookmarkStart w:id="14" w:name="_Toc17796_WPSOffice_Level2"/>
      <w:bookmarkStart w:id="15" w:name="_Toc4833_WPSOffice_Level2"/>
      <w:bookmarkStart w:id="16" w:name="_Toc6572_WPSOffice_Level2"/>
      <w:bookmarkStart w:id="17" w:name="_Toc24059_WPSOffice_Level2"/>
      <w:bookmarkStart w:id="18" w:name="_Toc24474_WPSOffice_Level2"/>
      <w:r>
        <w:rPr>
          <w:rFonts w:hint="eastAsia" w:ascii="仿宋_GB2312" w:hAnsi="ˎ̥" w:eastAsia="仿宋_GB2312" w:cs="仿宋_GB2312"/>
          <w:color w:val="auto"/>
          <w:sz w:val="32"/>
          <w:szCs w:val="32"/>
        </w:rPr>
        <w:t>研究拟定全校教育发展战略法，贯彻执行党和国家的教育方针、政策、法规；研究拟定学校发展规划和年度计划组织实施教育体制和办学体制改革。其主要职责是管理和指导学校基础教育工作，确保小学义务教育工作成果，管理学校教育经费执行财务管理制度；负责和指导学校教职工的思想政治工作。</w:t>
      </w:r>
    </w:p>
    <w:p>
      <w:pPr>
        <w:keepNext w:val="0"/>
        <w:keepLines w:val="0"/>
        <w:pageBreakBefore w:val="0"/>
        <w:widowControl w:val="0"/>
        <w:kinsoku/>
        <w:wordWrap/>
        <w:overflowPunct/>
        <w:topLinePunct w:val="0"/>
        <w:autoSpaceDE/>
        <w:autoSpaceDN/>
        <w:bidi w:val="0"/>
        <w:adjustRightInd/>
        <w:snapToGrid/>
        <w:spacing w:beforeAutospacing="0" w:afterAutospacing="0" w:line="570" w:lineRule="atLeas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二、机构设置</w:t>
      </w:r>
      <w:bookmarkEnd w:id="14"/>
      <w:bookmarkEnd w:id="15"/>
      <w:bookmarkEnd w:id="16"/>
      <w:bookmarkEnd w:id="17"/>
      <w:bookmarkEnd w:id="18"/>
    </w:p>
    <w:p>
      <w:pPr>
        <w:keepNext w:val="0"/>
        <w:keepLines w:val="0"/>
        <w:pageBreakBefore w:val="0"/>
        <w:widowControl w:val="0"/>
        <w:kinsoku/>
        <w:wordWrap/>
        <w:overflowPunct/>
        <w:topLinePunct w:val="0"/>
        <w:autoSpaceDE/>
        <w:autoSpaceDN/>
        <w:bidi w:val="0"/>
        <w:adjustRightInd/>
        <w:snapToGrid/>
        <w:spacing w:beforeAutospacing="0" w:afterAutospacing="0" w:line="570" w:lineRule="atLeast"/>
        <w:ind w:firstLine="640" w:firstLineChars="200"/>
        <w:textAlignment w:val="auto"/>
        <w:rPr>
          <w:rFonts w:ascii="仿宋_GB2312" w:hAnsi="ˎ̥" w:eastAsia="仿宋_GB2312" w:cs="仿宋_GB2312"/>
          <w:color w:val="auto"/>
          <w:sz w:val="32"/>
          <w:szCs w:val="32"/>
        </w:rPr>
      </w:pPr>
      <w:r>
        <w:rPr>
          <w:rFonts w:ascii="仿宋_GB2312" w:hAnsi="ˎ̥" w:eastAsia="仿宋_GB2312" w:cs="仿宋_GB2312"/>
          <w:color w:val="auto"/>
          <w:sz w:val="32"/>
          <w:szCs w:val="32"/>
        </w:rPr>
        <w:t>纳入</w:t>
      </w:r>
      <w:r>
        <w:rPr>
          <w:rFonts w:hint="eastAsia" w:ascii="仿宋_GB2312" w:hAnsi="ˎ̥" w:eastAsia="仿宋_GB2312" w:cs="仿宋_GB2312"/>
          <w:color w:val="auto"/>
          <w:sz w:val="32"/>
          <w:szCs w:val="32"/>
        </w:rPr>
        <w:t>屯昌县南坤镇榕仔中小学</w:t>
      </w:r>
      <w:r>
        <w:rPr>
          <w:rFonts w:ascii="仿宋_GB2312" w:hAnsi="ˎ̥" w:eastAsia="仿宋_GB2312" w:cs="仿宋_GB2312"/>
          <w:color w:val="auto"/>
          <w:sz w:val="32"/>
          <w:szCs w:val="32"/>
        </w:rPr>
        <w:t>202</w:t>
      </w:r>
      <w:r>
        <w:rPr>
          <w:rFonts w:hint="eastAsia" w:ascii="仿宋_GB2312" w:hAnsi="ˎ̥" w:eastAsia="仿宋_GB2312" w:cs="仿宋_GB2312"/>
          <w:color w:val="auto"/>
          <w:sz w:val="32"/>
          <w:szCs w:val="32"/>
          <w:lang w:val="en-US" w:eastAsia="zh-CN"/>
        </w:rPr>
        <w:t>4</w:t>
      </w:r>
      <w:r>
        <w:rPr>
          <w:rFonts w:ascii="仿宋_GB2312" w:hAnsi="ˎ̥" w:eastAsia="仿宋_GB2312" w:cs="仿宋_GB2312"/>
          <w:color w:val="auto"/>
          <w:sz w:val="32"/>
          <w:szCs w:val="32"/>
        </w:rPr>
        <w:t>年度</w:t>
      </w:r>
      <w:r>
        <w:rPr>
          <w:rFonts w:hint="eastAsia" w:ascii="仿宋_GB2312" w:hAnsi="ˎ̥" w:eastAsia="仿宋_GB2312" w:cs="仿宋_GB2312"/>
          <w:color w:val="auto"/>
          <w:sz w:val="32"/>
          <w:szCs w:val="32"/>
          <w:lang w:eastAsia="zh-CN"/>
        </w:rPr>
        <w:t>单位</w:t>
      </w:r>
      <w:r>
        <w:rPr>
          <w:rFonts w:ascii="仿宋_GB2312" w:hAnsi="ˎ̥" w:eastAsia="仿宋_GB2312" w:cs="仿宋_GB2312"/>
          <w:color w:val="auto"/>
          <w:sz w:val="32"/>
          <w:szCs w:val="32"/>
        </w:rPr>
        <w:t>决算编制范围的二级预算单位包括：</w:t>
      </w:r>
    </w:p>
    <w:p>
      <w:pPr>
        <w:keepNext w:val="0"/>
        <w:keepLines w:val="0"/>
        <w:pageBreakBefore w:val="0"/>
        <w:widowControl w:val="0"/>
        <w:kinsoku/>
        <w:wordWrap/>
        <w:overflowPunct/>
        <w:topLinePunct w:val="0"/>
        <w:autoSpaceDE/>
        <w:autoSpaceDN/>
        <w:bidi w:val="0"/>
        <w:adjustRightInd/>
        <w:snapToGrid/>
        <w:spacing w:beforeAutospacing="0" w:afterAutospacing="0" w:line="570" w:lineRule="atLeas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（一）屯昌县南坤镇榕仔中心小学</w:t>
      </w:r>
      <w:r>
        <w:rPr>
          <w:rFonts w:hint="eastAsia" w:ascii="楷体" w:hAnsi="楷体" w:eastAsia="楷体" w:cs="楷体"/>
          <w:color w:val="auto"/>
          <w:sz w:val="32"/>
          <w:szCs w:val="32"/>
          <w:lang w:eastAsia="zh-CN"/>
        </w:rPr>
        <w:t>单位</w:t>
      </w:r>
      <w:r>
        <w:rPr>
          <w:rFonts w:hint="eastAsia" w:ascii="楷体" w:hAnsi="楷体" w:eastAsia="楷体" w:cs="楷体"/>
          <w:color w:val="auto"/>
          <w:sz w:val="32"/>
          <w:szCs w:val="32"/>
        </w:rPr>
        <w:t>本级</w:t>
      </w:r>
    </w:p>
    <w:p>
      <w:pPr>
        <w:keepNext w:val="0"/>
        <w:keepLines w:val="0"/>
        <w:pageBreakBefore w:val="0"/>
        <w:widowControl w:val="0"/>
        <w:kinsoku/>
        <w:wordWrap/>
        <w:overflowPunct/>
        <w:topLinePunct w:val="0"/>
        <w:autoSpaceDE/>
        <w:autoSpaceDN/>
        <w:bidi w:val="0"/>
        <w:adjustRightInd/>
        <w:snapToGrid/>
        <w:spacing w:beforeAutospacing="0" w:afterAutospacing="0" w:line="570" w:lineRule="atLeas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（二）</w:t>
      </w:r>
      <w:r>
        <w:rPr>
          <w:rFonts w:hint="eastAsia" w:ascii="楷体" w:hAnsi="楷体"/>
          <w:color w:val="auto"/>
          <w:sz w:val="32"/>
          <w:szCs w:val="32"/>
          <w:shd w:val="clear" w:color="auto" w:fill="FFFFFF"/>
        </w:rPr>
        <w:t>屯昌县南坤镇榕仔中心小学有</w:t>
      </w:r>
      <w:r>
        <w:rPr>
          <w:rFonts w:hint="eastAsia" w:ascii="楷体" w:hAnsi="楷体"/>
          <w:color w:val="auto"/>
          <w:sz w:val="32"/>
          <w:szCs w:val="32"/>
          <w:shd w:val="clear" w:color="auto" w:fill="FFFFFF"/>
          <w:lang w:val="en-US" w:eastAsia="zh-CN"/>
        </w:rPr>
        <w:t>3</w:t>
      </w:r>
      <w:r>
        <w:rPr>
          <w:rFonts w:hint="eastAsia" w:ascii="楷体" w:hAnsi="楷体"/>
          <w:color w:val="auto"/>
          <w:sz w:val="32"/>
          <w:szCs w:val="32"/>
          <w:shd w:val="clear" w:color="auto" w:fill="FFFFFF"/>
        </w:rPr>
        <w:t>个下属单位</w:t>
      </w:r>
    </w:p>
    <w:p>
      <w:pPr>
        <w:keepNext w:val="0"/>
        <w:keepLines w:val="0"/>
        <w:pageBreakBefore w:val="0"/>
        <w:widowControl w:val="0"/>
        <w:kinsoku/>
        <w:wordWrap/>
        <w:overflowPunct/>
        <w:topLinePunct w:val="0"/>
        <w:autoSpaceDE/>
        <w:autoSpaceDN/>
        <w:bidi w:val="0"/>
        <w:adjustRightInd/>
        <w:snapToGrid/>
        <w:spacing w:beforeAutospacing="0" w:afterAutospacing="0" w:line="570" w:lineRule="atLeast"/>
        <w:ind w:firstLine="600" w:firstLineChars="200"/>
        <w:textAlignment w:val="auto"/>
        <w:rPr>
          <w:rFonts w:hint="eastAsia" w:ascii="仿宋" w:hAnsi="仿宋"/>
          <w:color w:val="auto"/>
          <w:sz w:val="30"/>
          <w:szCs w:val="30"/>
        </w:rPr>
      </w:pPr>
      <w:r>
        <w:rPr>
          <w:rFonts w:hint="eastAsia" w:ascii="仿宋" w:hAnsi="仿宋"/>
          <w:color w:val="auto"/>
          <w:sz w:val="30"/>
          <w:szCs w:val="30"/>
        </w:rPr>
        <w:t>我校是一所乡镇小学学校。现有一所中心小学，三所村完全小学。我校为财政全额拨款的事业单位，也是独立预算单位，内设机构</w:t>
      </w:r>
      <w:r>
        <w:rPr>
          <w:rFonts w:hint="eastAsia" w:ascii="仿宋" w:hAnsi="仿宋" w:eastAsia="仿宋"/>
          <w:color w:val="auto"/>
          <w:sz w:val="30"/>
          <w:szCs w:val="30"/>
        </w:rPr>
        <w:t>1</w:t>
      </w:r>
      <w:r>
        <w:rPr>
          <w:rFonts w:hint="eastAsia" w:ascii="仿宋" w:hAnsi="仿宋"/>
          <w:color w:val="auto"/>
          <w:sz w:val="30"/>
          <w:szCs w:val="30"/>
        </w:rPr>
        <w:t>个。</w:t>
      </w:r>
    </w:p>
    <w:p>
      <w:pPr>
        <w:keepNext w:val="0"/>
        <w:keepLines w:val="0"/>
        <w:pageBreakBefore w:val="0"/>
        <w:widowControl w:val="0"/>
        <w:kinsoku/>
        <w:wordWrap/>
        <w:overflowPunct/>
        <w:topLinePunct w:val="0"/>
        <w:autoSpaceDE/>
        <w:autoSpaceDN/>
        <w:bidi w:val="0"/>
        <w:adjustRightInd/>
        <w:snapToGrid/>
        <w:spacing w:beforeAutospacing="0" w:afterAutospacing="0" w:line="570" w:lineRule="atLeas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（注：如果是基层预算单位，没有下属单位的，可只说明单位内设机构即可。）</w:t>
      </w:r>
      <w:bookmarkEnd w:id="119"/>
    </w:p>
    <w:p>
      <w:pPr>
        <w:spacing w:line="578" w:lineRule="exact"/>
        <w:jc w:val="center"/>
        <w:rPr>
          <w:rFonts w:hint="eastAsia" w:ascii="黑体" w:hAnsi="ˎ̥" w:eastAsia="黑体"/>
          <w:color w:val="auto"/>
          <w:sz w:val="32"/>
          <w:szCs w:val="32"/>
        </w:rPr>
      </w:pPr>
      <w:bookmarkStart w:id="19" w:name="_Toc30451_WPSOffice_Level1"/>
      <w:bookmarkStart w:id="20" w:name="_Toc8164_WPSOffice_Level1"/>
      <w:bookmarkStart w:id="21" w:name="_Toc28253_WPSOffice_Level1"/>
      <w:bookmarkStart w:id="22" w:name="_Toc6234_WPSOffice_Level1"/>
      <w:bookmarkStart w:id="23" w:name="_Toc15521_WPSOffice_Level1"/>
      <w:bookmarkStart w:id="24" w:name="_Toc30690_WPSOffice_Level1"/>
      <w:bookmarkStart w:id="25" w:name="_Toc4029_WPSOffice_Level2"/>
      <w:bookmarkStart w:id="26" w:name="_Toc6211_WPSOffice_Level2"/>
      <w:bookmarkStart w:id="27" w:name="_Toc8867_WPSOffice_Level2"/>
      <w:bookmarkStart w:id="28" w:name="_Toc11518_WPSOffice_Level2"/>
      <w:bookmarkStart w:id="29" w:name="_Toc32695_WPSOffice_Level2"/>
      <w:bookmarkStart w:id="30" w:name="_Toc32472_WPSOffice_Level2"/>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color w:val="auto"/>
          <w:sz w:val="32"/>
          <w:szCs w:val="32"/>
        </w:rPr>
      </w:pPr>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color w:val="auto"/>
          <w:sz w:val="32"/>
          <w:szCs w:val="32"/>
        </w:rPr>
      </w:pPr>
      <w:bookmarkStart w:id="31" w:name="_Toc30334_WPSOffice_Level2"/>
      <w:bookmarkStart w:id="32" w:name="_Toc25608_WPSOffice_Level2"/>
      <w:bookmarkStart w:id="33" w:name="_Toc26621_WPSOffice_Level2"/>
      <w:bookmarkStart w:id="34" w:name="_Toc14349_WPSOffice_Level2"/>
      <w:bookmarkStart w:id="35" w:name="_Toc28622_WPSOffice_Level2"/>
      <w:bookmarkStart w:id="36" w:name="_Toc23139_WPSOffice_Level2"/>
      <w:r>
        <w:rPr>
          <w:rFonts w:hint="eastAsia" w:ascii="黑体" w:hAnsi="黑体" w:eastAsia="黑体" w:cs="黑体"/>
          <w:color w:val="auto"/>
          <w:sz w:val="32"/>
          <w:szCs w:val="32"/>
        </w:rPr>
        <w:t>二、收入决算公开表</w:t>
      </w:r>
      <w:bookmarkEnd w:id="31"/>
      <w:bookmarkEnd w:id="32"/>
      <w:bookmarkEnd w:id="33"/>
      <w:bookmarkEnd w:id="34"/>
      <w:bookmarkEnd w:id="35"/>
      <w:bookmarkEnd w:id="36"/>
      <w:bookmarkStart w:id="37" w:name="_Toc17626_WPSOffice_Level2"/>
      <w:bookmarkStart w:id="38" w:name="_Toc13854_WPSOffice_Level2"/>
      <w:bookmarkStart w:id="39" w:name="_Toc5489_WPSOffice_Level2"/>
      <w:bookmarkStart w:id="40" w:name="_Toc17858_WPSOffice_Level2"/>
      <w:bookmarkStart w:id="41" w:name="_Toc3262_WPSOffice_Level2"/>
      <w:bookmarkStart w:id="42" w:name="_Toc14658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三、支出决算公开表</w:t>
      </w:r>
      <w:bookmarkEnd w:id="37"/>
      <w:bookmarkEnd w:id="38"/>
      <w:bookmarkEnd w:id="39"/>
      <w:bookmarkEnd w:id="40"/>
      <w:bookmarkEnd w:id="41"/>
      <w:bookmarkEnd w:id="42"/>
      <w:bookmarkStart w:id="43" w:name="_Toc23591_WPSOffice_Level2"/>
      <w:bookmarkStart w:id="44" w:name="_Toc7988_WPSOffice_Level2"/>
      <w:bookmarkStart w:id="45" w:name="_Toc4265_WPSOffice_Level2"/>
      <w:bookmarkStart w:id="46" w:name="_Toc13701_WPSOffice_Level2"/>
      <w:bookmarkStart w:id="47" w:name="_Toc23493_WPSOffice_Level2"/>
      <w:bookmarkStart w:id="48" w:name="_Toc21415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color w:val="auto"/>
          <w:sz w:val="32"/>
          <w:szCs w:val="32"/>
        </w:rPr>
      </w:pPr>
      <w:bookmarkStart w:id="49" w:name="_Toc22783_WPSOffice_Level2"/>
      <w:bookmarkStart w:id="50" w:name="_Toc7879_WPSOffice_Level2"/>
      <w:bookmarkStart w:id="51" w:name="_Toc25166_WPSOffice_Level2"/>
      <w:bookmarkStart w:id="52" w:name="_Toc23829_WPSOffice_Level2"/>
      <w:bookmarkStart w:id="53" w:name="_Toc2158_WPSOffice_Level2"/>
      <w:bookmarkStart w:id="54" w:name="_Toc13516_WPSOffice_Level2"/>
      <w:r>
        <w:rPr>
          <w:rFonts w:hint="eastAsia" w:ascii="黑体" w:hAnsi="黑体" w:eastAsia="黑体" w:cs="黑体"/>
          <w:color w:val="auto"/>
          <w:sz w:val="32"/>
          <w:szCs w:val="32"/>
        </w:rPr>
        <w:t>五、一般公共预算财政拨款收入支出决算</w:t>
      </w:r>
      <w:bookmarkEnd w:id="49"/>
      <w:bookmarkEnd w:id="50"/>
      <w:bookmarkEnd w:id="51"/>
      <w:bookmarkEnd w:id="52"/>
      <w:r>
        <w:rPr>
          <w:rFonts w:hint="eastAsia" w:ascii="黑体" w:hAnsi="黑体" w:eastAsia="黑体" w:cs="黑体"/>
          <w:color w:val="auto"/>
          <w:sz w:val="32"/>
          <w:szCs w:val="32"/>
        </w:rPr>
        <w:t>公开表</w:t>
      </w:r>
      <w:bookmarkEnd w:id="53"/>
      <w:bookmarkEnd w:id="54"/>
      <w:bookmarkStart w:id="55" w:name="_Toc25362_WPSOffice_Level2"/>
      <w:bookmarkStart w:id="56" w:name="_Toc2632_WPSOffice_Level2"/>
      <w:bookmarkStart w:id="57" w:name="_Toc17833_WPSOffice_Level2"/>
      <w:bookmarkStart w:id="58" w:name="_Toc5343_WPSOffice_Level2"/>
      <w:bookmarkStart w:id="59" w:name="_Toc8373_WPSOffice_Level2"/>
      <w:bookmarkStart w:id="60" w:name="_Toc17283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bookmarkStart w:id="61" w:name="_Toc21310_WPSOffice_Level2"/>
      <w:bookmarkStart w:id="62" w:name="_Toc13345_WPSOffice_Level2"/>
      <w:bookmarkStart w:id="63" w:name="_Toc6020_WPSOffice_Level2"/>
      <w:bookmarkStart w:id="64" w:name="_Toc11799_WPSOffice_Level2"/>
      <w:bookmarkStart w:id="65" w:name="_Toc5594_WPSOffice_Level2"/>
      <w:bookmarkStart w:id="66" w:name="_Toc1533_WPSOffice_Level2"/>
      <w:r>
        <w:rPr>
          <w:rFonts w:hint="eastAsia" w:ascii="黑体" w:hAnsi="黑体" w:eastAsia="黑体" w:cs="黑体"/>
          <w:color w:val="auto"/>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r>
        <w:rPr>
          <w:rFonts w:hint="eastAsia" w:ascii="黑体" w:hAnsi="黑体" w:eastAsia="黑体" w:cs="黑体"/>
          <w:color w:val="auto"/>
          <w:sz w:val="32"/>
          <w:szCs w:val="32"/>
        </w:rPr>
        <w:t>八、国有资本经营预算财政拨款收入支出决算公开表</w:t>
      </w:r>
    </w:p>
    <w:p>
      <w:pPr>
        <w:spacing w:line="578" w:lineRule="exact"/>
        <w:ind w:firstLine="640"/>
        <w:rPr>
          <w:rFonts w:hint="eastAsia" w:ascii="黑体" w:hAnsi="黑体" w:eastAsia="黑体" w:cs="黑体"/>
          <w:color w:val="auto"/>
          <w:sz w:val="32"/>
          <w:szCs w:val="32"/>
        </w:rPr>
      </w:pPr>
      <w:bookmarkStart w:id="67" w:name="_Toc9377_WPSOffice_Level2"/>
      <w:bookmarkStart w:id="68" w:name="_Toc29886_WPSOffice_Level2"/>
      <w:bookmarkStart w:id="69" w:name="_Toc1820_WPSOffice_Level2"/>
      <w:bookmarkStart w:id="70" w:name="_Toc19961_WPSOffice_Level2"/>
      <w:r>
        <w:rPr>
          <w:rFonts w:hint="eastAsia" w:ascii="黑体" w:hAnsi="黑体" w:eastAsia="黑体" w:cs="黑体"/>
          <w:color w:val="auto"/>
          <w:sz w:val="32"/>
          <w:szCs w:val="32"/>
        </w:rPr>
        <w:t>九、财政拨款“三公”经费支出决算</w:t>
      </w:r>
      <w:bookmarkEnd w:id="67"/>
      <w:bookmarkEnd w:id="68"/>
      <w:bookmarkEnd w:id="69"/>
      <w:bookmarkEnd w:id="70"/>
      <w:r>
        <w:rPr>
          <w:rFonts w:hint="eastAsia" w:ascii="黑体" w:hAnsi="黑体" w:eastAsia="黑体" w:cs="黑体"/>
          <w:color w:val="auto"/>
          <w:sz w:val="32"/>
          <w:szCs w:val="32"/>
        </w:rPr>
        <w:t>公开表</w:t>
      </w:r>
    </w:p>
    <w:p>
      <w:pPr>
        <w:spacing w:line="578" w:lineRule="exact"/>
        <w:ind w:firstLine="640"/>
        <w:rPr>
          <w:rFonts w:hint="eastAsia" w:ascii="仿宋" w:hAnsi="仿宋" w:eastAsia="仿宋" w:cs="仿宋"/>
          <w:color w:val="auto"/>
          <w:w w:val="100"/>
          <w:sz w:val="32"/>
          <w:szCs w:val="32"/>
        </w:rPr>
      </w:pPr>
      <w:r>
        <w:rPr>
          <w:rFonts w:hint="eastAsia" w:ascii="仿宋" w:hAnsi="仿宋" w:eastAsia="仿宋" w:cs="仿宋"/>
          <w:color w:val="auto"/>
          <w:w w:val="100"/>
          <w:sz w:val="32"/>
          <w:szCs w:val="32"/>
        </w:rPr>
        <w:t xml:space="preserve">以上报表见附件1。   </w:t>
      </w:r>
    </w:p>
    <w:p>
      <w:pPr>
        <w:spacing w:line="578" w:lineRule="exact"/>
        <w:rPr>
          <w:rFonts w:hint="eastAsia" w:ascii="黑体" w:hAnsi="黑体" w:eastAsia="黑体" w:cs="黑体"/>
          <w:color w:val="auto"/>
          <w:sz w:val="32"/>
          <w:szCs w:val="32"/>
        </w:rPr>
      </w:pPr>
    </w:p>
    <w:p>
      <w:pPr>
        <w:spacing w:line="578" w:lineRule="exact"/>
        <w:jc w:val="center"/>
        <w:rPr>
          <w:rFonts w:hint="eastAsia" w:ascii="黑体" w:hAnsi="ˎ̥" w:eastAsia="黑体"/>
          <w:color w:val="auto"/>
          <w:sz w:val="32"/>
          <w:szCs w:val="32"/>
        </w:rPr>
      </w:pPr>
      <w:bookmarkStart w:id="71" w:name="_Toc27590_WPSOffice_Level1"/>
      <w:bookmarkStart w:id="72" w:name="_Toc31264_WPSOffice_Level1"/>
      <w:bookmarkStart w:id="73" w:name="_Toc29683_WPSOffice_Level1"/>
      <w:bookmarkStart w:id="74" w:name="_Toc16686_WPSOffice_Level1"/>
      <w:bookmarkStart w:id="75" w:name="_Toc4402_WPSOffice_Level1"/>
      <w:bookmarkStart w:id="76" w:name="_Toc28629_WPSOffice_Level1"/>
      <w:r>
        <w:rPr>
          <w:rFonts w:hint="eastAsia" w:ascii="黑体" w:hAnsi="ˎ̥" w:eastAsia="黑体"/>
          <w:color w:val="auto"/>
          <w:sz w:val="32"/>
          <w:szCs w:val="32"/>
        </w:rPr>
        <w:t xml:space="preserve">第三部分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决算情况说明</w:t>
      </w:r>
      <w:bookmarkEnd w:id="71"/>
      <w:bookmarkEnd w:id="72"/>
      <w:bookmarkEnd w:id="73"/>
      <w:bookmarkEnd w:id="74"/>
      <w:bookmarkEnd w:id="75"/>
      <w:bookmarkEnd w:id="76"/>
    </w:p>
    <w:p>
      <w:pPr>
        <w:spacing w:line="578" w:lineRule="exact"/>
        <w:jc w:val="center"/>
        <w:rPr>
          <w:rFonts w:hint="eastAsia" w:ascii="黑体" w:hAnsi="ˎ̥" w:eastAsia="黑体"/>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1,414.46</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1,414.46</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年度相比，收入、支出总计各减少</w:t>
      </w:r>
      <w:r>
        <w:rPr>
          <w:rFonts w:hint="eastAsia" w:ascii="仿宋_GB2312" w:hAnsi="ˎ̥" w:eastAsia="仿宋_GB2312"/>
          <w:color w:val="auto"/>
          <w:sz w:val="32"/>
          <w:szCs w:val="32"/>
          <w:lang w:val="en-US" w:eastAsia="zh-CN"/>
        </w:rPr>
        <w:t>41.71</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2.8</w:t>
      </w:r>
      <w:r>
        <w:rPr>
          <w:rFonts w:hint="eastAsia" w:ascii="仿宋_GB2312" w:hAnsi="ˎ̥" w:eastAsia="仿宋_GB2312"/>
          <w:color w:val="auto"/>
          <w:sz w:val="32"/>
          <w:szCs w:val="32"/>
        </w:rPr>
        <w:t>%。主要原因：</w:t>
      </w:r>
      <w:r>
        <w:rPr>
          <w:rFonts w:ascii="仿宋_GB2312" w:hAnsi="ˎ̥" w:eastAsia="仿宋_GB2312" w:cs="仿宋_GB2312"/>
          <w:color w:val="auto"/>
          <w:sz w:val="32"/>
          <w:szCs w:val="32"/>
        </w:rPr>
        <w:t>一是20</w:t>
      </w:r>
      <w:r>
        <w:rPr>
          <w:rFonts w:hint="eastAsia" w:ascii="仿宋_GB2312" w:hAnsi="ˎ̥" w:eastAsia="仿宋_GB2312" w:cs="仿宋_GB2312"/>
          <w:color w:val="auto"/>
          <w:sz w:val="32"/>
          <w:szCs w:val="32"/>
        </w:rPr>
        <w:t>2</w:t>
      </w:r>
      <w:r>
        <w:rPr>
          <w:rFonts w:hint="eastAsia" w:ascii="仿宋_GB2312" w:hAnsi="ˎ̥" w:eastAsia="仿宋_GB2312" w:cs="仿宋_GB2312"/>
          <w:color w:val="auto"/>
          <w:sz w:val="32"/>
          <w:szCs w:val="32"/>
          <w:lang w:val="en-US" w:eastAsia="zh-CN"/>
        </w:rPr>
        <w:t>3</w:t>
      </w:r>
      <w:r>
        <w:rPr>
          <w:rFonts w:hint="eastAsia" w:ascii="仿宋_GB2312" w:hAnsi="ˎ̥" w:eastAsia="仿宋_GB2312" w:cs="仿宋_GB2312"/>
          <w:color w:val="auto"/>
          <w:sz w:val="32"/>
          <w:szCs w:val="32"/>
        </w:rPr>
        <w:t>年末人员基本工资进行了调整</w:t>
      </w:r>
      <w:r>
        <w:rPr>
          <w:rFonts w:ascii="仿宋_GB2312" w:hAnsi="ˎ̥" w:eastAsia="仿宋_GB2312" w:cs="仿宋_GB2312"/>
          <w:color w:val="auto"/>
          <w:sz w:val="32"/>
          <w:szCs w:val="32"/>
        </w:rPr>
        <w:t>；二是</w:t>
      </w:r>
      <w:r>
        <w:rPr>
          <w:rFonts w:hint="eastAsia" w:ascii="仿宋_GB2312" w:hAnsi="ˎ̥" w:eastAsia="仿宋_GB2312" w:cs="仿宋_GB2312"/>
          <w:color w:val="auto"/>
          <w:sz w:val="32"/>
          <w:szCs w:val="32"/>
          <w:lang w:eastAsia="zh-CN"/>
        </w:rPr>
        <w:t>新增三名特岗教师转正，经费增加</w:t>
      </w:r>
      <w:r>
        <w:rPr>
          <w:rFonts w:ascii="仿宋_GB2312" w:hAnsi="ˎ̥"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1,411.64</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万元，主要原因是</w:t>
      </w:r>
      <w:r>
        <w:rPr>
          <w:rFonts w:hint="eastAsia" w:ascii="仿宋_GB2312" w:hAnsi="ˎ̥" w:eastAsia="仿宋_GB2312" w:cs="仿宋_GB2312"/>
          <w:color w:val="auto"/>
          <w:sz w:val="32"/>
          <w:szCs w:val="32"/>
        </w:rPr>
        <w:t>没有非财政拨款结余经费</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2.82</w:t>
      </w:r>
      <w:r>
        <w:rPr>
          <w:rFonts w:hint="eastAsia" w:ascii="仿宋_GB2312" w:hAnsi="ˎ̥" w:eastAsia="仿宋_GB2312"/>
          <w:color w:val="auto"/>
          <w:sz w:val="32"/>
          <w:szCs w:val="32"/>
        </w:rPr>
        <w:t>万元，主要是</w:t>
      </w:r>
      <w:r>
        <w:rPr>
          <w:rFonts w:hint="eastAsia" w:ascii="仿宋_GB2312" w:hAnsi="ˎ̥" w:eastAsia="仿宋_GB2312" w:cs="仿宋_GB2312"/>
          <w:color w:val="auto"/>
          <w:sz w:val="32"/>
          <w:szCs w:val="32"/>
        </w:rPr>
        <w:t>项目资金结清后所剩余额</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1.79</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38.8</w:t>
      </w:r>
      <w:r>
        <w:rPr>
          <w:rFonts w:hint="eastAsia" w:ascii="仿宋_GB2312" w:hAnsi="ˎ̥" w:eastAsia="仿宋_GB2312"/>
          <w:color w:val="auto"/>
          <w:sz w:val="32"/>
          <w:szCs w:val="32"/>
        </w:rPr>
        <w:t>%，主要原因</w:t>
      </w:r>
      <w:r>
        <w:rPr>
          <w:rFonts w:ascii="仿宋_GB2312" w:hAnsi="ˎ̥" w:eastAsia="仿宋_GB2312" w:cs="仿宋_GB2312"/>
          <w:color w:val="auto"/>
          <w:sz w:val="32"/>
          <w:szCs w:val="32"/>
        </w:rPr>
        <w:t>是</w:t>
      </w:r>
      <w:r>
        <w:rPr>
          <w:rFonts w:hint="eastAsia" w:ascii="仿宋_GB2312" w:hAnsi="ˎ̥" w:eastAsia="仿宋_GB2312" w:cs="仿宋_GB2312"/>
          <w:color w:val="auto"/>
          <w:sz w:val="32"/>
          <w:szCs w:val="32"/>
        </w:rPr>
        <w:t>项目计划预算得当，与结算金额出入小</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1,411.38</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0.10</w:t>
      </w:r>
      <w:r>
        <w:rPr>
          <w:rFonts w:hint="eastAsia" w:ascii="仿宋_GB2312" w:hAnsi="ˎ̥" w:eastAsia="仿宋_GB2312"/>
          <w:color w:val="auto"/>
          <w:sz w:val="32"/>
          <w:szCs w:val="32"/>
        </w:rPr>
        <w:t>万元，主要是</w:t>
      </w:r>
      <w:r>
        <w:rPr>
          <w:rFonts w:hint="eastAsia" w:ascii="仿宋_GB2312" w:hAnsi="ˎ̥" w:eastAsia="仿宋_GB2312" w:cs="仿宋_GB2312"/>
          <w:color w:val="auto"/>
          <w:sz w:val="32"/>
          <w:szCs w:val="32"/>
        </w:rPr>
        <w:t>学生生均经费和学校维修项目结余，国库收回</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0.04</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28.5</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财政封户，经费无法及时支出</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2.99</w:t>
      </w:r>
      <w:r>
        <w:rPr>
          <w:rFonts w:hint="eastAsia" w:ascii="仿宋_GB2312" w:hAnsi="ˎ̥" w:eastAsia="仿宋_GB2312"/>
          <w:color w:val="auto"/>
          <w:sz w:val="32"/>
          <w:szCs w:val="32"/>
        </w:rPr>
        <w:t>万元，主要是</w:t>
      </w:r>
      <w:r>
        <w:rPr>
          <w:rFonts w:hint="eastAsia" w:ascii="仿宋_GB2312" w:hAnsi="ˎ̥" w:eastAsia="仿宋_GB2312" w:cs="仿宋_GB2312"/>
          <w:color w:val="auto"/>
          <w:sz w:val="32"/>
          <w:szCs w:val="32"/>
        </w:rPr>
        <w:t>学生生均经费及残疾生经费结转</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0.17</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6</w:t>
      </w:r>
      <w:r>
        <w:rPr>
          <w:rFonts w:hint="eastAsia" w:ascii="仿宋_GB2312" w:hAnsi="ˎ̥" w:eastAsia="仿宋_GB2312"/>
          <w:color w:val="auto"/>
          <w:sz w:val="32"/>
          <w:szCs w:val="32"/>
        </w:rPr>
        <w:t>%，主要原因是</w:t>
      </w:r>
      <w:r>
        <w:rPr>
          <w:rFonts w:hint="eastAsia" w:ascii="仿宋_GB2312" w:hAnsi="ˎ̥" w:eastAsia="仿宋_GB2312" w:cs="仿宋_GB2312"/>
          <w:color w:val="auto"/>
          <w:sz w:val="32"/>
          <w:szCs w:val="32"/>
        </w:rPr>
        <w:t>年末财政国库经费紧张，提前封户，导致经费无法报销使用</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年度相关决算数据可取自附件财决公开01、02</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03</w:t>
      </w:r>
      <w:r>
        <w:rPr>
          <w:rFonts w:hint="eastAsia" w:ascii="仿宋_GB2312" w:hAnsi="ˎ̥" w:eastAsia="仿宋_GB2312"/>
          <w:color w:val="auto"/>
          <w:sz w:val="32"/>
          <w:szCs w:val="32"/>
        </w:rPr>
        <w:t>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年度相关决算数据可取自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决算报表财决01表《收入支出决算总表》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1,411.64</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1,393.05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98.7</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18.60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1.3</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eastAsia" w:ascii="仿宋_GB2312" w:hAnsi="ˎ̥" w:eastAsia="仿宋_GB2312"/>
          <w:color w:val="auto"/>
          <w:sz w:val="32"/>
          <w:szCs w:val="32"/>
        </w:rPr>
        <w:t>上述各项收入数可取自财决公开02表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1,411.38</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1,279.96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90.7</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131.42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9.3</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上述各项支出数可取自财决公开03表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1,393.05</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1,393.05</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44.32</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%，主要原因：</w:t>
      </w:r>
      <w:r>
        <w:rPr>
          <w:rFonts w:ascii="仿宋_GB2312" w:hAnsi="ˎ̥" w:eastAsia="仿宋_GB2312" w:cs="仿宋_GB2312"/>
          <w:color w:val="auto"/>
          <w:sz w:val="32"/>
          <w:szCs w:val="32"/>
        </w:rPr>
        <w:t>20</w:t>
      </w:r>
      <w:r>
        <w:rPr>
          <w:rFonts w:hint="eastAsia" w:ascii="仿宋_GB2312" w:hAnsi="ˎ̥" w:eastAsia="仿宋_GB2312" w:cs="仿宋_GB2312"/>
          <w:color w:val="auto"/>
          <w:sz w:val="32"/>
          <w:szCs w:val="32"/>
        </w:rPr>
        <w:t>2</w:t>
      </w:r>
      <w:r>
        <w:rPr>
          <w:rFonts w:hint="eastAsia" w:ascii="仿宋_GB2312" w:hAnsi="ˎ̥" w:eastAsia="仿宋_GB2312" w:cs="仿宋_GB2312"/>
          <w:color w:val="auto"/>
          <w:sz w:val="32"/>
          <w:szCs w:val="32"/>
          <w:lang w:val="en-US" w:eastAsia="zh-CN"/>
        </w:rPr>
        <w:t>3</w:t>
      </w:r>
      <w:r>
        <w:rPr>
          <w:rFonts w:hint="eastAsia" w:ascii="仿宋_GB2312" w:hAnsi="ˎ̥" w:eastAsia="仿宋_GB2312" w:cs="仿宋_GB2312"/>
          <w:color w:val="auto"/>
          <w:sz w:val="32"/>
          <w:szCs w:val="32"/>
        </w:rPr>
        <w:t>年年末人员基本工资进行了调整</w:t>
      </w:r>
      <w:r>
        <w:rPr>
          <w:rFonts w:ascii="仿宋_GB2312" w:hAnsi="ˎ̥" w:eastAsia="仿宋_GB2312" w:cs="仿宋_GB2312"/>
          <w:color w:val="auto"/>
          <w:sz w:val="32"/>
          <w:szCs w:val="32"/>
        </w:rPr>
        <w:t>；二是</w:t>
      </w:r>
      <w:r>
        <w:rPr>
          <w:rFonts w:hint="eastAsia" w:ascii="仿宋_GB2312" w:hAnsi="ˎ̥" w:eastAsia="仿宋_GB2312" w:cs="仿宋_GB2312"/>
          <w:color w:val="auto"/>
          <w:sz w:val="32"/>
          <w:szCs w:val="32"/>
        </w:rPr>
        <w:t>学校</w:t>
      </w:r>
      <w:r>
        <w:rPr>
          <w:rFonts w:hint="eastAsia" w:ascii="仿宋_GB2312" w:hAnsi="ˎ̥" w:eastAsia="仿宋_GB2312" w:cs="仿宋_GB2312"/>
          <w:color w:val="auto"/>
          <w:sz w:val="32"/>
          <w:szCs w:val="32"/>
          <w:lang w:eastAsia="zh-CN"/>
        </w:rPr>
        <w:t>特岗教师转正</w:t>
      </w:r>
      <w:r>
        <w:rPr>
          <w:rFonts w:hint="eastAsia" w:ascii="仿宋_GB2312" w:hAnsi="ˎ̥" w:eastAsia="仿宋_GB2312"/>
          <w:color w:val="auto"/>
          <w:sz w:val="32"/>
          <w:szCs w:val="32"/>
        </w:rPr>
        <w:t>。支出减少</w:t>
      </w:r>
      <w:r>
        <w:rPr>
          <w:rFonts w:hint="eastAsia" w:ascii="仿宋_GB2312" w:hAnsi="ˎ̥" w:eastAsia="仿宋_GB2312"/>
          <w:color w:val="auto"/>
          <w:sz w:val="32"/>
          <w:szCs w:val="32"/>
          <w:lang w:val="en-US" w:eastAsia="zh-CN"/>
        </w:rPr>
        <w:t>44.32</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%，主要原因：</w:t>
      </w:r>
      <w:r>
        <w:rPr>
          <w:rFonts w:ascii="仿宋_GB2312" w:hAnsi="ˎ̥" w:eastAsia="仿宋_GB2312" w:cs="仿宋_GB2312"/>
          <w:color w:val="auto"/>
          <w:sz w:val="32"/>
          <w:szCs w:val="32"/>
        </w:rPr>
        <w:t>20</w:t>
      </w:r>
      <w:r>
        <w:rPr>
          <w:rFonts w:hint="eastAsia" w:ascii="仿宋_GB2312" w:hAnsi="ˎ̥" w:eastAsia="仿宋_GB2312" w:cs="仿宋_GB2312"/>
          <w:color w:val="auto"/>
          <w:sz w:val="32"/>
          <w:szCs w:val="32"/>
        </w:rPr>
        <w:t>2</w:t>
      </w:r>
      <w:r>
        <w:rPr>
          <w:rFonts w:hint="eastAsia" w:ascii="仿宋_GB2312" w:hAnsi="ˎ̥" w:eastAsia="仿宋_GB2312" w:cs="仿宋_GB2312"/>
          <w:color w:val="auto"/>
          <w:sz w:val="32"/>
          <w:szCs w:val="32"/>
          <w:lang w:val="en-US" w:eastAsia="zh-CN"/>
        </w:rPr>
        <w:t>3</w:t>
      </w:r>
      <w:r>
        <w:rPr>
          <w:rFonts w:hint="eastAsia" w:ascii="仿宋_GB2312" w:hAnsi="ˎ̥" w:eastAsia="仿宋_GB2312" w:cs="仿宋_GB2312"/>
          <w:color w:val="auto"/>
          <w:sz w:val="32"/>
          <w:szCs w:val="32"/>
        </w:rPr>
        <w:t>年年末人员基本工资进行了调整</w:t>
      </w:r>
      <w:r>
        <w:rPr>
          <w:rFonts w:ascii="仿宋_GB2312" w:hAnsi="ˎ̥" w:eastAsia="仿宋_GB2312" w:cs="仿宋_GB2312"/>
          <w:color w:val="auto"/>
          <w:sz w:val="32"/>
          <w:szCs w:val="32"/>
        </w:rPr>
        <w:t>；二是</w:t>
      </w:r>
      <w:r>
        <w:rPr>
          <w:rFonts w:hint="eastAsia" w:ascii="仿宋_GB2312" w:hAnsi="ˎ̥" w:eastAsia="仿宋_GB2312" w:cs="仿宋_GB2312"/>
          <w:color w:val="auto"/>
          <w:sz w:val="32"/>
          <w:szCs w:val="32"/>
        </w:rPr>
        <w:t>学校</w:t>
      </w:r>
      <w:r>
        <w:rPr>
          <w:rFonts w:hint="eastAsia" w:ascii="仿宋_GB2312" w:hAnsi="ˎ̥" w:eastAsia="仿宋_GB2312" w:cs="仿宋_GB2312"/>
          <w:color w:val="auto"/>
          <w:sz w:val="32"/>
          <w:szCs w:val="32"/>
          <w:lang w:eastAsia="zh-CN"/>
        </w:rPr>
        <w:t>特岗教师转正</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eastAsia="zh-CN"/>
        </w:rPr>
        <w:t>无结余经费</w:t>
      </w:r>
      <w:r>
        <w:rPr>
          <w:rFonts w:hint="eastAsia" w:ascii="仿宋_GB2312" w:hAnsi="ˎ̥" w:eastAsia="仿宋_GB2312"/>
          <w:color w:val="auto"/>
          <w:sz w:val="32"/>
          <w:szCs w:val="32"/>
        </w:rPr>
        <w:t>，较202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无结余经费</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eastAsia="zh-CN"/>
        </w:rPr>
        <w:t>无结余经费</w:t>
      </w:r>
      <w:r>
        <w:rPr>
          <w:rFonts w:hint="eastAsia" w:ascii="仿宋_GB2312" w:hAnsi="ˎ̥" w:eastAsia="仿宋_GB2312"/>
          <w:color w:val="auto"/>
          <w:sz w:val="32"/>
          <w:szCs w:val="32"/>
        </w:rPr>
        <w:t>，较202</w:t>
      </w: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年度决算数增加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无结余经费</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年度决算相关数据可取自财决公开04表。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年度决算相关数据可取自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决算报表财决01-1表《财政拨款收入支出决算总表》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7" w:name="_Toc19665_WPSOffice_Level2"/>
      <w:bookmarkStart w:id="78" w:name="_Toc23005_WPSOffice_Level2"/>
      <w:bookmarkStart w:id="79" w:name="_Toc13694_WPSOffice_Level2"/>
      <w:bookmarkStart w:id="80" w:name="_Toc17398_WPSOffice_Level2"/>
      <w:bookmarkStart w:id="81" w:name="_Toc21737_WPSOffice_Level2"/>
      <w:bookmarkStart w:id="82" w:name="_Toc9989_WPSOffice_Level2"/>
      <w:r>
        <w:rPr>
          <w:rFonts w:hint="eastAsia" w:ascii="楷体" w:hAnsi="楷体" w:eastAsia="楷体" w:cs="楷体"/>
          <w:color w:val="auto"/>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1,393.05</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98.5</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年度相比，一般公共预算财政拨款支出减少</w:t>
      </w:r>
      <w:r>
        <w:rPr>
          <w:rFonts w:hint="eastAsia" w:ascii="仿宋_GB2312" w:hAnsi="ˎ̥" w:eastAsia="仿宋_GB2312"/>
          <w:color w:val="auto"/>
          <w:sz w:val="32"/>
          <w:szCs w:val="32"/>
          <w:lang w:val="en-US" w:eastAsia="zh-CN"/>
        </w:rPr>
        <w:t>44.32</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3.2</w:t>
      </w:r>
      <w:r>
        <w:rPr>
          <w:rFonts w:hint="eastAsia" w:ascii="仿宋_GB2312" w:hAnsi="ˎ̥" w:eastAsia="仿宋_GB2312"/>
          <w:color w:val="auto"/>
          <w:sz w:val="32"/>
          <w:szCs w:val="32"/>
        </w:rPr>
        <w:t>%，主要原因是</w:t>
      </w:r>
      <w:r>
        <w:rPr>
          <w:rFonts w:ascii="仿宋_GB2312" w:hAnsi="ˎ̥" w:eastAsia="仿宋_GB2312" w:cs="仿宋_GB2312"/>
          <w:color w:val="auto"/>
          <w:sz w:val="32"/>
          <w:szCs w:val="32"/>
        </w:rPr>
        <w:t>20</w:t>
      </w:r>
      <w:r>
        <w:rPr>
          <w:rFonts w:hint="eastAsia" w:ascii="仿宋_GB2312" w:hAnsi="ˎ̥" w:eastAsia="仿宋_GB2312" w:cs="仿宋_GB2312"/>
          <w:color w:val="auto"/>
          <w:sz w:val="32"/>
          <w:szCs w:val="32"/>
        </w:rPr>
        <w:t>2</w:t>
      </w:r>
      <w:r>
        <w:rPr>
          <w:rFonts w:hint="eastAsia" w:ascii="仿宋_GB2312" w:hAnsi="ˎ̥" w:eastAsia="仿宋_GB2312" w:cs="仿宋_GB2312"/>
          <w:color w:val="auto"/>
          <w:sz w:val="32"/>
          <w:szCs w:val="32"/>
          <w:lang w:val="en-US" w:eastAsia="zh-CN"/>
        </w:rPr>
        <w:t>3</w:t>
      </w:r>
      <w:r>
        <w:rPr>
          <w:rFonts w:hint="eastAsia" w:ascii="仿宋_GB2312" w:hAnsi="ˎ̥" w:eastAsia="仿宋_GB2312" w:cs="仿宋_GB2312"/>
          <w:color w:val="auto"/>
          <w:sz w:val="32"/>
          <w:szCs w:val="32"/>
        </w:rPr>
        <w:t>年年末人员基本工资进行了调整</w:t>
      </w:r>
      <w:r>
        <w:rPr>
          <w:rFonts w:ascii="仿宋_GB2312" w:hAnsi="ˎ̥" w:eastAsia="仿宋_GB2312" w:cs="仿宋_GB2312"/>
          <w:color w:val="auto"/>
          <w:sz w:val="32"/>
          <w:szCs w:val="32"/>
        </w:rPr>
        <w:t>；二是</w:t>
      </w:r>
      <w:r>
        <w:rPr>
          <w:rFonts w:hint="eastAsia" w:ascii="仿宋_GB2312" w:hAnsi="ˎ̥" w:eastAsia="仿宋_GB2312" w:cs="仿宋_GB2312"/>
          <w:color w:val="auto"/>
          <w:sz w:val="32"/>
          <w:szCs w:val="32"/>
        </w:rPr>
        <w:t>学校</w:t>
      </w:r>
      <w:r>
        <w:rPr>
          <w:rFonts w:hint="eastAsia" w:ascii="仿宋_GB2312" w:hAnsi="ˎ̥" w:eastAsia="仿宋_GB2312" w:cs="仿宋_GB2312"/>
          <w:color w:val="auto"/>
          <w:sz w:val="32"/>
          <w:szCs w:val="32"/>
          <w:lang w:eastAsia="zh-CN"/>
        </w:rPr>
        <w:t>特岗教师转正</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3" w:name="_Toc27767_WPSOffice_Level2"/>
      <w:bookmarkStart w:id="84" w:name="_Toc18793_WPSOffice_Level2"/>
      <w:bookmarkStart w:id="85" w:name="_Toc19535_WPSOffice_Level2"/>
      <w:bookmarkStart w:id="86" w:name="_Toc19075_WPSOffice_Level2"/>
      <w:bookmarkStart w:id="87" w:name="_Toc2711_WPSOffice_Level2"/>
      <w:bookmarkStart w:id="88" w:name="_Toc23864_WPSOffice_Level2"/>
      <w:r>
        <w:rPr>
          <w:rFonts w:hint="eastAsia" w:ascii="楷体" w:hAnsi="楷体" w:eastAsia="楷体" w:cs="楷体"/>
          <w:color w:val="auto"/>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1,393.05</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0.93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0.06</w:t>
      </w:r>
      <w:r>
        <w:rPr>
          <w:rFonts w:hint="eastAsia" w:ascii="仿宋_GB2312" w:hAnsi="ˎ̥" w:eastAsia="仿宋_GB2312"/>
          <w:color w:val="auto"/>
          <w:sz w:val="32"/>
          <w:szCs w:val="32"/>
        </w:rPr>
        <w:t>%；</w:t>
      </w:r>
      <w:r>
        <w:rPr>
          <w:rFonts w:hint="eastAsia" w:ascii="仿宋_GB2312" w:hAnsi="ˎ̥" w:eastAsia="仿宋_GB2312"/>
          <w:b/>
          <w:color w:val="auto"/>
          <w:sz w:val="32"/>
          <w:szCs w:val="32"/>
        </w:rPr>
        <w:t>教育支出</w:t>
      </w:r>
      <w:r>
        <w:rPr>
          <w:rFonts w:hint="eastAsia" w:ascii="仿宋_GB2312" w:hAnsi="ˎ̥" w:eastAsia="仿宋_GB2312"/>
          <w:b/>
          <w:color w:val="auto"/>
          <w:sz w:val="32"/>
          <w:szCs w:val="32"/>
          <w:lang w:eastAsia="zh-CN"/>
        </w:rPr>
        <w:t>（类）</w:t>
      </w:r>
      <w:r>
        <w:rPr>
          <w:rFonts w:hint="eastAsia" w:ascii="仿宋_GB2312" w:hAnsi="ˎ̥" w:eastAsia="仿宋_GB2312"/>
          <w:color w:val="auto"/>
          <w:sz w:val="32"/>
          <w:szCs w:val="32"/>
          <w:lang w:eastAsia="zh-CN"/>
        </w:rPr>
        <w:t>支出</w:t>
      </w:r>
      <w:r>
        <w:rPr>
          <w:rFonts w:hint="default" w:ascii="仿宋_GB2312" w:hAnsi="ˎ̥" w:eastAsia="仿宋_GB2312"/>
          <w:color w:val="auto"/>
          <w:sz w:val="32"/>
          <w:szCs w:val="32"/>
          <w:lang w:val="en-US"/>
        </w:rPr>
        <w:t>972.31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69.8</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168.76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12.1</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91.89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6.6</w:t>
      </w:r>
      <w:r>
        <w:rPr>
          <w:rFonts w:hint="eastAsia" w:ascii="仿宋_GB2312" w:hAnsi="ˎ̥" w:eastAsia="仿宋_GB2312"/>
          <w:color w:val="auto"/>
          <w:sz w:val="32"/>
          <w:szCs w:val="32"/>
        </w:rPr>
        <w:t>%；</w:t>
      </w:r>
      <w:r>
        <w:rPr>
          <w:rFonts w:hint="eastAsia" w:ascii="仿宋_GB2312" w:hAnsi="ˎ̥" w:eastAsia="仿宋_GB2312"/>
          <w:b/>
          <w:color w:val="auto"/>
          <w:sz w:val="32"/>
          <w:szCs w:val="32"/>
        </w:rPr>
        <w:t>抚恤</w:t>
      </w:r>
      <w:r>
        <w:rPr>
          <w:rFonts w:hint="eastAsia" w:ascii="仿宋_GB2312" w:hAnsi="ˎ̥" w:eastAsia="仿宋_GB2312"/>
          <w:b/>
          <w:color w:val="auto"/>
          <w:sz w:val="32"/>
          <w:szCs w:val="32"/>
          <w:lang w:eastAsia="zh-CN"/>
        </w:rPr>
        <w:t>（类）</w:t>
      </w:r>
      <w:r>
        <w:rPr>
          <w:rFonts w:hint="eastAsia" w:ascii="仿宋_GB2312" w:hAnsi="ˎ̥" w:eastAsia="仿宋_GB2312"/>
          <w:color w:val="auto"/>
          <w:sz w:val="32"/>
          <w:szCs w:val="32"/>
          <w:lang w:eastAsia="zh-CN"/>
        </w:rPr>
        <w:t>支出</w:t>
      </w:r>
      <w:r>
        <w:rPr>
          <w:rFonts w:hint="default" w:ascii="仿宋_GB2312" w:hAnsi="ˎ̥" w:eastAsia="仿宋_GB2312"/>
          <w:color w:val="auto"/>
          <w:sz w:val="32"/>
          <w:szCs w:val="32"/>
          <w:lang w:val="en-US"/>
        </w:rPr>
        <w:t>4.90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0.04</w:t>
      </w:r>
      <w:r>
        <w:rPr>
          <w:rFonts w:hint="eastAsia" w:ascii="仿宋_GB2312" w:hAnsi="ˎ̥" w:eastAsia="仿宋_GB2312"/>
          <w:color w:val="auto"/>
          <w:sz w:val="32"/>
          <w:szCs w:val="32"/>
        </w:rPr>
        <w:t>%；</w:t>
      </w:r>
      <w:r>
        <w:rPr>
          <w:rFonts w:hint="eastAsia" w:ascii="仿宋_GB2312" w:hAnsi="ˎ̥" w:eastAsia="仿宋_GB2312"/>
          <w:b/>
          <w:color w:val="auto"/>
          <w:sz w:val="32"/>
          <w:szCs w:val="32"/>
        </w:rPr>
        <w:t>卫生健康支出</w:t>
      </w:r>
      <w:r>
        <w:rPr>
          <w:rFonts w:hint="eastAsia" w:ascii="仿宋_GB2312" w:hAnsi="ˎ̥" w:eastAsia="仿宋_GB2312"/>
          <w:b/>
          <w:color w:val="auto"/>
          <w:sz w:val="32"/>
          <w:szCs w:val="32"/>
          <w:lang w:eastAsia="zh-CN"/>
        </w:rPr>
        <w:t>（类）</w:t>
      </w:r>
      <w:r>
        <w:rPr>
          <w:rFonts w:hint="eastAsia" w:ascii="仿宋_GB2312" w:hAnsi="ˎ̥" w:eastAsia="仿宋_GB2312"/>
          <w:color w:val="auto"/>
          <w:sz w:val="32"/>
          <w:szCs w:val="32"/>
          <w:lang w:eastAsia="zh-CN"/>
        </w:rPr>
        <w:t>支出</w:t>
      </w:r>
      <w:r>
        <w:rPr>
          <w:rFonts w:hint="default" w:ascii="仿宋_GB2312" w:hAnsi="ˎ̥" w:eastAsia="仿宋_GB2312"/>
          <w:color w:val="auto"/>
          <w:sz w:val="32"/>
          <w:szCs w:val="32"/>
          <w:lang w:val="en-US"/>
        </w:rPr>
        <w:t>159.15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11.4</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9" w:name="_Toc25136_WPSOffice_Level2"/>
      <w:bookmarkStart w:id="90" w:name="_Toc9502_WPSOffice_Level2"/>
      <w:bookmarkStart w:id="91" w:name="_Toc15415_WPSOffice_Level2"/>
      <w:bookmarkStart w:id="92" w:name="_Toc21701_WPSOffice_Level2"/>
      <w:bookmarkStart w:id="93" w:name="_Toc22318_WPSOffice_Level2"/>
      <w:bookmarkStart w:id="94" w:name="_Toc29364_WPSOffice_Level2"/>
      <w:r>
        <w:rPr>
          <w:rFonts w:hint="eastAsia" w:ascii="楷体" w:hAnsi="楷体" w:eastAsia="楷体" w:cs="楷体"/>
          <w:color w:val="auto"/>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黑体" w:eastAsia="仿宋_GB2312" w:cs="仿宋_GB2312"/>
          <w:color w:val="auto"/>
          <w:sz w:val="32"/>
          <w:szCs w:val="32"/>
        </w:rPr>
        <w:t>1,308.03</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1,393.05</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106.5</w:t>
      </w:r>
      <w:r>
        <w:rPr>
          <w:rFonts w:hint="eastAsia" w:ascii="仿宋_GB2312" w:hAnsi="ˎ̥" w:eastAsia="仿宋_GB2312"/>
          <w:color w:val="auto"/>
          <w:sz w:val="32"/>
          <w:szCs w:val="32"/>
        </w:rPr>
        <w:t>%。其中：</w:t>
      </w:r>
    </w:p>
    <w:p>
      <w:pPr>
        <w:spacing w:line="578" w:lineRule="exact"/>
        <w:ind w:firstLine="640" w:firstLineChars="200"/>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b/>
          <w:color w:val="auto"/>
          <w:sz w:val="32"/>
          <w:szCs w:val="32"/>
        </w:rPr>
        <w:t>一般公共服务（类）人大事务（款）行政运行（项）。</w:t>
      </w:r>
    </w:p>
    <w:p>
      <w:pPr>
        <w:spacing w:line="578" w:lineRule="exact"/>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0.93</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0.93</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等</w:t>
      </w:r>
      <w:r>
        <w:rPr>
          <w:rFonts w:hint="eastAsia" w:ascii="仿宋_GB2312" w:hAnsi="ˎ̥" w:eastAsia="仿宋_GB2312"/>
          <w:color w:val="auto"/>
          <w:sz w:val="32"/>
          <w:szCs w:val="32"/>
        </w:rPr>
        <w:t>于预算数的主要原因：</w:t>
      </w:r>
      <w:r>
        <w:rPr>
          <w:rFonts w:hint="eastAsia" w:ascii="仿宋_GB2312" w:hAnsi="ˎ̥" w:eastAsia="仿宋_GB2312"/>
          <w:color w:val="auto"/>
          <w:sz w:val="32"/>
          <w:szCs w:val="32"/>
          <w:lang w:eastAsia="zh-CN"/>
        </w:rPr>
        <w:t>退休党员经费符合年初预算</w:t>
      </w:r>
      <w:r>
        <w:rPr>
          <w:rFonts w:hint="eastAsia" w:ascii="仿宋_GB2312" w:hAnsi="ˎ̥" w:eastAsia="仿宋_GB2312"/>
          <w:color w:val="auto"/>
          <w:sz w:val="32"/>
          <w:szCs w:val="32"/>
        </w:rPr>
        <w:t>。</w:t>
      </w:r>
    </w:p>
    <w:p>
      <w:pPr>
        <w:spacing w:line="578" w:lineRule="exact"/>
        <w:ind w:firstLine="640" w:firstLineChars="200"/>
        <w:rPr>
          <w:rFonts w:hint="eastAsia" w:ascii="仿宋_GB2312" w:hAnsi="ˎ̥" w:eastAsia="仿宋_GB2312"/>
          <w:b/>
          <w:color w:val="auto"/>
          <w:sz w:val="32"/>
          <w:szCs w:val="32"/>
        </w:rPr>
      </w:pPr>
      <w:r>
        <w:rPr>
          <w:rFonts w:hint="eastAsia" w:ascii="仿宋_GB2312" w:hAnsi="ˎ̥" w:eastAsia="仿宋_GB2312"/>
          <w:color w:val="auto"/>
          <w:sz w:val="32"/>
          <w:szCs w:val="32"/>
        </w:rPr>
        <w:t>2.</w:t>
      </w:r>
      <w:r>
        <w:rPr>
          <w:rFonts w:hint="eastAsia" w:ascii="仿宋_GB2312" w:hAnsi="黑体" w:eastAsia="仿宋_GB2312" w:cs="仿宋_GB2312"/>
          <w:color w:val="auto"/>
          <w:sz w:val="32"/>
          <w:szCs w:val="32"/>
        </w:rPr>
        <w:t>教育支出（类）普通教育（款）小学教育（项）</w:t>
      </w:r>
      <w:r>
        <w:rPr>
          <w:rFonts w:ascii="仿宋_GB2312" w:hAnsi="黑体" w:eastAsia="仿宋_GB2312" w:cs="仿宋_GB2312"/>
          <w:color w:val="auto"/>
          <w:sz w:val="32"/>
          <w:szCs w:val="32"/>
        </w:rPr>
        <w:t>20</w:t>
      </w:r>
      <w:r>
        <w:rPr>
          <w:rFonts w:hint="eastAsia" w:ascii="仿宋_GB2312" w:hAnsi="黑体" w:eastAsia="仿宋_GB2312" w:cs="仿宋_GB2312"/>
          <w:color w:val="auto"/>
          <w:sz w:val="32"/>
          <w:szCs w:val="32"/>
        </w:rPr>
        <w:t>2</w:t>
      </w:r>
      <w:r>
        <w:rPr>
          <w:rFonts w:hint="eastAsia" w:ascii="仿宋_GB2312" w:hAnsi="黑体" w:eastAsia="仿宋_GB2312" w:cs="仿宋_GB2312"/>
          <w:color w:val="auto"/>
          <w:sz w:val="32"/>
          <w:szCs w:val="32"/>
          <w:lang w:val="en-US" w:eastAsia="zh-CN"/>
        </w:rPr>
        <w:t>4</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rPr>
        <w:t>875.30</w:t>
      </w:r>
      <w:r>
        <w:rPr>
          <w:rFonts w:hint="eastAsia" w:ascii="仿宋_GB2312" w:hAnsi="黑体" w:eastAsia="仿宋_GB2312"/>
          <w:color w:val="auto"/>
          <w:sz w:val="32"/>
          <w:szCs w:val="32"/>
        </w:rPr>
        <w:t>万元</w:t>
      </w:r>
      <w:r>
        <w:rPr>
          <w:rFonts w:hint="eastAsia" w:ascii="仿宋_GB2312" w:hAnsi="ˎ̥" w:eastAsia="仿宋_GB2312"/>
          <w:color w:val="auto"/>
          <w:sz w:val="32"/>
          <w:szCs w:val="32"/>
        </w:rPr>
        <w:t>，支出决算为972.31万元，完成年初预算的</w:t>
      </w:r>
      <w:r>
        <w:rPr>
          <w:rFonts w:hint="eastAsia" w:ascii="仿宋_GB2312" w:hAnsi="ˎ̥" w:eastAsia="仿宋_GB2312"/>
          <w:color w:val="auto"/>
          <w:sz w:val="32"/>
          <w:szCs w:val="32"/>
          <w:lang w:val="en-US" w:eastAsia="zh-CN"/>
        </w:rPr>
        <w:t>110</w:t>
      </w:r>
      <w:r>
        <w:rPr>
          <w:rFonts w:hint="eastAsia" w:ascii="仿宋_GB2312" w:hAnsi="ˎ̥" w:eastAsia="仿宋_GB2312"/>
          <w:color w:val="auto"/>
          <w:sz w:val="32"/>
          <w:szCs w:val="32"/>
        </w:rPr>
        <w:t>%。决算数大于预算数的主要原因：</w:t>
      </w:r>
      <w:r>
        <w:rPr>
          <w:rFonts w:ascii="仿宋_GB2312" w:hAnsi="ˎ̥" w:eastAsia="仿宋_GB2312" w:cs="仿宋_GB2312"/>
          <w:color w:val="auto"/>
          <w:sz w:val="32"/>
          <w:szCs w:val="32"/>
        </w:rPr>
        <w:t>20</w:t>
      </w:r>
      <w:r>
        <w:rPr>
          <w:rFonts w:hint="eastAsia" w:ascii="仿宋_GB2312" w:hAnsi="ˎ̥" w:eastAsia="仿宋_GB2312" w:cs="仿宋_GB2312"/>
          <w:color w:val="auto"/>
          <w:sz w:val="32"/>
          <w:szCs w:val="32"/>
        </w:rPr>
        <w:t>2</w:t>
      </w:r>
      <w:r>
        <w:rPr>
          <w:rFonts w:hint="eastAsia" w:ascii="仿宋_GB2312" w:hAnsi="ˎ̥" w:eastAsia="仿宋_GB2312" w:cs="仿宋_GB2312"/>
          <w:color w:val="auto"/>
          <w:sz w:val="32"/>
          <w:szCs w:val="32"/>
          <w:lang w:val="en-US" w:eastAsia="zh-CN"/>
        </w:rPr>
        <w:t>3</w:t>
      </w:r>
      <w:r>
        <w:rPr>
          <w:rFonts w:hint="eastAsia" w:ascii="仿宋_GB2312" w:hAnsi="ˎ̥" w:eastAsia="仿宋_GB2312" w:cs="仿宋_GB2312"/>
          <w:color w:val="auto"/>
          <w:sz w:val="32"/>
          <w:szCs w:val="32"/>
        </w:rPr>
        <w:t>年年末人员基本工资进行了调整</w:t>
      </w:r>
      <w:r>
        <w:rPr>
          <w:rFonts w:ascii="仿宋_GB2312" w:hAnsi="ˎ̥" w:eastAsia="仿宋_GB2312" w:cs="仿宋_GB2312"/>
          <w:color w:val="auto"/>
          <w:sz w:val="32"/>
          <w:szCs w:val="32"/>
        </w:rPr>
        <w:t>；二是</w:t>
      </w:r>
      <w:r>
        <w:rPr>
          <w:rFonts w:hint="eastAsia" w:ascii="仿宋_GB2312" w:hAnsi="ˎ̥" w:eastAsia="仿宋_GB2312" w:cs="仿宋_GB2312"/>
          <w:color w:val="auto"/>
          <w:sz w:val="32"/>
          <w:szCs w:val="32"/>
        </w:rPr>
        <w:t>学校</w:t>
      </w:r>
      <w:r>
        <w:rPr>
          <w:rFonts w:hint="eastAsia" w:ascii="仿宋_GB2312" w:hAnsi="ˎ̥" w:eastAsia="仿宋_GB2312" w:cs="仿宋_GB2312"/>
          <w:color w:val="auto"/>
          <w:sz w:val="32"/>
          <w:szCs w:val="32"/>
          <w:lang w:eastAsia="zh-CN"/>
        </w:rPr>
        <w:t>特岗教师转正</w:t>
      </w:r>
      <w:r>
        <w:rPr>
          <w:rFonts w:hint="eastAsia" w:ascii="仿宋_GB2312" w:hAnsi="ˎ̥" w:eastAsia="仿宋_GB2312"/>
          <w:color w:val="auto"/>
          <w:sz w:val="32"/>
          <w:szCs w:val="32"/>
        </w:rPr>
        <w:t>。</w:t>
      </w:r>
    </w:p>
    <w:p>
      <w:pPr>
        <w:spacing w:line="578" w:lineRule="exact"/>
        <w:ind w:firstLine="640" w:firstLineChars="200"/>
        <w:rPr>
          <w:rFonts w:hint="eastAsia" w:ascii="仿宋_GB2312" w:hAnsi="ˎ̥" w:eastAsia="仿宋_GB2312"/>
          <w:color w:val="auto"/>
          <w:sz w:val="32"/>
          <w:szCs w:val="32"/>
        </w:rPr>
      </w:pPr>
      <w:r>
        <w:rPr>
          <w:rFonts w:hint="eastAsia" w:ascii="仿宋_GB2312" w:hAnsi="黑体" w:eastAsia="仿宋_GB2312"/>
          <w:color w:val="auto"/>
          <w:sz w:val="32"/>
          <w:szCs w:val="32"/>
          <w:lang w:val="en-US" w:eastAsia="zh-CN"/>
        </w:rPr>
        <w:t>3.</w:t>
      </w:r>
      <w:r>
        <w:rPr>
          <w:rFonts w:hint="eastAsia" w:ascii="仿宋_GB2312" w:hAnsi="黑体" w:eastAsia="仿宋_GB2312"/>
          <w:color w:val="auto"/>
          <w:sz w:val="32"/>
          <w:szCs w:val="32"/>
        </w:rPr>
        <w:t>社会保障和就业支出（类）行政事业单位离退休（款）机关事业单位基本养老保险缴费支出（项）机关事业单位职业年金缴费支出（项）抚恤（款）其他优扶支出（项）预算数为</w:t>
      </w:r>
      <w:r>
        <w:rPr>
          <w:rFonts w:hint="eastAsia" w:ascii="仿宋_GB2312" w:hAnsi="黑体" w:eastAsia="仿宋_GB2312" w:cs="仿宋_GB2312"/>
          <w:color w:val="auto"/>
          <w:sz w:val="32"/>
          <w:szCs w:val="32"/>
          <w:lang w:val="en-US" w:eastAsia="zh-CN"/>
        </w:rPr>
        <w:t>175.59</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仿宋_GB2312" w:hAnsi="ˎ̥" w:eastAsia="仿宋_GB2312"/>
          <w:color w:val="auto"/>
          <w:sz w:val="32"/>
          <w:szCs w:val="32"/>
        </w:rPr>
        <w:t>支出决算为168.76万元，完成年初预算的</w:t>
      </w:r>
      <w:r>
        <w:rPr>
          <w:rFonts w:hint="eastAsia" w:ascii="仿宋_GB2312" w:hAnsi="ˎ̥" w:eastAsia="仿宋_GB2312"/>
          <w:color w:val="auto"/>
          <w:sz w:val="32"/>
          <w:szCs w:val="32"/>
          <w:lang w:val="en-US" w:eastAsia="zh-CN"/>
        </w:rPr>
        <w:t>96.1</w:t>
      </w:r>
      <w:r>
        <w:rPr>
          <w:rFonts w:hint="eastAsia" w:ascii="仿宋_GB2312" w:hAnsi="ˎ̥" w:eastAsia="仿宋_GB2312"/>
          <w:color w:val="auto"/>
          <w:sz w:val="32"/>
          <w:szCs w:val="32"/>
        </w:rPr>
        <w:t>%。决算数小于预算数的主要原因：</w:t>
      </w:r>
      <w:r>
        <w:rPr>
          <w:rFonts w:ascii="仿宋_GB2312" w:hAnsi="ˎ̥" w:eastAsia="仿宋_GB2312" w:cs="仿宋_GB2312"/>
          <w:color w:val="auto"/>
          <w:sz w:val="32"/>
          <w:szCs w:val="32"/>
        </w:rPr>
        <w:t>20</w:t>
      </w:r>
      <w:r>
        <w:rPr>
          <w:rFonts w:hint="eastAsia" w:ascii="仿宋_GB2312" w:hAnsi="ˎ̥" w:eastAsia="仿宋_GB2312" w:cs="仿宋_GB2312"/>
          <w:color w:val="auto"/>
          <w:sz w:val="32"/>
          <w:szCs w:val="32"/>
        </w:rPr>
        <w:t>2</w:t>
      </w:r>
      <w:r>
        <w:rPr>
          <w:rFonts w:hint="eastAsia" w:ascii="仿宋_GB2312" w:hAnsi="ˎ̥" w:eastAsia="仿宋_GB2312" w:cs="仿宋_GB2312"/>
          <w:color w:val="auto"/>
          <w:sz w:val="32"/>
          <w:szCs w:val="32"/>
          <w:lang w:val="en-US" w:eastAsia="zh-CN"/>
        </w:rPr>
        <w:t>4</w:t>
      </w:r>
      <w:r>
        <w:rPr>
          <w:rFonts w:hint="eastAsia" w:ascii="仿宋_GB2312" w:hAnsi="ˎ̥" w:eastAsia="仿宋_GB2312" w:cs="仿宋_GB2312"/>
          <w:color w:val="auto"/>
          <w:sz w:val="32"/>
          <w:szCs w:val="32"/>
        </w:rPr>
        <w:t>年年末人员基本工资进行了调整</w:t>
      </w:r>
      <w:r>
        <w:rPr>
          <w:rFonts w:ascii="仿宋_GB2312" w:hAnsi="ˎ̥" w:eastAsia="仿宋_GB2312" w:cs="仿宋_GB2312"/>
          <w:color w:val="auto"/>
          <w:sz w:val="32"/>
          <w:szCs w:val="32"/>
        </w:rPr>
        <w:t>；二是</w:t>
      </w:r>
      <w:r>
        <w:rPr>
          <w:rFonts w:hint="eastAsia" w:ascii="仿宋_GB2312" w:hAnsi="ˎ̥" w:eastAsia="仿宋_GB2312" w:cs="仿宋_GB2312"/>
          <w:color w:val="auto"/>
          <w:sz w:val="32"/>
          <w:szCs w:val="32"/>
          <w:lang w:val="en-US" w:eastAsia="zh-CN"/>
        </w:rPr>
        <w:t>2024年</w:t>
      </w:r>
      <w:r>
        <w:rPr>
          <w:rFonts w:hint="eastAsia" w:ascii="仿宋_GB2312" w:hAnsi="ˎ̥" w:eastAsia="仿宋_GB2312" w:cs="仿宋_GB2312"/>
          <w:color w:val="auto"/>
          <w:sz w:val="32"/>
          <w:szCs w:val="32"/>
        </w:rPr>
        <w:t>学校</w:t>
      </w:r>
      <w:r>
        <w:rPr>
          <w:rFonts w:hint="eastAsia" w:ascii="仿宋_GB2312" w:hAnsi="ˎ̥" w:eastAsia="仿宋_GB2312" w:cs="仿宋_GB2312"/>
          <w:color w:val="auto"/>
          <w:sz w:val="32"/>
          <w:szCs w:val="32"/>
          <w:lang w:eastAsia="zh-CN"/>
        </w:rPr>
        <w:t>人员有所调整</w:t>
      </w:r>
      <w:r>
        <w:rPr>
          <w:rFonts w:hint="eastAsia" w:ascii="仿宋_GB2312" w:hAnsi="ˎ̥" w:eastAsia="仿宋_GB2312"/>
          <w:color w:val="auto"/>
          <w:sz w:val="32"/>
          <w:szCs w:val="32"/>
        </w:rPr>
        <w:t>。</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4.</w:t>
      </w:r>
      <w:r>
        <w:rPr>
          <w:rFonts w:hint="eastAsia" w:ascii="仿宋_GB2312" w:hAnsi="黑体" w:eastAsia="仿宋_GB2312"/>
          <w:color w:val="auto"/>
          <w:sz w:val="32"/>
          <w:szCs w:val="32"/>
        </w:rPr>
        <w:t>卫生健康支出（类）行政事业单位医疗（款）事业单位医疗（项）公务员医疗补助（项）</w:t>
      </w:r>
      <w:r>
        <w:rPr>
          <w:rFonts w:hint="eastAsia" w:ascii="仿宋_GB2312" w:hAnsi="黑体" w:eastAsia="仿宋_GB2312"/>
          <w:color w:val="auto"/>
          <w:sz w:val="32"/>
          <w:szCs w:val="32"/>
          <w:lang w:val="en-US" w:eastAsia="zh-CN"/>
        </w:rPr>
        <w:t>159.11万元，</w:t>
      </w:r>
      <w:r>
        <w:rPr>
          <w:rFonts w:hint="eastAsia" w:ascii="仿宋_GB2312" w:hAnsi="ˎ̥" w:eastAsia="仿宋_GB2312"/>
          <w:color w:val="auto"/>
          <w:sz w:val="32"/>
          <w:szCs w:val="32"/>
        </w:rPr>
        <w:t>支出决算为159.15万元，完成年初预算的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%。决算数</w:t>
      </w:r>
      <w:r>
        <w:rPr>
          <w:rFonts w:hint="eastAsia" w:ascii="仿宋_GB2312" w:hAnsi="ˎ̥" w:eastAsia="仿宋_GB2312"/>
          <w:color w:val="auto"/>
          <w:sz w:val="32"/>
          <w:szCs w:val="32"/>
          <w:lang w:eastAsia="zh-CN"/>
        </w:rPr>
        <w:t>等于</w:t>
      </w:r>
      <w:r>
        <w:rPr>
          <w:rFonts w:hint="eastAsia" w:ascii="仿宋_GB2312" w:hAnsi="ˎ̥" w:eastAsia="仿宋_GB2312"/>
          <w:color w:val="auto"/>
          <w:sz w:val="32"/>
          <w:szCs w:val="32"/>
        </w:rPr>
        <w:t>预算数的主要原因：</w:t>
      </w:r>
      <w:r>
        <w:rPr>
          <w:rFonts w:ascii="仿宋_GB2312" w:hAnsi="ˎ̥" w:eastAsia="仿宋_GB2312" w:cs="仿宋_GB2312"/>
          <w:color w:val="auto"/>
          <w:sz w:val="32"/>
          <w:szCs w:val="32"/>
        </w:rPr>
        <w:t>20</w:t>
      </w:r>
      <w:r>
        <w:rPr>
          <w:rFonts w:hint="eastAsia" w:ascii="仿宋_GB2312" w:hAnsi="ˎ̥" w:eastAsia="仿宋_GB2312" w:cs="仿宋_GB2312"/>
          <w:color w:val="auto"/>
          <w:sz w:val="32"/>
          <w:szCs w:val="32"/>
        </w:rPr>
        <w:t>2</w:t>
      </w:r>
      <w:r>
        <w:rPr>
          <w:rFonts w:hint="eastAsia" w:ascii="仿宋_GB2312" w:hAnsi="ˎ̥" w:eastAsia="仿宋_GB2312" w:cs="仿宋_GB2312"/>
          <w:color w:val="auto"/>
          <w:sz w:val="32"/>
          <w:szCs w:val="32"/>
          <w:lang w:val="en-US" w:eastAsia="zh-CN"/>
        </w:rPr>
        <w:t>4</w:t>
      </w:r>
      <w:r>
        <w:rPr>
          <w:rFonts w:hint="eastAsia" w:ascii="仿宋_GB2312" w:hAnsi="ˎ̥" w:eastAsia="仿宋_GB2312" w:cs="仿宋_GB2312"/>
          <w:color w:val="auto"/>
          <w:sz w:val="32"/>
          <w:szCs w:val="32"/>
        </w:rPr>
        <w:t>年</w:t>
      </w:r>
      <w:r>
        <w:rPr>
          <w:rFonts w:hint="eastAsia" w:ascii="仿宋_GB2312" w:hAnsi="ˎ̥" w:eastAsia="仿宋_GB2312" w:cs="仿宋_GB2312"/>
          <w:color w:val="auto"/>
          <w:sz w:val="32"/>
          <w:szCs w:val="32"/>
          <w:lang w:eastAsia="zh-CN"/>
        </w:rPr>
        <w:t>人员预算支出和决算基本符合</w:t>
      </w:r>
      <w:r>
        <w:rPr>
          <w:rFonts w:hint="eastAsia" w:ascii="仿宋_GB2312" w:hAnsi="ˎ̥" w:eastAsia="仿宋_GB2312"/>
          <w:color w:val="auto"/>
          <w:sz w:val="32"/>
          <w:szCs w:val="32"/>
        </w:rPr>
        <w:t>。</w:t>
      </w:r>
    </w:p>
    <w:p>
      <w:pPr>
        <w:spacing w:line="578" w:lineRule="exact"/>
        <w:ind w:firstLine="640" w:firstLineChars="200"/>
        <w:rPr>
          <w:rFonts w:hint="eastAsia" w:ascii="仿宋_GB2312" w:hAnsi="ˎ̥" w:eastAsia="仿宋_GB2312"/>
          <w:color w:val="auto"/>
          <w:sz w:val="32"/>
          <w:szCs w:val="32"/>
        </w:rPr>
      </w:pPr>
      <w:r>
        <w:rPr>
          <w:rFonts w:hint="eastAsia" w:ascii="仿宋_GB2312" w:hAnsi="黑体" w:eastAsia="仿宋_GB2312"/>
          <w:color w:val="auto"/>
          <w:sz w:val="32"/>
          <w:szCs w:val="32"/>
          <w:lang w:val="en-US" w:eastAsia="zh-CN"/>
        </w:rPr>
        <w:t>5.</w:t>
      </w:r>
      <w:r>
        <w:rPr>
          <w:rFonts w:hint="eastAsia" w:ascii="仿宋_GB2312" w:hAnsi="黑体" w:eastAsia="仿宋_GB2312"/>
          <w:color w:val="auto"/>
          <w:sz w:val="32"/>
          <w:szCs w:val="32"/>
        </w:rPr>
        <w:t>住房保障支出（类）住房改革支出（款）住房公积金（项）</w:t>
      </w:r>
      <w:r>
        <w:rPr>
          <w:rFonts w:hint="eastAsia" w:ascii="仿宋_GB2312" w:hAnsi="黑体" w:eastAsia="仿宋_GB2312"/>
          <w:color w:val="auto"/>
          <w:sz w:val="32"/>
          <w:szCs w:val="32"/>
          <w:lang w:eastAsia="zh-CN"/>
        </w:rPr>
        <w:t>202</w:t>
      </w:r>
      <w:r>
        <w:rPr>
          <w:rFonts w:hint="eastAsia" w:ascii="仿宋_GB2312" w:hAnsi="黑体" w:eastAsia="仿宋_GB2312"/>
          <w:color w:val="auto"/>
          <w:sz w:val="32"/>
          <w:szCs w:val="32"/>
          <w:lang w:val="en-US" w:eastAsia="zh-CN"/>
        </w:rPr>
        <w:t>3</w:t>
      </w:r>
      <w:r>
        <w:rPr>
          <w:rFonts w:hint="eastAsia" w:ascii="仿宋_GB2312" w:hAnsi="黑体" w:eastAsia="仿宋_GB2312"/>
          <w:color w:val="auto"/>
          <w:sz w:val="32"/>
          <w:szCs w:val="32"/>
        </w:rPr>
        <w:t>年预算数为98.04万元</w:t>
      </w:r>
      <w:r>
        <w:rPr>
          <w:rFonts w:hint="eastAsia" w:ascii="仿宋_GB2312" w:hAnsi="黑体" w:eastAsia="仿宋_GB2312"/>
          <w:color w:val="auto"/>
          <w:sz w:val="32"/>
          <w:szCs w:val="32"/>
          <w:lang w:eastAsia="zh-CN"/>
        </w:rPr>
        <w:t>，</w:t>
      </w:r>
      <w:r>
        <w:rPr>
          <w:rFonts w:hint="eastAsia" w:ascii="仿宋_GB2312" w:hAnsi="ˎ̥" w:eastAsia="仿宋_GB2312"/>
          <w:color w:val="auto"/>
          <w:sz w:val="32"/>
          <w:szCs w:val="32"/>
        </w:rPr>
        <w:t>支出决算为91.89万元，完成年初预算的</w:t>
      </w:r>
      <w:r>
        <w:rPr>
          <w:rFonts w:hint="eastAsia" w:ascii="仿宋_GB2312" w:hAnsi="ˎ̥" w:eastAsia="仿宋_GB2312"/>
          <w:color w:val="auto"/>
          <w:sz w:val="32"/>
          <w:szCs w:val="32"/>
          <w:lang w:val="en-US" w:eastAsia="zh-CN"/>
        </w:rPr>
        <w:t>93.7</w:t>
      </w:r>
      <w:r>
        <w:rPr>
          <w:rFonts w:hint="eastAsia" w:ascii="仿宋_GB2312" w:hAnsi="ˎ̥" w:eastAsia="仿宋_GB2312"/>
          <w:color w:val="auto"/>
          <w:sz w:val="32"/>
          <w:szCs w:val="32"/>
        </w:rPr>
        <w:t>%。决算数小于预算数的主要原因：</w:t>
      </w:r>
      <w:r>
        <w:rPr>
          <w:rFonts w:ascii="仿宋_GB2312" w:hAnsi="ˎ̥" w:eastAsia="仿宋_GB2312" w:cs="仿宋_GB2312"/>
          <w:color w:val="auto"/>
          <w:sz w:val="32"/>
          <w:szCs w:val="32"/>
        </w:rPr>
        <w:t>20</w:t>
      </w:r>
      <w:r>
        <w:rPr>
          <w:rFonts w:hint="eastAsia" w:ascii="仿宋_GB2312" w:hAnsi="ˎ̥" w:eastAsia="仿宋_GB2312" w:cs="仿宋_GB2312"/>
          <w:color w:val="auto"/>
          <w:sz w:val="32"/>
          <w:szCs w:val="32"/>
        </w:rPr>
        <w:t>2</w:t>
      </w:r>
      <w:r>
        <w:rPr>
          <w:rFonts w:hint="eastAsia" w:ascii="仿宋_GB2312" w:hAnsi="ˎ̥" w:eastAsia="仿宋_GB2312" w:cs="仿宋_GB2312"/>
          <w:color w:val="auto"/>
          <w:sz w:val="32"/>
          <w:szCs w:val="32"/>
          <w:lang w:val="en-US" w:eastAsia="zh-CN"/>
        </w:rPr>
        <w:t>4</w:t>
      </w:r>
      <w:r>
        <w:rPr>
          <w:rFonts w:hint="eastAsia" w:ascii="仿宋_GB2312" w:hAnsi="ˎ̥" w:eastAsia="仿宋_GB2312" w:cs="仿宋_GB2312"/>
          <w:color w:val="auto"/>
          <w:sz w:val="32"/>
          <w:szCs w:val="32"/>
        </w:rPr>
        <w:t>年人员基本工资进行了调整</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黑体" w:eastAsia="仿宋_GB2312"/>
          <w:color w:val="auto"/>
          <w:sz w:val="32"/>
          <w:szCs w:val="32"/>
          <w:lang w:val="en-US" w:eastAsia="zh-CN"/>
        </w:rPr>
        <w:t>6.</w:t>
      </w:r>
      <w:r>
        <w:rPr>
          <w:rFonts w:hint="eastAsia" w:ascii="仿宋_GB2312" w:hAnsi="黑体" w:eastAsia="仿宋_GB2312"/>
          <w:color w:val="auto"/>
          <w:sz w:val="32"/>
          <w:szCs w:val="32"/>
        </w:rPr>
        <w:t>抚恤支出（类）其他优抚支出（款）</w:t>
      </w:r>
      <w:r>
        <w:rPr>
          <w:rFonts w:hint="eastAsia" w:ascii="仿宋_GB2312" w:hAnsi="黑体" w:eastAsia="仿宋_GB2312"/>
          <w:color w:val="auto"/>
          <w:sz w:val="32"/>
          <w:szCs w:val="32"/>
          <w:lang w:eastAsia="zh-CN"/>
        </w:rPr>
        <w:t>202</w:t>
      </w:r>
      <w:r>
        <w:rPr>
          <w:rFonts w:hint="eastAsia" w:ascii="仿宋_GB2312" w:hAnsi="黑体" w:eastAsia="仿宋_GB2312"/>
          <w:color w:val="auto"/>
          <w:sz w:val="32"/>
          <w:szCs w:val="32"/>
          <w:lang w:val="en-US" w:eastAsia="zh-CN"/>
        </w:rPr>
        <w:t>4</w:t>
      </w:r>
      <w:r>
        <w:rPr>
          <w:rFonts w:hint="eastAsia" w:ascii="仿宋_GB2312" w:hAnsi="黑体" w:eastAsia="仿宋_GB2312"/>
          <w:color w:val="auto"/>
          <w:sz w:val="32"/>
          <w:szCs w:val="32"/>
        </w:rPr>
        <w:t>年预算数为5.31万元</w:t>
      </w:r>
      <w:r>
        <w:rPr>
          <w:rFonts w:hint="eastAsia" w:ascii="仿宋_GB2312" w:hAnsi="黑体" w:eastAsia="仿宋_GB2312"/>
          <w:color w:val="auto"/>
          <w:sz w:val="32"/>
          <w:szCs w:val="32"/>
          <w:lang w:eastAsia="zh-CN"/>
        </w:rPr>
        <w:t>，</w:t>
      </w:r>
      <w:r>
        <w:rPr>
          <w:rFonts w:hint="eastAsia" w:ascii="仿宋_GB2312" w:hAnsi="ˎ̥" w:eastAsia="仿宋_GB2312"/>
          <w:color w:val="auto"/>
          <w:sz w:val="32"/>
          <w:szCs w:val="32"/>
        </w:rPr>
        <w:t>支出决算为</w:t>
      </w:r>
      <w:r>
        <w:rPr>
          <w:rFonts w:hint="eastAsia" w:ascii="仿宋_GB2312" w:hAnsi="ˎ̥" w:eastAsia="仿宋_GB2312"/>
          <w:color w:val="auto"/>
          <w:sz w:val="32"/>
          <w:szCs w:val="32"/>
          <w:lang w:val="en-US" w:eastAsia="zh-CN"/>
        </w:rPr>
        <w:t>4.9</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92</w:t>
      </w:r>
      <w:r>
        <w:rPr>
          <w:rFonts w:hint="eastAsia" w:ascii="仿宋_GB2312" w:hAnsi="ˎ̥" w:eastAsia="仿宋_GB2312"/>
          <w:color w:val="auto"/>
          <w:sz w:val="32"/>
          <w:szCs w:val="32"/>
        </w:rPr>
        <w:t>%。决算数小于预算数的主要原因：</w:t>
      </w:r>
      <w:r>
        <w:rPr>
          <w:rFonts w:hint="eastAsia" w:ascii="仿宋_GB2312" w:hAnsi="ˎ̥" w:eastAsia="仿宋_GB2312"/>
          <w:color w:val="auto"/>
          <w:sz w:val="32"/>
          <w:szCs w:val="32"/>
          <w:lang w:val="en-US" w:eastAsia="zh-CN"/>
        </w:rPr>
        <w:t>2024年初有一名遗属人员离世</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本部分支出决算数可取自财决公开05表，年初预算数可取自各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单位年初预算大本，根据实际支出涉及的支出功能分类项级科目填列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0.00</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1,263.09</w:t>
      </w:r>
      <w:r>
        <w:rPr>
          <w:rFonts w:hint="eastAsia" w:ascii="仿宋_GB2312" w:hAnsi="ˎ̥" w:eastAsia="仿宋_GB2312"/>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16.87</w:t>
      </w:r>
      <w:r>
        <w:rPr>
          <w:rFonts w:hint="eastAsia" w:ascii="仿宋_GB2312" w:hAnsi="ˎ̥" w:eastAsia="仿宋_GB2312"/>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lang w:val="en-US" w:eastAsia="zh-CN"/>
        </w:rPr>
        <w:t>购</w:t>
      </w:r>
      <w:r>
        <w:rPr>
          <w:rFonts w:hint="eastAsia" w:ascii="仿宋_GB2312" w:hAnsi="ˎ̥" w:eastAsia="仿宋_GB2312"/>
          <w:color w:val="auto"/>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可取自财决公开06表，各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无</w:t>
      </w:r>
      <w:r>
        <w:rPr>
          <w:rFonts w:hint="eastAsia" w:ascii="仿宋_GB2312" w:hAnsi="ˎ̥" w:eastAsia="仿宋_GB2312"/>
          <w:color w:val="auto"/>
          <w:sz w:val="32"/>
          <w:szCs w:val="32"/>
        </w:rPr>
        <w:t>政府性基金预算。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决算相关数据取自财决公开07表；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lang w:val="en-US" w:eastAsia="zh-CN"/>
        </w:rPr>
        <w:t>年度单位决算报表</w:t>
      </w:r>
      <w:r>
        <w:rPr>
          <w:rFonts w:hint="eastAsia" w:ascii="仿宋_GB2312" w:hAnsi="ˎ̥" w:eastAsia="仿宋_GB2312"/>
          <w:color w:val="auto"/>
          <w:sz w:val="32"/>
          <w:szCs w:val="32"/>
        </w:rPr>
        <w:t>财决09表《政府性基金预算财政拨款收入支出决算表》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无</w:t>
      </w:r>
      <w:r>
        <w:rPr>
          <w:rFonts w:hint="eastAsia" w:ascii="仿宋_GB2312" w:hAnsi="ˎ̥" w:eastAsia="仿宋_GB2312"/>
          <w:color w:val="auto"/>
          <w:sz w:val="32"/>
          <w:szCs w:val="32"/>
        </w:rPr>
        <w:t>国有资本经营预算财政拨款。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决算相关数据取自财决公开08表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主要原因是</w:t>
      </w:r>
      <w:r>
        <w:rPr>
          <w:rFonts w:hint="eastAsia" w:ascii="仿宋_GB2312" w:hAnsi="ˎ̥" w:eastAsia="仿宋_GB2312"/>
          <w:color w:val="auto"/>
          <w:sz w:val="32"/>
          <w:szCs w:val="32"/>
          <w:lang w:eastAsia="zh-CN"/>
        </w:rPr>
        <w:t>无</w:t>
      </w:r>
      <w:r>
        <w:rPr>
          <w:rFonts w:hint="eastAsia" w:ascii="仿宋_GB2312" w:hAnsi="ˎ̥" w:eastAsia="仿宋_GB2312"/>
          <w:color w:val="auto"/>
          <w:sz w:val="32"/>
          <w:szCs w:val="32"/>
        </w:rPr>
        <w:t>财政拨款“三公”经费。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无</w:t>
      </w:r>
      <w:r>
        <w:rPr>
          <w:rFonts w:hint="eastAsia" w:ascii="仿宋_GB2312" w:hAnsi="ˎ̥" w:eastAsia="仿宋_GB2312"/>
          <w:color w:val="auto"/>
          <w:sz w:val="32"/>
          <w:szCs w:val="32"/>
        </w:rPr>
        <w:t>财政拨款“三公”经费。</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Cs/>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万元，全年购置公务用车</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辆年末公务用车保有量</w:t>
      </w:r>
      <w:r>
        <w:rPr>
          <w:rFonts w:hint="default" w:ascii="仿宋_GB2312" w:hAnsi="ˎ̥" w:eastAsia="仿宋_GB2312"/>
          <w:color w:val="auto"/>
          <w:sz w:val="32"/>
          <w:szCs w:val="32"/>
          <w:lang w:val="en-US"/>
        </w:rPr>
        <w:t>0</w:t>
      </w:r>
      <w:r>
        <w:rPr>
          <w:rFonts w:hint="eastAsia" w:ascii="仿宋_GB2312" w:hAnsi="ˎ̥" w:eastAsia="仿宋_GB2312"/>
          <w:color w:val="auto"/>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万元，主要原因是</w:t>
      </w:r>
      <w:r>
        <w:rPr>
          <w:rFonts w:hint="eastAsia" w:ascii="仿宋_GB2312" w:hAnsi="ˎ̥" w:eastAsia="仿宋_GB2312"/>
          <w:color w:val="auto"/>
          <w:sz w:val="32"/>
          <w:szCs w:val="32"/>
          <w:lang w:eastAsia="zh-CN"/>
        </w:rPr>
        <w:t>无此项经费</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年度“三公”经费预算数、决算数可取自财决公开09表，出国团组数、出国人次，公务用车购置数、公务用车保有量，接待团组数、接待人次可取自</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年度相关</w:t>
      </w:r>
      <w:r>
        <w:rPr>
          <w:rFonts w:ascii="仿宋_GB2312" w:hAnsi="ˎ̥" w:eastAsia="仿宋_GB2312"/>
          <w:color w:val="auto"/>
          <w:sz w:val="32"/>
          <w:szCs w:val="32"/>
        </w:rPr>
        <w:t>数据</w:t>
      </w:r>
      <w:r>
        <w:rPr>
          <w:rFonts w:hint="eastAsia" w:ascii="仿宋_GB2312" w:hAnsi="ˎ̥" w:eastAsia="仿宋_GB2312"/>
          <w:color w:val="auto"/>
          <w:sz w:val="32"/>
          <w:szCs w:val="32"/>
        </w:rPr>
        <w:t>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ascii="仿宋_GB2312" w:hAnsi="ˎ̥" w:eastAsia="仿宋_GB2312"/>
          <w:color w:val="auto"/>
          <w:sz w:val="32"/>
          <w:szCs w:val="32"/>
        </w:rPr>
        <w:t>决算报表</w:t>
      </w:r>
      <w:r>
        <w:rPr>
          <w:rFonts w:hint="eastAsia" w:ascii="仿宋_GB2312" w:hAnsi="ˎ̥" w:eastAsia="仿宋_GB2312"/>
          <w:color w:val="auto"/>
          <w:sz w:val="32"/>
          <w:szCs w:val="32"/>
        </w:rPr>
        <w:t>F03表《机构</w:t>
      </w:r>
      <w:r>
        <w:rPr>
          <w:rFonts w:ascii="仿宋_GB2312" w:hAnsi="ˎ̥" w:eastAsia="仿宋_GB2312"/>
          <w:color w:val="auto"/>
          <w:sz w:val="32"/>
          <w:szCs w:val="32"/>
        </w:rPr>
        <w:t>运行信息表》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lang w:bidi="ar"/>
        </w:rPr>
      </w:pPr>
      <w:r>
        <w:rPr>
          <w:rFonts w:hint="eastAsia" w:ascii="仿宋_GB2312" w:eastAsia="仿宋_GB2312"/>
          <w:color w:val="auto"/>
          <w:sz w:val="32"/>
          <w:szCs w:val="32"/>
        </w:rPr>
        <w:t>根据财政预算绩效管理要求，可按照如下格式说明：根据预算管理要求，我</w:t>
      </w:r>
      <w:r>
        <w:rPr>
          <w:rFonts w:hint="eastAsia" w:ascii="仿宋_GB2312" w:eastAsia="仿宋_GB2312"/>
          <w:color w:val="auto"/>
          <w:sz w:val="32"/>
          <w:szCs w:val="32"/>
          <w:lang w:eastAsia="zh-CN"/>
        </w:rPr>
        <w:t>单位</w:t>
      </w:r>
      <w:r>
        <w:rPr>
          <w:rFonts w:hint="eastAsia" w:ascii="仿宋_GB2312" w:eastAsia="仿宋_GB2312"/>
          <w:color w:val="auto"/>
          <w:sz w:val="32"/>
          <w:szCs w:val="32"/>
        </w:rPr>
        <w:t>组织对202</w:t>
      </w:r>
      <w:r>
        <w:rPr>
          <w:rFonts w:ascii="仿宋_GB2312" w:eastAsia="仿宋_GB2312"/>
          <w:color w:val="auto"/>
          <w:sz w:val="32"/>
          <w:szCs w:val="32"/>
        </w:rPr>
        <w:t>3</w:t>
      </w:r>
      <w:r>
        <w:rPr>
          <w:rFonts w:hint="eastAsia" w:ascii="仿宋_GB2312" w:eastAsia="仿宋_GB2312"/>
          <w:color w:val="auto"/>
          <w:sz w:val="32"/>
          <w:szCs w:val="32"/>
        </w:rPr>
        <w:t>年度一般公共预算项目支出全面开展绩效自评。</w:t>
      </w:r>
      <w:r>
        <w:rPr>
          <w:rFonts w:hint="eastAsia" w:ascii="仿宋_GB2312" w:eastAsia="仿宋_GB2312"/>
          <w:color w:val="auto"/>
          <w:sz w:val="32"/>
          <w:szCs w:val="32"/>
          <w:lang w:bidi="ar"/>
        </w:rPr>
        <w:t>其中，一级项目</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个，二级项目</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个，共涉及资金</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万元，占一般公共预算项目支出总额的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（预算</w:t>
      </w:r>
      <w:r>
        <w:rPr>
          <w:rFonts w:hint="eastAsia" w:ascii="仿宋_GB2312" w:eastAsia="仿宋_GB2312"/>
          <w:color w:val="auto"/>
          <w:sz w:val="32"/>
          <w:szCs w:val="32"/>
          <w:lang w:eastAsia="zh-CN"/>
        </w:rPr>
        <w:t>单位</w:t>
      </w:r>
      <w:r>
        <w:rPr>
          <w:rFonts w:hint="eastAsia" w:ascii="仿宋_GB2312" w:eastAsia="仿宋_GB2312"/>
          <w:color w:val="auto"/>
          <w:sz w:val="32"/>
          <w:szCs w:val="32"/>
        </w:rPr>
        <w:t>如有，请对预算绩效评价情况进行简单说明；没有，则简要说明本年没有进行相关工作及理由。</w:t>
      </w:r>
      <w:r>
        <w:rPr>
          <w:rFonts w:hint="eastAsia" w:ascii="仿宋_GB2312" w:eastAsia="仿宋_GB2312"/>
          <w:color w:val="auto"/>
          <w:sz w:val="32"/>
          <w:szCs w:val="32"/>
          <w:lang w:eastAsia="zh-CN"/>
        </w:rPr>
        <w:t>单位</w:t>
      </w:r>
      <w:r>
        <w:rPr>
          <w:rFonts w:hint="eastAsia" w:ascii="仿宋_GB2312" w:eastAsia="仿宋_GB2312"/>
          <w:color w:val="auto"/>
          <w:sz w:val="32"/>
          <w:szCs w:val="32"/>
        </w:rPr>
        <w:t>所属单位不需填写此项）。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color w:val="auto"/>
          <w:sz w:val="32"/>
          <w:szCs w:val="32"/>
        </w:rPr>
      </w:pPr>
      <w:r>
        <w:rPr>
          <w:rFonts w:hint="eastAsia" w:ascii="楷体" w:hAnsi="楷体" w:eastAsia="楷体" w:cs="楷体"/>
          <w:bCs/>
          <w:color w:val="auto"/>
          <w:sz w:val="32"/>
          <w:szCs w:val="32"/>
        </w:rPr>
        <w:t>（二）</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决算中项目绩效自评结果（预算</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参照如下格式说明（表述应与决算内容保持一致）：我</w:t>
      </w:r>
      <w:r>
        <w:rPr>
          <w:rFonts w:hint="eastAsia" w:ascii="仿宋_GB2312" w:eastAsia="仿宋_GB2312"/>
          <w:color w:val="auto"/>
          <w:sz w:val="32"/>
          <w:szCs w:val="32"/>
          <w:lang w:eastAsia="zh-CN"/>
        </w:rPr>
        <w:t>单位</w:t>
      </w:r>
      <w:r>
        <w:rPr>
          <w:rFonts w:hint="eastAsia" w:ascii="仿宋_GB2312" w:eastAsia="仿宋_GB2312"/>
          <w:color w:val="auto"/>
          <w:sz w:val="32"/>
          <w:szCs w:val="32"/>
        </w:rPr>
        <w:t>在</w:t>
      </w:r>
      <w:r>
        <w:rPr>
          <w:rFonts w:hint="eastAsia" w:ascii="仿宋_GB2312" w:eastAsia="仿宋_GB2312"/>
          <w:color w:val="auto"/>
          <w:sz w:val="32"/>
          <w:szCs w:val="32"/>
          <w:lang w:eastAsia="zh-CN"/>
        </w:rPr>
        <w:t>单位</w:t>
      </w:r>
      <w:r>
        <w:rPr>
          <w:rFonts w:hint="eastAsia" w:ascii="仿宋_GB2312" w:eastAsia="仿宋_GB2312"/>
          <w:color w:val="auto"/>
          <w:sz w:val="32"/>
          <w:szCs w:val="32"/>
        </w:rPr>
        <w:t>决算中反映</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个项目绩效自评结果（包括项目绩效自评表和项目绩效自评报告）。</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（三）</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评价结果（预算</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填写，</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hAnsi="仿宋_GB2312" w:eastAsia="仿宋_GB2312" w:cs="仿宋_GB2312"/>
          <w:color w:val="auto"/>
          <w:kern w:val="0"/>
          <w:sz w:val="32"/>
          <w:szCs w:val="32"/>
          <w:lang w:eastAsia="zh-CN" w:bidi="ar"/>
        </w:rPr>
        <w:t>单位</w:t>
      </w:r>
      <w:r>
        <w:rPr>
          <w:rFonts w:hint="eastAsia" w:ascii="仿宋_GB2312" w:hAnsi="仿宋_GB2312" w:eastAsia="仿宋_GB2312" w:cs="仿宋_GB2312"/>
          <w:color w:val="auto"/>
          <w:kern w:val="0"/>
          <w:sz w:val="32"/>
          <w:szCs w:val="32"/>
          <w:lang w:bidi="ar"/>
        </w:rPr>
        <w:t>评价项目数量在3个以内的，至少将1个</w:t>
      </w:r>
      <w:r>
        <w:rPr>
          <w:rFonts w:hint="eastAsia" w:ascii="仿宋_GB2312" w:hAnsi="仿宋_GB2312" w:eastAsia="仿宋_GB2312" w:cs="仿宋_GB2312"/>
          <w:color w:val="auto"/>
          <w:kern w:val="0"/>
          <w:sz w:val="32"/>
          <w:szCs w:val="32"/>
          <w:lang w:eastAsia="zh-CN" w:bidi="ar"/>
        </w:rPr>
        <w:t>单位</w:t>
      </w:r>
      <w:r>
        <w:rPr>
          <w:rFonts w:hint="eastAsia" w:ascii="仿宋_GB2312" w:hAnsi="仿宋_GB2312" w:eastAsia="仿宋_GB2312" w:cs="仿宋_GB2312"/>
          <w:color w:val="auto"/>
          <w:kern w:val="0"/>
          <w:sz w:val="32"/>
          <w:szCs w:val="32"/>
          <w:lang w:bidi="ar"/>
        </w:rPr>
        <w:t>评价报告向社会公开；</w:t>
      </w:r>
      <w:r>
        <w:rPr>
          <w:rFonts w:hint="eastAsia" w:ascii="仿宋_GB2312" w:hAnsi="仿宋_GB2312" w:eastAsia="仿宋_GB2312" w:cs="仿宋_GB2312"/>
          <w:color w:val="auto"/>
          <w:kern w:val="0"/>
          <w:sz w:val="32"/>
          <w:szCs w:val="32"/>
          <w:lang w:eastAsia="zh-CN" w:bidi="ar"/>
        </w:rPr>
        <w:t>单位</w:t>
      </w:r>
      <w:r>
        <w:rPr>
          <w:rFonts w:hint="eastAsia" w:ascii="仿宋_GB2312" w:hAnsi="仿宋_GB2312" w:eastAsia="仿宋_GB2312" w:cs="仿宋_GB2312"/>
          <w:color w:val="auto"/>
          <w:kern w:val="0"/>
          <w:sz w:val="32"/>
          <w:szCs w:val="32"/>
          <w:lang w:bidi="ar"/>
        </w:rPr>
        <w:t>评价项目数量大于3个的，至少将2个</w:t>
      </w:r>
      <w:r>
        <w:rPr>
          <w:rFonts w:hint="eastAsia" w:ascii="仿宋_GB2312" w:hAnsi="仿宋_GB2312" w:eastAsia="仿宋_GB2312" w:cs="仿宋_GB2312"/>
          <w:color w:val="auto"/>
          <w:kern w:val="0"/>
          <w:sz w:val="32"/>
          <w:szCs w:val="32"/>
          <w:lang w:eastAsia="zh-CN" w:bidi="ar"/>
        </w:rPr>
        <w:t>单位</w:t>
      </w:r>
      <w:r>
        <w:rPr>
          <w:rFonts w:hint="eastAsia" w:ascii="仿宋_GB2312" w:hAnsi="仿宋_GB2312" w:eastAsia="仿宋_GB2312" w:cs="仿宋_GB2312"/>
          <w:color w:val="auto"/>
          <w:kern w:val="0"/>
          <w:sz w:val="32"/>
          <w:szCs w:val="32"/>
          <w:lang w:bidi="ar"/>
        </w:rPr>
        <w:t>评价报告向社会公开。</w:t>
      </w:r>
      <w:r>
        <w:rPr>
          <w:rFonts w:hint="eastAsia" w:ascii="仿宋_GB2312" w:eastAsia="仿宋_GB2312"/>
          <w:color w:val="auto"/>
          <w:sz w:val="32"/>
          <w:szCs w:val="32"/>
        </w:rPr>
        <w:t>报告框架可参照《海南省财政厅关于印发&lt;海南省项目支出绩效评价管理实施办法&gt;的通知》（琼财绩〔2020〕594号）填写。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zh-CN"/>
        </w:rPr>
        <w:t>反映财政单位组织开展的预算单位重点项目财政评价情况，如有，可将评价报告附后。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5" w:name="_Toc18325_WPSOffice_Level2"/>
      <w:bookmarkStart w:id="96" w:name="_Toc15565_WPSOffice_Level2"/>
      <w:bookmarkStart w:id="97" w:name="_Toc15262_WPSOffice_Level2"/>
      <w:bookmarkStart w:id="98" w:name="_Toc32639_WPSOffice_Level2"/>
      <w:bookmarkStart w:id="99" w:name="_Toc23598_WPSOffice_Level2"/>
      <w:bookmarkStart w:id="100" w:name="_Toc5978_WPSOffice_Level2"/>
      <w:r>
        <w:rPr>
          <w:rFonts w:hint="eastAsia" w:ascii="楷体" w:hAnsi="楷体" w:eastAsia="楷体" w:cs="楷体"/>
          <w:bCs/>
          <w:color w:val="auto"/>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屯昌县南坤镇榕仔中心小学单位</w:t>
      </w:r>
      <w:r>
        <w:rPr>
          <w:rFonts w:hint="eastAsia" w:ascii="仿宋_GB2312" w:hAnsi="ˎ̥" w:eastAsia="仿宋_GB2312"/>
          <w:color w:val="auto"/>
          <w:sz w:val="32"/>
          <w:szCs w:val="32"/>
        </w:rPr>
        <w:t>运行经费</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万元（为</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决算中行政单位和参公事业单位财政拨款基本支出中公用经费支出之和，事业单位没有机关运行经费支出），比年初预算增加（减少）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rPr>
        <w:t>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增长（下降）0%。</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bidi="ar"/>
        </w:rPr>
        <w:t xml:space="preserve">办公设施设备购置经费增加（减少）/资产运行维护支出增加（减少）/信息系统运行维护支出增加（减少）/人员编制数量增加（减少）/落实过紧日子要求压减 </w:t>
      </w:r>
      <w:r>
        <w:rPr>
          <w:rFonts w:hint="eastAsia" w:ascii="仿宋_GB2312" w:hAnsi="ˎ̥" w:eastAsia="仿宋_GB2312"/>
          <w:color w:val="auto"/>
          <w:sz w:val="32"/>
          <w:szCs w:val="32"/>
          <w:lang w:val="en-US" w:eastAsia="zh-CN" w:bidi="ar"/>
        </w:rPr>
        <w:t>0</w:t>
      </w:r>
      <w:r>
        <w:rPr>
          <w:rFonts w:hint="eastAsia" w:ascii="仿宋_GB2312" w:hAnsi="ˎ̥" w:eastAsia="仿宋_GB2312"/>
          <w:color w:val="auto"/>
          <w:sz w:val="32"/>
          <w:szCs w:val="32"/>
          <w:lang w:bidi="ar"/>
        </w:rPr>
        <w:t xml:space="preserve"> 支出/……等</w:t>
      </w:r>
      <w:r>
        <w:rPr>
          <w:rFonts w:hint="eastAsia" w:ascii="仿宋_GB2312" w:hAnsi="ˎ̥" w:eastAsia="仿宋_GB2312"/>
          <w:color w:val="auto"/>
          <w:sz w:val="32"/>
          <w:szCs w:val="32"/>
        </w:rPr>
        <w:t>（具体增减原因由</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单位根据实际情况填列）。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机关运行经费预算数可取自</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决算报表财决01-1表《财政拨款收入支出决算总表》，年初预算数-一般公共预算财政拨款-公用经费，注意</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汇总公开决算时，因事业单位没有机关运行经费支出，故</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汇总的机关运行经费预算数应为</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所属的各行政单位或参公单位的汇总数；决算数可取自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1" w:name="_Toc32689_WPSOffice_Level2"/>
      <w:bookmarkStart w:id="102" w:name="_Toc23966_WPSOffice_Level2"/>
      <w:bookmarkStart w:id="103" w:name="_Toc30383_WPSOffice_Level2"/>
      <w:bookmarkStart w:id="104" w:name="_Toc13084_WPSOffice_Level2"/>
      <w:bookmarkStart w:id="105" w:name="_Toc3131_WPSOffice_Level2"/>
      <w:bookmarkStart w:id="106" w:name="_Toc25333_WPSOffice_Level2"/>
      <w:r>
        <w:rPr>
          <w:rFonts w:hint="eastAsia" w:ascii="楷体" w:hAnsi="楷体" w:eastAsia="楷体" w:cs="楷体"/>
          <w:bCs/>
          <w:color w:val="auto"/>
          <w:sz w:val="32"/>
          <w:szCs w:val="32"/>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屯昌县南坤镇榕仔中心小学单位</w:t>
      </w:r>
      <w:r>
        <w:rPr>
          <w:rFonts w:hint="eastAsia" w:ascii="仿宋_GB2312" w:hAnsi="ˎ̥" w:eastAsia="仿宋_GB2312"/>
          <w:color w:val="auto"/>
          <w:sz w:val="32"/>
          <w:szCs w:val="32"/>
        </w:rPr>
        <w:t>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上述政府采购支出相关</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决算报表F03表《机构运行信息表》，授予中小企业和小微企业合同金额由各</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查阅本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7" w:name="_Toc15129_WPSOffice_Level2"/>
      <w:bookmarkStart w:id="108" w:name="_Toc29584_WPSOffice_Level2"/>
      <w:bookmarkStart w:id="109" w:name="_Toc527_WPSOffice_Level2"/>
      <w:bookmarkStart w:id="110" w:name="_Toc19989_WPSOffice_Level2"/>
      <w:bookmarkStart w:id="111" w:name="_Toc6016_WPSOffice_Level2"/>
      <w:bookmarkStart w:id="112" w:name="_Toc10902_WPSOffice_Level2"/>
      <w:r>
        <w:rPr>
          <w:rFonts w:hint="eastAsia" w:ascii="楷体" w:hAnsi="楷体" w:eastAsia="楷体" w:cs="楷体"/>
          <w:bCs/>
          <w:color w:val="auto"/>
          <w:sz w:val="32"/>
          <w:szCs w:val="32"/>
        </w:rPr>
        <w:t>（三）国有资产占用情况</w:t>
      </w:r>
      <w:bookmarkEnd w:id="107"/>
      <w:bookmarkEnd w:id="108"/>
      <w:bookmarkEnd w:id="109"/>
      <w:bookmarkEnd w:id="110"/>
      <w:bookmarkEnd w:id="111"/>
      <w:bookmarkEnd w:id="112"/>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bCs/>
          <w:color w:val="auto"/>
          <w:sz w:val="32"/>
          <w:szCs w:val="32"/>
        </w:rPr>
        <w:t>截至202</w:t>
      </w:r>
      <w:r>
        <w:rPr>
          <w:rFonts w:hint="eastAsia" w:ascii="仿宋_GB2312" w:hAnsi="ˎ̥" w:eastAsia="仿宋_GB2312"/>
          <w:bCs/>
          <w:color w:val="auto"/>
          <w:sz w:val="32"/>
          <w:szCs w:val="32"/>
          <w:lang w:val="en-US" w:eastAsia="zh-CN"/>
        </w:rPr>
        <w:t>4</w:t>
      </w:r>
      <w:r>
        <w:rPr>
          <w:rFonts w:hint="eastAsia" w:ascii="仿宋_GB2312" w:hAnsi="ˎ̥" w:eastAsia="仿宋_GB2312"/>
          <w:bCs/>
          <w:color w:val="auto"/>
          <w:sz w:val="32"/>
          <w:szCs w:val="32"/>
        </w:rPr>
        <w:t>年12月31日，</w:t>
      </w:r>
      <w:r>
        <w:rPr>
          <w:rFonts w:ascii="仿宋_GB2312" w:hAnsi="ˎ̥" w:eastAsia="仿宋_GB2312" w:cs="仿宋_GB2312"/>
          <w:color w:val="auto"/>
          <w:sz w:val="32"/>
          <w:szCs w:val="32"/>
        </w:rPr>
        <w:t>本</w:t>
      </w:r>
      <w:r>
        <w:rPr>
          <w:rFonts w:hint="eastAsia" w:ascii="仿宋_GB2312" w:hAnsi="ˎ̥" w:eastAsia="仿宋_GB2312" w:cs="仿宋_GB2312"/>
          <w:color w:val="auto"/>
          <w:sz w:val="32"/>
          <w:szCs w:val="32"/>
          <w:lang w:eastAsia="zh-CN"/>
        </w:rPr>
        <w:t>单位</w:t>
      </w:r>
      <w:r>
        <w:rPr>
          <w:rFonts w:ascii="仿宋_GB2312" w:hAnsi="ˎ̥" w:eastAsia="仿宋_GB2312" w:cs="仿宋_GB2312"/>
          <w:color w:val="auto"/>
          <w:sz w:val="32"/>
          <w:szCs w:val="32"/>
        </w:rPr>
        <w:t>占用房屋面积</w:t>
      </w:r>
      <w:r>
        <w:rPr>
          <w:rFonts w:ascii="仿宋_GB2312" w:hAnsi="ˎ̥"/>
          <w:color w:val="auto"/>
          <w:sz w:val="32"/>
          <w:szCs w:val="32"/>
        </w:rPr>
        <w:t>9131</w:t>
      </w:r>
      <w:r>
        <w:rPr>
          <w:rFonts w:ascii="仿宋_GB2312" w:hAnsi="ˎ̥" w:eastAsia="仿宋_GB2312" w:cs="仿宋_GB2312"/>
          <w:color w:val="auto"/>
          <w:sz w:val="32"/>
          <w:szCs w:val="32"/>
        </w:rPr>
        <w:t>平方米，其中：办公用房</w:t>
      </w:r>
      <w:r>
        <w:rPr>
          <w:rFonts w:ascii="仿宋_GB2312" w:hAnsi="ˎ̥"/>
          <w:color w:val="auto"/>
          <w:sz w:val="32"/>
          <w:szCs w:val="32"/>
        </w:rPr>
        <w:t>489</w:t>
      </w:r>
      <w:r>
        <w:rPr>
          <w:rFonts w:ascii="仿宋_GB2312" w:hAnsi="ˎ̥" w:eastAsia="仿宋_GB2312" w:cs="仿宋_GB2312"/>
          <w:color w:val="auto"/>
          <w:sz w:val="32"/>
          <w:szCs w:val="32"/>
        </w:rPr>
        <w:t>平方米，业务用房</w:t>
      </w:r>
      <w:r>
        <w:rPr>
          <w:rFonts w:ascii="仿宋_GB2312" w:hAnsi="ˎ̥"/>
          <w:color w:val="auto"/>
          <w:sz w:val="32"/>
          <w:szCs w:val="32"/>
        </w:rPr>
        <w:t>387</w:t>
      </w:r>
      <w:r>
        <w:rPr>
          <w:rFonts w:ascii="仿宋_GB2312" w:hAnsi="ˎ̥" w:eastAsia="仿宋_GB2312" w:cs="仿宋_GB2312"/>
          <w:color w:val="auto"/>
          <w:sz w:val="32"/>
          <w:szCs w:val="32"/>
        </w:rPr>
        <w:t>平方米，其他（不含构筑物）</w:t>
      </w:r>
      <w:r>
        <w:rPr>
          <w:rFonts w:ascii="仿宋_GB2312" w:hAnsi="ˎ̥"/>
          <w:color w:val="auto"/>
          <w:sz w:val="32"/>
          <w:szCs w:val="32"/>
        </w:rPr>
        <w:t>468</w:t>
      </w:r>
      <w:r>
        <w:rPr>
          <w:rFonts w:ascii="仿宋_GB2312" w:hAnsi="ˎ̥" w:eastAsia="仿宋_GB2312" w:cs="仿宋_GB2312"/>
          <w:color w:val="auto"/>
          <w:sz w:val="32"/>
          <w:szCs w:val="32"/>
        </w:rPr>
        <w:t>平方米。</w:t>
      </w:r>
    </w:p>
    <w:p>
      <w:pPr>
        <w:spacing w:line="578" w:lineRule="exact"/>
        <w:ind w:firstLine="640" w:firstLineChars="200"/>
        <w:rPr>
          <w:rFonts w:hint="eastAsia" w:ascii="仿宋_GB2312" w:hAnsi="ˎ̥" w:eastAsia="仿宋_GB2312"/>
          <w:color w:val="auto"/>
          <w:sz w:val="32"/>
          <w:szCs w:val="32"/>
        </w:rPr>
      </w:pPr>
      <w:r>
        <w:rPr>
          <w:rFonts w:hint="eastAsia" w:ascii="仿宋_GB2312" w:hAnsi="ˎ̥" w:eastAsia="仿宋_GB2312"/>
          <w:color w:val="auto"/>
          <w:sz w:val="32"/>
          <w:szCs w:val="32"/>
        </w:rPr>
        <w:t>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年末在建工程</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上述国有资产占用情况相关数</w:t>
      </w:r>
      <w:r>
        <w:rPr>
          <w:rFonts w:hint="eastAsia" w:ascii="仿宋_GB2312" w:hAnsi="ˎ̥" w:eastAsia="仿宋_GB2312"/>
          <w:color w:val="auto"/>
          <w:sz w:val="32"/>
          <w:szCs w:val="32"/>
          <w:lang w:val="en-US" w:eastAsia="zh-CN"/>
        </w:rPr>
        <w:t>据</w:t>
      </w:r>
      <w:r>
        <w:rPr>
          <w:rFonts w:hint="eastAsia" w:ascii="仿宋_GB2312" w:hAnsi="ˎ̥" w:eastAsia="仿宋_GB2312"/>
          <w:color w:val="auto"/>
          <w:sz w:val="32"/>
          <w:szCs w:val="32"/>
        </w:rPr>
        <w:t>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决算F0</w:t>
      </w:r>
      <w:r>
        <w:rPr>
          <w:rFonts w:hint="default" w:ascii="仿宋_GB2312" w:hAnsi="ˎ̥" w:eastAsia="仿宋_GB2312"/>
          <w:color w:val="auto"/>
          <w:sz w:val="32"/>
          <w:szCs w:val="32"/>
          <w:lang w:val="en-US"/>
        </w:rPr>
        <w:t>2</w:t>
      </w:r>
      <w:r>
        <w:rPr>
          <w:rFonts w:hint="eastAsia" w:ascii="仿宋_GB2312" w:hAnsi="ˎ̥" w:eastAsia="仿宋_GB2312"/>
          <w:color w:val="auto"/>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bookmarkStart w:id="113" w:name="_Toc4398_WPSOffice_Level1"/>
      <w:bookmarkStart w:id="114" w:name="_Toc8874_WPSOffice_Level1"/>
      <w:bookmarkStart w:id="115" w:name="_Toc8808_WPSOffice_Level1"/>
      <w:bookmarkStart w:id="116" w:name="_Toc15425_WPSOffice_Level1"/>
      <w:bookmarkStart w:id="117" w:name="_Toc11039_WPSOffice_Level1"/>
      <w:bookmarkStart w:id="118" w:name="_Toc17580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2"/>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支出功能分类的名词解释，各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单位根据实际支出情况填列，可参阅财政部印发的《</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年政府收支分类科目》</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72109F8D"/>
    <w:multiLevelType w:val="singleLevel"/>
    <w:tmpl w:val="72109F8D"/>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27E68"/>
    <w:rsid w:val="1755065F"/>
    <w:rsid w:val="1AFC29C9"/>
    <w:rsid w:val="1CA52F2E"/>
    <w:rsid w:val="1E3630B9"/>
    <w:rsid w:val="26EEC2B5"/>
    <w:rsid w:val="29472309"/>
    <w:rsid w:val="2A6202A5"/>
    <w:rsid w:val="2B406E77"/>
    <w:rsid w:val="2C2A0C43"/>
    <w:rsid w:val="2D1E73A5"/>
    <w:rsid w:val="32717154"/>
    <w:rsid w:val="34B63260"/>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FA38D1"/>
    <w:rsid w:val="5F7D3333"/>
    <w:rsid w:val="61385890"/>
    <w:rsid w:val="687436E1"/>
    <w:rsid w:val="6DA45C50"/>
    <w:rsid w:val="6E9A7825"/>
    <w:rsid w:val="6F670F9B"/>
    <w:rsid w:val="6FBEE311"/>
    <w:rsid w:val="737450E0"/>
    <w:rsid w:val="74054476"/>
    <w:rsid w:val="742F38C4"/>
    <w:rsid w:val="74AB66DC"/>
    <w:rsid w:val="74C4154C"/>
    <w:rsid w:val="75956FFF"/>
    <w:rsid w:val="76FF678A"/>
    <w:rsid w:val="77AA2D01"/>
    <w:rsid w:val="7CDE1DBD"/>
    <w:rsid w:val="7D943A85"/>
    <w:rsid w:val="7DB0448C"/>
    <w:rsid w:val="7E5F9AA4"/>
    <w:rsid w:val="7FF45000"/>
    <w:rsid w:val="8FFC8888"/>
    <w:rsid w:val="A47B0FA9"/>
    <w:rsid w:val="A7F73C99"/>
    <w:rsid w:val="BFFE3BF4"/>
    <w:rsid w:val="DFEBDA37"/>
    <w:rsid w:val="EF6FCA1D"/>
    <w:rsid w:val="EFFF57D6"/>
    <w:rsid w:val="FB7D0C73"/>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1163</Words>
  <Characters>2480</Characters>
  <Lines>67</Lines>
  <Paragraphs>18</Paragraphs>
  <TotalTime>1</TotalTime>
  <ScaleCrop>false</ScaleCrop>
  <LinksUpToDate>false</LinksUpToDate>
  <CharactersWithSpaces>2528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2024-07-24T11:26:00Z</dcterms:created>
  <dc:creator>uos</dc:creator>
  <cp:lastModifiedBy>子净</cp:lastModifiedBy>
  <cp:lastPrinted>2023-08-03T08:58:00Z</cp:lastPrinted>
  <dcterms:modified xsi:type="dcterms:W3CDTF">2025-10-27T01:20:33Z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B846069E82E06C388F89FD68B60BAE3F_43</vt:lpwstr>
  </property>
  <property fmtid="{D5CDD505-2E9C-101B-9397-08002B2CF9AE}" pid="4" name="KSOTemplateDocerSaveRecord">
    <vt:lpwstr>eyJoZGlkIjoiY2VlZThlZDk5ZTQ4MTFjNGY3MjIxNTdiOWMzZmQwMWMiLCJ1c2VySWQiOiIyMzQ5MTc1OTYifQ==</vt:lpwstr>
  </property>
</Properties>
</file>