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bookmarkStart w:id="119" w:name="_GoBack"/>
      <w:r>
        <w:rPr>
          <w:rFonts w:hint="eastAsia" w:ascii="方正小标宋_GBK" w:hAnsi="方正小标宋_GBK" w:eastAsia="方正小标宋_GBK" w:cs="方正小标宋_GBK"/>
          <w:b w:val="0"/>
          <w:bCs w:val="0"/>
          <w:color w:val="auto"/>
          <w:sz w:val="44"/>
          <w:szCs w:val="44"/>
          <w:lang w:eastAsia="zh-CN"/>
        </w:rPr>
        <w:t>屯昌县南坤镇黄岭中学</w:t>
      </w:r>
      <w:r>
        <w:rPr>
          <w:rFonts w:hint="eastAsia" w:ascii="方正小标宋_GBK" w:hAnsi="方正小标宋_GBK" w:eastAsia="方正小标宋_GBK" w:cs="方正小标宋_GBK"/>
          <w:b w:val="0"/>
          <w:bCs w:val="0"/>
          <w:color w:val="auto"/>
          <w:sz w:val="44"/>
          <w:szCs w:val="44"/>
        </w:rPr>
        <w:t>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lang w:val="en-US" w:eastAsia="zh-CN"/>
        </w:rPr>
        <w:t>单位</w:t>
      </w:r>
      <w:r>
        <w:rPr>
          <w:rFonts w:hint="eastAsia" w:ascii="方正小标宋_GBK" w:hAnsi="方正小标宋_GBK" w:eastAsia="方正小标宋_GBK" w:cs="方正小标宋_GBK"/>
          <w:b w:val="0"/>
          <w:bCs w:val="0"/>
          <w:color w:val="auto"/>
          <w:sz w:val="44"/>
          <w:szCs w:val="44"/>
        </w:rPr>
        <w:t>决算公开报告</w:t>
      </w:r>
    </w:p>
    <w:p>
      <w:pPr>
        <w:spacing w:line="578" w:lineRule="exact"/>
        <w:jc w:val="center"/>
        <w:rPr>
          <w:rFonts w:hint="eastAsia" w:ascii="黑体" w:hAnsi="ˎ̥" w:eastAsia="黑体"/>
          <w:b/>
          <w:color w:val="auto"/>
          <w:sz w:val="32"/>
          <w:szCs w:val="32"/>
        </w:rPr>
      </w:pPr>
    </w:p>
    <w:p>
      <w:pPr>
        <w:spacing w:line="578" w:lineRule="exact"/>
        <w:jc w:val="center"/>
        <w:rPr>
          <w:rFonts w:hint="eastAsia" w:ascii="黑体" w:hAnsi="黑体" w:eastAsia="黑体" w:cs="黑体"/>
          <w:color w:val="auto"/>
          <w:sz w:val="44"/>
          <w:szCs w:val="44"/>
        </w:rPr>
      </w:pPr>
      <w:bookmarkStart w:id="0" w:name="_Toc11440_WPSOffice_Type2"/>
      <w:r>
        <w:rPr>
          <w:rFonts w:hint="eastAsia" w:ascii="黑体" w:hAnsi="黑体" w:eastAsia="黑体" w:cs="黑体"/>
          <w:color w:val="auto"/>
          <w:sz w:val="44"/>
          <w:szCs w:val="44"/>
        </w:rPr>
        <w:t>目  录</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_Toc1704_WPSOffice_Level1 </w:instrText>
      </w:r>
      <w:r>
        <w:rPr>
          <w:color w:val="auto"/>
          <w:sz w:val="32"/>
          <w:szCs w:val="32"/>
        </w:rPr>
        <w:fldChar w:fldCharType="separate"/>
      </w:r>
      <w:r>
        <w:rPr>
          <w:rFonts w:hint="eastAsia" w:ascii="黑体" w:hAnsi="ˎ̥" w:eastAsia="黑体"/>
          <w:color w:val="auto"/>
          <w:sz w:val="32"/>
          <w:szCs w:val="32"/>
        </w:rPr>
        <w:t>第一部分 基本情况</w:t>
      </w:r>
      <w:r>
        <w:rPr>
          <w:color w:val="auto"/>
          <w:sz w:val="32"/>
          <w:szCs w:val="32"/>
        </w:rPr>
        <w:tab/>
      </w:r>
      <w:r>
        <w:rPr>
          <w:color w:val="auto"/>
          <w:sz w:val="32"/>
          <w:szCs w:val="32"/>
        </w:rPr>
        <w:fldChar w:fldCharType="end"/>
      </w:r>
      <w:r>
        <w:rPr>
          <w:rFonts w:hint="eastAsia"/>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_Toc20274_WPSOffice_Level2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一、单位职责</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_Toc4833_WPSOffice_Level2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二、机构设置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_Toc28253_WPSOffice_Level1 </w:instrText>
      </w:r>
      <w:r>
        <w:rPr>
          <w:color w:val="auto"/>
          <w:sz w:val="32"/>
          <w:szCs w:val="32"/>
        </w:rPr>
        <w:fldChar w:fldCharType="separate"/>
      </w: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决算公开表</w:t>
      </w:r>
      <w:r>
        <w:rPr>
          <w:color w:val="auto"/>
          <w:sz w:val="32"/>
          <w:szCs w:val="32"/>
        </w:rPr>
        <w:tab/>
      </w:r>
      <w:r>
        <w:rPr>
          <w:color w:val="auto"/>
          <w:sz w:val="32"/>
          <w:szCs w:val="32"/>
        </w:rPr>
        <w:fldChar w:fldCharType="end"/>
      </w:r>
      <w:r>
        <w:rPr>
          <w:rFonts w:hint="eastAsia"/>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_Toc27590_WPSOffice_Level1 </w:instrText>
      </w:r>
      <w:r>
        <w:rPr>
          <w:color w:val="auto"/>
          <w:sz w:val="32"/>
          <w:szCs w:val="32"/>
        </w:rPr>
        <w:fldChar w:fldCharType="separate"/>
      </w:r>
      <w:r>
        <w:rPr>
          <w:rFonts w:hint="eastAsia" w:ascii="黑体" w:hAnsi="黑体" w:eastAsia="黑体" w:cs="黑体"/>
          <w:color w:val="auto"/>
          <w:sz w:val="32"/>
          <w:szCs w:val="32"/>
        </w:rPr>
        <w:t>第三部分</w:t>
      </w:r>
      <w:r>
        <w:rPr>
          <w:rFonts w:hint="eastAsia"/>
          <w:color w:val="auto"/>
          <w:sz w:val="32"/>
          <w:szCs w:val="32"/>
        </w:rPr>
        <w:t xml:space="preserve">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r>
        <w:rPr>
          <w:color w:val="auto"/>
          <w:sz w:val="32"/>
          <w:szCs w:val="32"/>
        </w:rPr>
        <w:tab/>
      </w:r>
      <w:r>
        <w:rPr>
          <w:color w:val="auto"/>
          <w:sz w:val="32"/>
          <w:szCs w:val="32"/>
        </w:rPr>
        <w:fldChar w:fldCharType="end"/>
      </w:r>
      <w:r>
        <w:rPr>
          <w:rFonts w:hint="eastAsia"/>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_Toc21737_WPSOffice_Level2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一、收入支出总体情况说明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二、收入决算情况说明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三、支出决算情况说明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四、财政拨款收入支出决算</w:t>
      </w:r>
      <w:r>
        <w:rPr>
          <w:rFonts w:hint="eastAsia" w:ascii="仿宋" w:hAnsi="仿宋" w:eastAsia="仿宋" w:cs="仿宋"/>
          <w:bCs/>
          <w:color w:val="auto"/>
          <w:sz w:val="32"/>
          <w:szCs w:val="32"/>
          <w:lang w:val="en-US" w:eastAsia="zh-CN"/>
        </w:rPr>
        <w:t>总体</w:t>
      </w:r>
      <w:r>
        <w:rPr>
          <w:rFonts w:hint="eastAsia" w:ascii="仿宋" w:hAnsi="仿宋" w:eastAsia="仿宋" w:cs="仿宋"/>
          <w:bCs/>
          <w:color w:val="auto"/>
          <w:sz w:val="32"/>
          <w:szCs w:val="32"/>
        </w:rPr>
        <w:t>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五、一般公共预算财政拨款支出决算情况说明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5</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六、一般公共预算财政拨款基本支出决算情况说明</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ab/>
      </w:r>
      <w:r>
        <w:rPr>
          <w:rFonts w:hint="eastAsia" w:ascii="仿宋" w:hAnsi="仿宋" w:eastAsia="仿宋" w:cs="仿宋"/>
          <w:color w:val="auto"/>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政府性基金预算财政拨款支出决算情况说明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国有资本经营预算财政拨款支出决算情况说明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8</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九、财政拨款“三公”经费支出决算情况说明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9</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十、预算绩效情况说明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11</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十一、其他重要事项情况说明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13</w:t>
      </w:r>
    </w:p>
    <w:p>
      <w:pPr>
        <w:pStyle w:val="15"/>
        <w:tabs>
          <w:tab w:val="right" w:leader="dot" w:pos="8306"/>
        </w:tabs>
        <w:spacing w:line="578" w:lineRule="exact"/>
        <w:rPr>
          <w:rFonts w:hint="eastAsia" w:ascii="黑体" w:hAnsi="ˎ̥"/>
          <w:b/>
          <w:color w:val="auto"/>
          <w:sz w:val="32"/>
          <w:szCs w:val="32"/>
        </w:rPr>
      </w:pPr>
      <w:r>
        <w:rPr>
          <w:color w:val="auto"/>
          <w:sz w:val="32"/>
          <w:szCs w:val="32"/>
        </w:rPr>
        <w:fldChar w:fldCharType="begin"/>
      </w:r>
      <w:r>
        <w:rPr>
          <w:color w:val="auto"/>
          <w:sz w:val="32"/>
          <w:szCs w:val="32"/>
        </w:rPr>
        <w:instrText xml:space="preserve"> HYPERLINK \l _Toc15425_WPSOffice_Level1 </w:instrText>
      </w:r>
      <w:r>
        <w:rPr>
          <w:color w:val="auto"/>
          <w:sz w:val="32"/>
          <w:szCs w:val="32"/>
        </w:rPr>
        <w:fldChar w:fldCharType="separate"/>
      </w:r>
      <w:r>
        <w:rPr>
          <w:rFonts w:hint="eastAsia" w:ascii="黑体" w:hAnsi="ˎ̥" w:eastAsia="黑体"/>
          <w:color w:val="auto"/>
          <w:sz w:val="32"/>
          <w:szCs w:val="32"/>
        </w:rPr>
        <w:t>第四部分  名词解释</w:t>
      </w:r>
      <w:r>
        <w:rPr>
          <w:color w:val="auto"/>
          <w:sz w:val="32"/>
          <w:szCs w:val="32"/>
        </w:rPr>
        <w:tab/>
      </w:r>
      <w:bookmarkStart w:id="1" w:name="_Toc15425_WPSOffice_Level1Page"/>
      <w:r>
        <w:rPr>
          <w:color w:val="auto"/>
          <w:sz w:val="32"/>
          <w:szCs w:val="32"/>
        </w:rPr>
        <w:t>1</w:t>
      </w:r>
      <w:bookmarkEnd w:id="1"/>
      <w:r>
        <w:rPr>
          <w:color w:val="auto"/>
          <w:sz w:val="32"/>
          <w:szCs w:val="32"/>
        </w:rPr>
        <w:fldChar w:fldCharType="end"/>
      </w:r>
      <w:bookmarkEnd w:id="0"/>
      <w:r>
        <w:rPr>
          <w:rFonts w:hint="eastAsia"/>
          <w:color w:val="auto"/>
          <w:sz w:val="32"/>
          <w:szCs w:val="32"/>
        </w:rPr>
        <w:t>5</w:t>
      </w:r>
    </w:p>
    <w:p>
      <w:pPr>
        <w:spacing w:line="578" w:lineRule="exact"/>
        <w:jc w:val="both"/>
        <w:rPr>
          <w:rFonts w:hint="eastAsia" w:ascii="黑体" w:hAnsi="ˎ̥" w:eastAsia="黑体"/>
          <w:color w:val="auto"/>
          <w:sz w:val="32"/>
          <w:szCs w:val="32"/>
        </w:rPr>
      </w:pPr>
      <w:bookmarkStart w:id="2" w:name="_Toc32433_WPSOffice_Level1"/>
      <w:bookmarkStart w:id="3" w:name="_Toc10049_WPSOffice_Level1"/>
      <w:bookmarkStart w:id="4" w:name="_Toc22941_WPSOffice_Level1"/>
      <w:bookmarkStart w:id="5" w:name="_Toc10720_WPSOffice_Level1"/>
      <w:bookmarkStart w:id="6" w:name="_Toc23465_WPSOffice_Level1"/>
      <w:bookmarkStart w:id="7" w:name="_Toc1704_WPSOffice_Level1"/>
      <w:bookmarkStart w:id="8" w:name="_Toc24238_WPSOffice_Level2"/>
      <w:bookmarkStart w:id="9" w:name="_Toc14159_WPSOffice_Level2"/>
      <w:bookmarkStart w:id="10" w:name="_Toc20274_WPSOffice_Level2"/>
      <w:bookmarkStart w:id="11" w:name="_Toc26580_WPSOffice_Level2"/>
      <w:bookmarkStart w:id="12" w:name="_Toc20205_WPSOffice_Level2"/>
      <w:bookmarkStart w:id="13" w:name="_Toc32622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第一部分  </w:t>
      </w:r>
      <w:bookmarkEnd w:id="2"/>
      <w:bookmarkEnd w:id="3"/>
      <w:bookmarkEnd w:id="4"/>
      <w:bookmarkEnd w:id="5"/>
      <w:bookmarkEnd w:id="6"/>
      <w:bookmarkEnd w:id="7"/>
      <w:r>
        <w:rPr>
          <w:rFonts w:hint="eastAsia" w:ascii="黑体" w:hAnsi="ˎ̥" w:eastAsia="黑体"/>
          <w:color w:val="auto"/>
          <w:sz w:val="32"/>
          <w:szCs w:val="32"/>
        </w:rPr>
        <w:t>基本情况</w:t>
      </w:r>
    </w:p>
    <w:p>
      <w:pPr>
        <w:spacing w:line="578" w:lineRule="exact"/>
        <w:ind w:firstLine="640" w:firstLineChars="200"/>
        <w:rPr>
          <w:rFonts w:hint="eastAsia" w:ascii="楷体" w:hAnsi="楷体" w:eastAsia="楷体" w:cs="楷体"/>
          <w:color w:val="auto"/>
          <w:sz w:val="32"/>
          <w:szCs w:val="32"/>
        </w:rPr>
      </w:pPr>
    </w:p>
    <w:bookmarkEnd w:id="8"/>
    <w:p>
      <w:pPr>
        <w:numPr>
          <w:ilvl w:val="0"/>
          <w:numId w:val="2"/>
        </w:num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lang w:eastAsia="zh-CN"/>
        </w:rPr>
        <w:t>单位</w:t>
      </w:r>
      <w:r>
        <w:rPr>
          <w:rFonts w:hint="eastAsia" w:ascii="黑体" w:hAnsi="黑体" w:eastAsia="黑体" w:cs="黑体"/>
          <w:color w:val="auto"/>
          <w:sz w:val="32"/>
          <w:szCs w:val="32"/>
        </w:rPr>
        <w:t>职责</w:t>
      </w:r>
      <w:bookmarkEnd w:id="9"/>
      <w:bookmarkEnd w:id="10"/>
      <w:bookmarkEnd w:id="11"/>
      <w:bookmarkEnd w:id="12"/>
      <w:bookmarkEnd w:id="13"/>
    </w:p>
    <w:p>
      <w:pPr>
        <w:numPr>
          <w:ilvl w:val="0"/>
          <w:numId w:val="0"/>
        </w:numPr>
        <w:spacing w:line="578" w:lineRule="exact"/>
        <w:ind w:firstLine="560" w:firstLineChars="200"/>
        <w:rPr>
          <w:rFonts w:hint="eastAsia" w:ascii="黑体" w:hAnsi="黑体" w:eastAsia="黑体" w:cs="黑体"/>
          <w:color w:val="auto"/>
          <w:sz w:val="32"/>
          <w:szCs w:val="32"/>
        </w:rPr>
      </w:pPr>
      <w:r>
        <w:rPr>
          <w:rFonts w:hint="eastAsia" w:ascii="宋体" w:hAnsi="宋体" w:cs="宋体"/>
          <w:color w:val="auto"/>
          <w:kern w:val="0"/>
          <w:sz w:val="28"/>
          <w:szCs w:val="28"/>
          <w:lang w:eastAsia="zh-CN"/>
        </w:rPr>
        <w:t>屯昌县南坤镇黄岭中学</w:t>
      </w:r>
      <w:r>
        <w:rPr>
          <w:rFonts w:hint="eastAsia" w:ascii="宋体" w:hAnsi="宋体" w:eastAsia="宋体" w:cs="宋体"/>
          <w:color w:val="auto"/>
          <w:kern w:val="0"/>
          <w:sz w:val="28"/>
          <w:szCs w:val="28"/>
        </w:rPr>
        <w:t>是一所乡</w:t>
      </w:r>
      <w:r>
        <w:rPr>
          <w:rFonts w:hint="eastAsia" w:ascii="宋体" w:hAnsi="宋体" w:cs="宋体"/>
          <w:color w:val="auto"/>
          <w:kern w:val="0"/>
          <w:sz w:val="28"/>
          <w:szCs w:val="28"/>
          <w:lang w:eastAsia="zh-CN"/>
        </w:rPr>
        <w:t>村中</w:t>
      </w:r>
      <w:r>
        <w:rPr>
          <w:rFonts w:hint="eastAsia" w:ascii="宋体" w:hAnsi="宋体" w:eastAsia="宋体" w:cs="宋体"/>
          <w:color w:val="auto"/>
          <w:kern w:val="0"/>
          <w:sz w:val="28"/>
          <w:szCs w:val="28"/>
        </w:rPr>
        <w:t>学。其主要职责：实施</w:t>
      </w:r>
      <w:r>
        <w:rPr>
          <w:rFonts w:hint="eastAsia" w:ascii="宋体" w:hAnsi="宋体" w:cs="宋体"/>
          <w:color w:val="auto"/>
          <w:kern w:val="0"/>
          <w:sz w:val="28"/>
          <w:szCs w:val="28"/>
          <w:lang w:eastAsia="zh-CN"/>
        </w:rPr>
        <w:t>辖区内</w:t>
      </w:r>
      <w:r>
        <w:rPr>
          <w:rFonts w:hint="eastAsia" w:ascii="宋体" w:hAnsi="宋体" w:eastAsia="宋体" w:cs="宋体"/>
          <w:color w:val="auto"/>
          <w:kern w:val="0"/>
          <w:sz w:val="28"/>
          <w:szCs w:val="28"/>
        </w:rPr>
        <w:t>适龄儿童的义务教育，促进基础教育发展。</w:t>
      </w:r>
    </w:p>
    <w:p>
      <w:pPr>
        <w:spacing w:line="578" w:lineRule="exact"/>
        <w:ind w:firstLine="640" w:firstLineChars="200"/>
        <w:rPr>
          <w:rFonts w:hint="eastAsia" w:ascii="黑体" w:hAnsi="黑体" w:eastAsia="黑体" w:cs="黑体"/>
          <w:color w:val="auto"/>
          <w:sz w:val="32"/>
          <w:szCs w:val="32"/>
        </w:rPr>
      </w:pPr>
      <w:bookmarkStart w:id="14" w:name="_Toc24059_WPSOffice_Level2"/>
      <w:bookmarkStart w:id="15" w:name="_Toc6572_WPSOffice_Level2"/>
      <w:bookmarkStart w:id="16" w:name="_Toc17796_WPSOffice_Level2"/>
      <w:bookmarkStart w:id="17" w:name="_Toc24474_WPSOffice_Level2"/>
      <w:bookmarkStart w:id="18" w:name="_Toc4833_WPSOffice_Level2"/>
      <w:r>
        <w:rPr>
          <w:rFonts w:hint="eastAsia" w:ascii="黑体" w:hAnsi="黑体" w:eastAsia="黑体" w:cs="黑体"/>
          <w:color w:val="auto"/>
          <w:sz w:val="32"/>
          <w:szCs w:val="32"/>
        </w:rPr>
        <w:t>二、机构设置</w:t>
      </w:r>
      <w:bookmarkEnd w:id="14"/>
      <w:bookmarkEnd w:id="15"/>
      <w:bookmarkEnd w:id="16"/>
      <w:bookmarkEnd w:id="17"/>
      <w:bookmarkEnd w:id="18"/>
    </w:p>
    <w:p>
      <w:pPr>
        <w:keepNext w:val="0"/>
        <w:keepLines w:val="0"/>
        <w:widowControl/>
        <w:suppressLineNumbers w:val="0"/>
        <w:spacing w:before="0" w:beforeAutospacing="1" w:after="0" w:afterAutospacing="1"/>
        <w:ind w:left="0" w:right="0" w:firstLine="560" w:firstLineChars="200"/>
        <w:rPr>
          <w:rFonts w:hint="eastAsia" w:ascii="黑体" w:hAnsi="ˎ̥" w:eastAsia="黑体"/>
          <w:color w:val="auto"/>
          <w:sz w:val="32"/>
          <w:szCs w:val="32"/>
        </w:rPr>
      </w:pPr>
      <w:bookmarkStart w:id="19" w:name="_Toc6234_WPSOffice_Level1"/>
      <w:bookmarkStart w:id="20" w:name="_Toc30451_WPSOffice_Level1"/>
      <w:bookmarkStart w:id="21" w:name="_Toc15521_WPSOffice_Level1"/>
      <w:bookmarkStart w:id="22" w:name="_Toc28253_WPSOffice_Level1"/>
      <w:bookmarkStart w:id="23" w:name="_Toc30690_WPSOffice_Level1"/>
      <w:bookmarkStart w:id="24" w:name="_Toc8164_WPSOffice_Level1"/>
      <w:bookmarkStart w:id="25" w:name="_Toc32472_WPSOffice_Level2"/>
      <w:bookmarkStart w:id="26" w:name="_Toc4029_WPSOffice_Level2"/>
      <w:bookmarkStart w:id="27" w:name="_Toc8867_WPSOffice_Level2"/>
      <w:bookmarkStart w:id="28" w:name="_Toc11518_WPSOffice_Level2"/>
      <w:bookmarkStart w:id="29" w:name="_Toc6211_WPSOffice_Level2"/>
      <w:bookmarkStart w:id="30" w:name="_Toc32695_WPSOffice_Level2"/>
      <w:r>
        <w:rPr>
          <w:rFonts w:hint="eastAsia" w:ascii="宋体" w:hAnsi="宋体" w:cs="宋体"/>
          <w:color w:val="auto"/>
          <w:kern w:val="0"/>
          <w:sz w:val="28"/>
          <w:szCs w:val="28"/>
          <w:lang w:eastAsia="zh-CN"/>
        </w:rPr>
        <w:t>屯昌县南坤镇黄岭中学单位本级</w:t>
      </w:r>
      <w:r>
        <w:rPr>
          <w:rFonts w:hint="eastAsia" w:ascii="宋体" w:hAnsi="宋体" w:eastAsia="宋体" w:cs="宋体"/>
          <w:color w:val="auto"/>
          <w:kern w:val="0"/>
          <w:sz w:val="28"/>
          <w:szCs w:val="28"/>
        </w:rPr>
        <w:t>。</w:t>
      </w:r>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color w:val="auto"/>
          <w:sz w:val="32"/>
          <w:szCs w:val="32"/>
        </w:rPr>
      </w:pPr>
      <w:bookmarkStart w:id="31" w:name="_Toc28622_WPSOffice_Level2"/>
      <w:bookmarkStart w:id="32" w:name="_Toc26621_WPSOffice_Level2"/>
      <w:bookmarkStart w:id="33" w:name="_Toc23139_WPSOffice_Level2"/>
      <w:bookmarkStart w:id="34" w:name="_Toc14349_WPSOffice_Level2"/>
      <w:bookmarkStart w:id="35" w:name="_Toc30334_WPSOffice_Level2"/>
      <w:bookmarkStart w:id="36" w:name="_Toc25608_WPSOffice_Level2"/>
      <w:r>
        <w:rPr>
          <w:rFonts w:hint="eastAsia" w:ascii="黑体" w:hAnsi="黑体" w:eastAsia="黑体" w:cs="黑体"/>
          <w:color w:val="auto"/>
          <w:sz w:val="32"/>
          <w:szCs w:val="32"/>
        </w:rPr>
        <w:t>二、收入决算公开表</w:t>
      </w:r>
      <w:bookmarkEnd w:id="31"/>
      <w:bookmarkEnd w:id="32"/>
      <w:bookmarkEnd w:id="33"/>
      <w:bookmarkEnd w:id="34"/>
      <w:bookmarkEnd w:id="35"/>
      <w:bookmarkEnd w:id="36"/>
      <w:bookmarkStart w:id="37" w:name="_Toc13854_WPSOffice_Level2"/>
      <w:bookmarkStart w:id="38" w:name="_Toc3262_WPSOffice_Level2"/>
      <w:bookmarkStart w:id="39" w:name="_Toc5489_WPSOffice_Level2"/>
      <w:bookmarkStart w:id="40" w:name="_Toc17626_WPSOffice_Level2"/>
      <w:bookmarkStart w:id="41" w:name="_Toc14658_WPSOffice_Level2"/>
      <w:bookmarkStart w:id="42" w:name="_Toc17858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37"/>
      <w:bookmarkEnd w:id="38"/>
      <w:bookmarkEnd w:id="39"/>
      <w:bookmarkEnd w:id="40"/>
      <w:bookmarkEnd w:id="41"/>
      <w:bookmarkEnd w:id="42"/>
      <w:bookmarkStart w:id="43" w:name="_Toc23591_WPSOffice_Level2"/>
      <w:bookmarkStart w:id="44" w:name="_Toc7988_WPSOffice_Level2"/>
      <w:bookmarkStart w:id="45" w:name="_Toc21415_WPSOffice_Level2"/>
      <w:bookmarkStart w:id="46" w:name="_Toc4265_WPSOffice_Level2"/>
      <w:bookmarkStart w:id="47" w:name="_Toc13701_WPSOffice_Level2"/>
      <w:bookmarkStart w:id="48" w:name="_Toc2349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color w:val="auto"/>
          <w:sz w:val="32"/>
          <w:szCs w:val="32"/>
        </w:rPr>
      </w:pPr>
      <w:bookmarkStart w:id="49" w:name="_Toc25166_WPSOffice_Level2"/>
      <w:bookmarkStart w:id="50" w:name="_Toc23829_WPSOffice_Level2"/>
      <w:bookmarkStart w:id="51" w:name="_Toc22783_WPSOffice_Level2"/>
      <w:bookmarkStart w:id="52" w:name="_Toc7879_WPSOffice_Level2"/>
      <w:bookmarkStart w:id="53" w:name="_Toc13516_WPSOffice_Level2"/>
      <w:bookmarkStart w:id="54" w:name="_Toc2158_WPSOffice_Level2"/>
      <w:r>
        <w:rPr>
          <w:rFonts w:hint="eastAsia" w:ascii="黑体" w:hAnsi="黑体" w:eastAsia="黑体" w:cs="黑体"/>
          <w:color w:val="auto"/>
          <w:sz w:val="32"/>
          <w:szCs w:val="32"/>
        </w:rPr>
        <w:t>五、一般公共预算财政拨款收入支出决算</w:t>
      </w:r>
      <w:bookmarkEnd w:id="49"/>
      <w:bookmarkEnd w:id="50"/>
      <w:bookmarkEnd w:id="51"/>
      <w:bookmarkEnd w:id="52"/>
      <w:r>
        <w:rPr>
          <w:rFonts w:hint="eastAsia" w:ascii="黑体" w:hAnsi="黑体" w:eastAsia="黑体" w:cs="黑体"/>
          <w:color w:val="auto"/>
          <w:sz w:val="32"/>
          <w:szCs w:val="32"/>
        </w:rPr>
        <w:t>公开表</w:t>
      </w:r>
      <w:bookmarkEnd w:id="53"/>
      <w:bookmarkEnd w:id="54"/>
      <w:bookmarkStart w:id="55" w:name="_Toc5343_WPSOffice_Level2"/>
      <w:bookmarkStart w:id="56" w:name="_Toc2632_WPSOffice_Level2"/>
      <w:bookmarkStart w:id="57" w:name="_Toc25362_WPSOffice_Level2"/>
      <w:bookmarkStart w:id="58" w:name="_Toc8373_WPSOffice_Level2"/>
      <w:bookmarkStart w:id="59" w:name="_Toc17833_WPSOffice_Level2"/>
      <w:bookmarkStart w:id="60" w:name="_Toc1728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bookmarkStart w:id="61" w:name="_Toc11799_WPSOffice_Level2"/>
      <w:bookmarkStart w:id="62" w:name="_Toc21310_WPSOffice_Level2"/>
      <w:bookmarkStart w:id="63" w:name="_Toc1533_WPSOffice_Level2"/>
      <w:bookmarkStart w:id="64" w:name="_Toc6020_WPSOffice_Level2"/>
      <w:bookmarkStart w:id="65" w:name="_Toc5594_WPSOffice_Level2"/>
      <w:bookmarkStart w:id="66" w:name="_Toc13345_WPSOffice_Level2"/>
      <w:r>
        <w:rPr>
          <w:rFonts w:hint="eastAsia" w:ascii="黑体" w:hAnsi="黑体" w:eastAsia="黑体" w:cs="黑体"/>
          <w:color w:val="auto"/>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hint="eastAsia" w:ascii="黑体" w:hAnsi="黑体" w:eastAsia="黑体" w:cs="黑体"/>
          <w:color w:val="auto"/>
          <w:sz w:val="32"/>
          <w:szCs w:val="32"/>
        </w:rPr>
      </w:pPr>
      <w:bookmarkStart w:id="67" w:name="_Toc9377_WPSOffice_Level2"/>
      <w:bookmarkStart w:id="68" w:name="_Toc19961_WPSOffice_Level2"/>
      <w:bookmarkStart w:id="69" w:name="_Toc29886_WPSOffice_Level2"/>
      <w:bookmarkStart w:id="70" w:name="_Toc1820_WPSOffice_Level2"/>
      <w:r>
        <w:rPr>
          <w:rFonts w:hint="eastAsia" w:ascii="黑体" w:hAnsi="黑体" w:eastAsia="黑体" w:cs="黑体"/>
          <w:color w:val="auto"/>
          <w:sz w:val="32"/>
          <w:szCs w:val="32"/>
        </w:rPr>
        <w:t>九、财政拨款“三公”经费支出决算</w:t>
      </w:r>
      <w:bookmarkEnd w:id="67"/>
      <w:bookmarkEnd w:id="68"/>
      <w:bookmarkEnd w:id="69"/>
      <w:bookmarkEnd w:id="70"/>
      <w:r>
        <w:rPr>
          <w:rFonts w:hint="eastAsia" w:ascii="黑体" w:hAnsi="黑体" w:eastAsia="黑体" w:cs="黑体"/>
          <w:color w:val="auto"/>
          <w:sz w:val="32"/>
          <w:szCs w:val="32"/>
        </w:rPr>
        <w:t>公开表</w:t>
      </w:r>
    </w:p>
    <w:p>
      <w:pPr>
        <w:spacing w:line="578" w:lineRule="exact"/>
        <w:ind w:firstLine="640"/>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spacing w:line="578" w:lineRule="exact"/>
        <w:ind w:firstLine="640"/>
        <w:rPr>
          <w:rFonts w:hint="eastAsia" w:ascii="仿宋" w:hAnsi="仿宋" w:eastAsia="仿宋" w:cs="仿宋"/>
          <w:color w:val="auto"/>
          <w:w w:val="100"/>
          <w:sz w:val="32"/>
          <w:szCs w:val="32"/>
        </w:rPr>
      </w:pPr>
    </w:p>
    <w:p>
      <w:pPr>
        <w:spacing w:line="578" w:lineRule="exact"/>
        <w:rPr>
          <w:rFonts w:hint="eastAsia"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71" w:name="_Toc29683_WPSOffice_Level1"/>
      <w:bookmarkStart w:id="72" w:name="_Toc31264_WPSOffice_Level1"/>
      <w:bookmarkStart w:id="73" w:name="_Toc4402_WPSOffice_Level1"/>
      <w:bookmarkStart w:id="74" w:name="_Toc28629_WPSOffice_Level1"/>
      <w:bookmarkStart w:id="75" w:name="_Toc16686_WPSOffice_Level1"/>
      <w:bookmarkStart w:id="76" w:name="_Toc27590_WPSOffice_Level1"/>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bookmarkEnd w:id="71"/>
      <w:bookmarkEnd w:id="72"/>
      <w:bookmarkEnd w:id="73"/>
      <w:bookmarkEnd w:id="74"/>
      <w:bookmarkEnd w:id="75"/>
      <w:bookmarkEnd w:id="76"/>
    </w:p>
    <w:p>
      <w:pPr>
        <w:spacing w:line="578" w:lineRule="exact"/>
        <w:jc w:val="center"/>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w:t>
      </w:r>
      <w:r>
        <w:rPr>
          <w:rFonts w:hint="eastAsia" w:ascii="仿宋_GB2312" w:hAnsi="ˎ̥" w:eastAsia="仿宋_GB2312"/>
          <w:color w:val="auto"/>
          <w:sz w:val="32"/>
          <w:szCs w:val="32"/>
          <w:lang w:eastAsia="zh-CN"/>
        </w:rPr>
        <w:t>、支</w:t>
      </w:r>
      <w:r>
        <w:rPr>
          <w:rFonts w:hint="eastAsia" w:ascii="仿宋_GB2312" w:hAnsi="ˎ̥" w:eastAsia="仿宋_GB2312"/>
          <w:color w:val="auto"/>
          <w:sz w:val="32"/>
          <w:szCs w:val="32"/>
        </w:rPr>
        <w:t>总计</w:t>
      </w:r>
      <w:r>
        <w:rPr>
          <w:rFonts w:hint="eastAsia" w:ascii="仿宋_GB2312" w:hAnsi="ˎ̥" w:eastAsia="仿宋_GB2312"/>
          <w:color w:val="auto"/>
          <w:sz w:val="32"/>
          <w:szCs w:val="32"/>
          <w:lang w:val="en-US" w:eastAsia="zh-CN"/>
        </w:rPr>
        <w:t>836.37</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年度相比，收入、支出总计各增加</w:t>
      </w:r>
      <w:r>
        <w:rPr>
          <w:rFonts w:hint="eastAsia" w:ascii="仿宋_GB2312" w:hAnsi="ˎ̥" w:eastAsia="仿宋_GB2312"/>
          <w:color w:val="auto"/>
          <w:sz w:val="32"/>
          <w:szCs w:val="32"/>
          <w:lang w:val="en-US" w:eastAsia="zh-CN"/>
        </w:rPr>
        <w:t>39.89</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5</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人员薪资增加。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eastAsia" w:ascii="仿宋_GB2312" w:hAnsi="ˎ̥" w:eastAsia="仿宋_GB2312"/>
          <w:color w:val="auto"/>
          <w:sz w:val="32"/>
          <w:szCs w:val="32"/>
          <w:lang w:val="en-US" w:eastAsia="zh-CN"/>
        </w:rPr>
        <w:t>835.22</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46.98</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eastAsia" w:ascii="仿宋_GB2312" w:hAnsi="ˎ̥" w:eastAsia="仿宋_GB2312"/>
          <w:color w:val="auto"/>
          <w:sz w:val="32"/>
          <w:szCs w:val="32"/>
          <w:lang w:val="en-US" w:eastAsia="zh-CN"/>
        </w:rPr>
        <w:t>1.14</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课后服务收费、</w:t>
      </w:r>
      <w:r>
        <w:rPr>
          <w:rFonts w:hint="default" w:ascii="仿宋_GB2312" w:hAnsi="ˎ̥" w:eastAsia="仿宋_GB2312" w:cs="仿宋_GB2312"/>
          <w:color w:val="auto"/>
          <w:kern w:val="0"/>
          <w:sz w:val="32"/>
          <w:szCs w:val="32"/>
          <w:shd w:val="clear" w:fill="FFFFFF"/>
        </w:rPr>
        <w:t>非税收入</w:t>
      </w:r>
      <w:r>
        <w:rPr>
          <w:rFonts w:hint="eastAsia" w:ascii="仿宋_GB2312" w:hAnsi="ˎ̥" w:eastAsia="仿宋_GB2312" w:cs="仿宋_GB2312"/>
          <w:color w:val="auto"/>
          <w:kern w:val="0"/>
          <w:sz w:val="32"/>
          <w:szCs w:val="32"/>
          <w:shd w:val="clear" w:fill="FFFFFF"/>
          <w:lang w:val="en-US" w:eastAsia="zh-CN"/>
        </w:rPr>
        <w:t>等</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eastAsia" w:ascii="仿宋_GB2312" w:hAnsi="ˎ̥" w:eastAsia="仿宋_GB2312"/>
          <w:color w:val="auto"/>
          <w:sz w:val="32"/>
          <w:szCs w:val="32"/>
          <w:lang w:val="en-US" w:eastAsia="zh-CN"/>
        </w:rPr>
        <w:t>835.46</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eastAsia" w:ascii="仿宋_GB2312" w:hAnsi="ˎ̥" w:eastAsia="仿宋_GB2312"/>
          <w:color w:val="auto"/>
          <w:sz w:val="32"/>
          <w:szCs w:val="32"/>
          <w:lang w:val="en-US" w:eastAsia="zh-CN"/>
        </w:rPr>
        <w:t>0.91</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课后服务收费、</w:t>
      </w:r>
      <w:r>
        <w:rPr>
          <w:rFonts w:hint="default" w:ascii="仿宋_GB2312" w:hAnsi="ˎ̥" w:eastAsia="仿宋_GB2312" w:cs="仿宋_GB2312"/>
          <w:color w:val="auto"/>
          <w:kern w:val="0"/>
          <w:sz w:val="32"/>
          <w:szCs w:val="32"/>
          <w:shd w:val="clear" w:fill="FFFFFF"/>
        </w:rPr>
        <w:t>非税收入</w:t>
      </w:r>
      <w:r>
        <w:rPr>
          <w:rFonts w:hint="eastAsia" w:ascii="仿宋_GB2312" w:hAnsi="ˎ̥" w:eastAsia="仿宋_GB2312" w:cs="仿宋_GB2312"/>
          <w:color w:val="auto"/>
          <w:kern w:val="0"/>
          <w:sz w:val="32"/>
          <w:szCs w:val="32"/>
          <w:shd w:val="clear" w:fill="FFFFFF"/>
          <w:lang w:val="en-US" w:eastAsia="zh-CN"/>
        </w:rPr>
        <w:t>等</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年度相关决算数据可取自附件财决公开01、02</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03</w:t>
      </w:r>
      <w:r>
        <w:rPr>
          <w:rFonts w:hint="eastAsia" w:ascii="仿宋_GB2312" w:hAnsi="ˎ̥" w:eastAsia="仿宋_GB2312"/>
          <w:color w:val="auto"/>
          <w:sz w:val="32"/>
          <w:szCs w:val="32"/>
        </w:rPr>
        <w:t>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年度相关决算数据可取自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决算报表财决01表《收入支出决算总表》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eastAsia" w:ascii="仿宋_GB2312" w:hAnsi="ˎ̥" w:eastAsia="仿宋_GB2312"/>
          <w:color w:val="auto"/>
          <w:sz w:val="32"/>
          <w:szCs w:val="32"/>
          <w:lang w:val="en-US" w:eastAsia="zh-CN"/>
        </w:rPr>
        <w:t>835.22</w:t>
      </w:r>
      <w:r>
        <w:rPr>
          <w:rFonts w:hint="eastAsia" w:ascii="仿宋_GB2312" w:hAnsi="ˎ̥" w:eastAsia="仿宋_GB2312"/>
          <w:color w:val="auto"/>
          <w:sz w:val="32"/>
          <w:szCs w:val="32"/>
        </w:rPr>
        <w:t>万元，其中：财政拨款收入</w:t>
      </w:r>
      <w:r>
        <w:rPr>
          <w:rFonts w:hint="eastAsia" w:ascii="仿宋_GB2312" w:hAnsi="ˎ̥" w:eastAsia="仿宋_GB2312"/>
          <w:color w:val="auto"/>
          <w:sz w:val="32"/>
          <w:szCs w:val="32"/>
          <w:lang w:val="en-US" w:eastAsia="zh-CN"/>
        </w:rPr>
        <w:t>827.39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99.06</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eastAsia" w:ascii="仿宋_GB2312" w:hAnsi="ˎ̥" w:eastAsia="仿宋_GB2312"/>
          <w:color w:val="auto"/>
          <w:sz w:val="32"/>
          <w:szCs w:val="32"/>
          <w:lang w:val="en-US" w:eastAsia="zh-CN"/>
        </w:rPr>
        <w:t>7.84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0.94</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eastAsia" w:ascii="仿宋_GB2312" w:hAnsi="ˎ̥" w:eastAsia="仿宋_GB2312"/>
          <w:color w:val="auto"/>
          <w:sz w:val="32"/>
          <w:szCs w:val="32"/>
        </w:rPr>
        <w:t>上述各项收入数可取自财决公开02表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eastAsia" w:ascii="仿宋_GB2312" w:hAnsi="ˎ̥" w:eastAsia="仿宋_GB2312"/>
          <w:color w:val="auto"/>
          <w:sz w:val="32"/>
          <w:szCs w:val="32"/>
          <w:lang w:val="en-US" w:eastAsia="zh-CN"/>
        </w:rPr>
        <w:t>835.46</w:t>
      </w:r>
      <w:r>
        <w:rPr>
          <w:rFonts w:hint="eastAsia" w:ascii="仿宋_GB2312" w:hAnsi="ˎ̥" w:eastAsia="仿宋_GB2312"/>
          <w:color w:val="auto"/>
          <w:sz w:val="32"/>
          <w:szCs w:val="32"/>
        </w:rPr>
        <w:t>万元，其中：基本支出</w:t>
      </w:r>
      <w:r>
        <w:rPr>
          <w:rFonts w:hint="eastAsia" w:ascii="仿宋_GB2312" w:hAnsi="ˎ̥" w:eastAsia="仿宋_GB2312"/>
          <w:color w:val="auto"/>
          <w:sz w:val="32"/>
          <w:szCs w:val="32"/>
          <w:lang w:val="en-US" w:eastAsia="zh-CN"/>
        </w:rPr>
        <w:t>751.97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90</w:t>
      </w:r>
      <w:r>
        <w:rPr>
          <w:rFonts w:hint="eastAsia" w:ascii="仿宋_GB2312" w:hAnsi="ˎ̥" w:eastAsia="仿宋_GB2312"/>
          <w:color w:val="auto"/>
          <w:sz w:val="32"/>
          <w:szCs w:val="32"/>
        </w:rPr>
        <w:t>%；项目支出</w:t>
      </w:r>
      <w:r>
        <w:rPr>
          <w:rFonts w:hint="eastAsia" w:ascii="仿宋_GB2312" w:hAnsi="ˎ̥" w:eastAsia="仿宋_GB2312"/>
          <w:color w:val="auto"/>
          <w:sz w:val="32"/>
          <w:szCs w:val="32"/>
          <w:lang w:val="en-US" w:eastAsia="zh-CN"/>
        </w:rPr>
        <w:t>83.49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上述各项支出数可取自财决公开03表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eastAsia" w:ascii="仿宋_GB2312" w:hAnsi="ˎ̥" w:eastAsia="仿宋_GB2312"/>
          <w:color w:val="auto"/>
          <w:sz w:val="32"/>
          <w:szCs w:val="32"/>
          <w:lang w:val="en-US" w:eastAsia="zh-CN"/>
        </w:rPr>
        <w:t>827.39</w:t>
      </w:r>
      <w:r>
        <w:rPr>
          <w:rFonts w:hint="eastAsia" w:ascii="仿宋_GB2312" w:hAnsi="ˎ̥" w:eastAsia="仿宋_GB2312"/>
          <w:color w:val="auto"/>
          <w:sz w:val="32"/>
          <w:szCs w:val="32"/>
        </w:rPr>
        <w:t>万元，支出</w:t>
      </w:r>
      <w:r>
        <w:rPr>
          <w:rFonts w:hint="eastAsia" w:ascii="仿宋_GB2312" w:hAnsi="ˎ̥" w:eastAsia="仿宋_GB2312"/>
          <w:color w:val="auto"/>
          <w:sz w:val="32"/>
          <w:szCs w:val="32"/>
          <w:lang w:val="en-US" w:eastAsia="zh-CN"/>
        </w:rPr>
        <w:t>827.39</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w:t>
      </w:r>
      <w:r>
        <w:rPr>
          <w:rFonts w:hint="eastAsia" w:ascii="仿宋_GB2312" w:hAnsi="ˎ̥" w:eastAsia="仿宋_GB2312"/>
          <w:color w:val="auto"/>
          <w:sz w:val="32"/>
          <w:szCs w:val="32"/>
          <w:lang w:eastAsia="zh-CN"/>
        </w:rPr>
        <w:t>增加</w:t>
      </w:r>
      <w:r>
        <w:rPr>
          <w:rFonts w:hint="eastAsia" w:ascii="仿宋_GB2312" w:hAnsi="ˎ̥" w:eastAsia="仿宋_GB2312"/>
          <w:color w:val="auto"/>
          <w:sz w:val="32"/>
          <w:szCs w:val="32"/>
          <w:lang w:val="en-US" w:eastAsia="zh-CN"/>
        </w:rPr>
        <w:t>45.63</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增加</w:t>
      </w:r>
      <w:r>
        <w:rPr>
          <w:rFonts w:hint="eastAsia" w:ascii="仿宋_GB2312" w:hAnsi="ˎ̥" w:eastAsia="仿宋_GB2312"/>
          <w:color w:val="auto"/>
          <w:sz w:val="32"/>
          <w:szCs w:val="32"/>
          <w:lang w:val="en-US" w:eastAsia="zh-CN"/>
        </w:rPr>
        <w:t>5.84</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人员</w:t>
      </w:r>
      <w:r>
        <w:rPr>
          <w:rFonts w:hint="eastAsia" w:ascii="仿宋_GB2312" w:hAnsi="ˎ̥" w:eastAsia="仿宋_GB2312"/>
          <w:color w:val="auto"/>
          <w:sz w:val="32"/>
          <w:szCs w:val="32"/>
          <w:lang w:eastAsia="zh-CN"/>
        </w:rPr>
        <w:t>增加</w:t>
      </w:r>
      <w:r>
        <w:rPr>
          <w:rFonts w:hint="eastAsia" w:ascii="仿宋_GB2312" w:hAnsi="ˎ̥" w:eastAsia="仿宋_GB2312"/>
          <w:color w:val="auto"/>
          <w:sz w:val="32"/>
          <w:szCs w:val="32"/>
        </w:rPr>
        <w:t>。支出增加减少</w:t>
      </w:r>
      <w:r>
        <w:rPr>
          <w:rFonts w:hint="eastAsia" w:ascii="仿宋_GB2312" w:hAnsi="ˎ̥" w:eastAsia="仿宋_GB2312"/>
          <w:color w:val="auto"/>
          <w:sz w:val="32"/>
          <w:szCs w:val="32"/>
          <w:lang w:val="en-US" w:eastAsia="zh-CN"/>
        </w:rPr>
        <w:t>45.63</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增加</w:t>
      </w:r>
      <w:r>
        <w:rPr>
          <w:rFonts w:hint="eastAsia" w:ascii="仿宋_GB2312" w:hAnsi="ˎ̥" w:eastAsia="仿宋_GB2312"/>
          <w:color w:val="auto"/>
          <w:sz w:val="32"/>
          <w:szCs w:val="32"/>
          <w:lang w:val="en-US" w:eastAsia="zh-CN"/>
        </w:rPr>
        <w:t>5.84</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人员</w:t>
      </w:r>
      <w:r>
        <w:rPr>
          <w:rFonts w:hint="eastAsia" w:ascii="仿宋_GB2312" w:hAnsi="ˎ̥" w:eastAsia="仿宋_GB2312"/>
          <w:color w:val="auto"/>
          <w:sz w:val="32"/>
          <w:szCs w:val="32"/>
          <w:lang w:eastAsia="zh-CN"/>
        </w:rPr>
        <w:t>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年度决算相关数据可取自财决公开04表。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年度决算相关数据可取自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7" w:name="_Toc23005_WPSOffice_Level2"/>
      <w:bookmarkStart w:id="78" w:name="_Toc9989_WPSOffice_Level2"/>
      <w:bookmarkStart w:id="79" w:name="_Toc13694_WPSOffice_Level2"/>
      <w:bookmarkStart w:id="80" w:name="_Toc21737_WPSOffice_Level2"/>
      <w:bookmarkStart w:id="81" w:name="_Toc19665_WPSOffice_Level2"/>
      <w:bookmarkStart w:id="82" w:name="_Toc17398_WPSOffice_Level2"/>
      <w:r>
        <w:rPr>
          <w:rFonts w:hint="eastAsia" w:ascii="楷体" w:hAnsi="楷体" w:eastAsia="楷体" w:cs="楷体"/>
          <w:color w:val="auto"/>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eastAsia" w:ascii="仿宋_GB2312" w:hAnsi="ˎ̥" w:eastAsia="仿宋_GB2312"/>
          <w:color w:val="auto"/>
          <w:sz w:val="32"/>
          <w:szCs w:val="32"/>
          <w:lang w:val="en-US" w:eastAsia="zh-CN"/>
        </w:rPr>
        <w:t>827.39</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98.93</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w:t>
      </w:r>
      <w:r>
        <w:rPr>
          <w:rFonts w:hint="eastAsia" w:ascii="仿宋_GB2312" w:hAnsi="ˎ̥" w:eastAsia="仿宋_GB2312"/>
          <w:color w:val="auto"/>
          <w:sz w:val="32"/>
          <w:szCs w:val="32"/>
          <w:lang w:eastAsia="zh-CN"/>
        </w:rPr>
        <w:t>增加</w:t>
      </w:r>
      <w:r>
        <w:rPr>
          <w:rFonts w:hint="eastAsia" w:ascii="仿宋_GB2312" w:hAnsi="ˎ̥" w:eastAsia="仿宋_GB2312"/>
          <w:color w:val="auto"/>
          <w:sz w:val="32"/>
          <w:szCs w:val="32"/>
          <w:lang w:val="en-US" w:eastAsia="zh-CN"/>
        </w:rPr>
        <w:t>45.63</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增加</w:t>
      </w:r>
      <w:r>
        <w:rPr>
          <w:rFonts w:hint="eastAsia" w:ascii="仿宋_GB2312" w:hAnsi="ˎ̥" w:eastAsia="仿宋_GB2312"/>
          <w:color w:val="auto"/>
          <w:sz w:val="32"/>
          <w:szCs w:val="32"/>
          <w:lang w:val="en-US" w:eastAsia="zh-CN"/>
        </w:rPr>
        <w:t>5.84</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人员</w:t>
      </w:r>
      <w:r>
        <w:rPr>
          <w:rFonts w:hint="eastAsia" w:ascii="仿宋_GB2312" w:hAnsi="ˎ̥" w:eastAsia="仿宋_GB2312"/>
          <w:color w:val="auto"/>
          <w:sz w:val="32"/>
          <w:szCs w:val="32"/>
          <w:lang w:eastAsia="zh-CN"/>
        </w:rPr>
        <w:t>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3" w:name="_Toc23864_WPSOffice_Level2"/>
      <w:bookmarkStart w:id="84" w:name="_Toc2711_WPSOffice_Level2"/>
      <w:bookmarkStart w:id="85" w:name="_Toc19075_WPSOffice_Level2"/>
      <w:bookmarkStart w:id="86" w:name="_Toc27767_WPSOffice_Level2"/>
      <w:bookmarkStart w:id="87" w:name="_Toc18793_WPSOffice_Level2"/>
      <w:bookmarkStart w:id="88" w:name="_Toc19535_WPSOffice_Level2"/>
      <w:r>
        <w:rPr>
          <w:rFonts w:hint="eastAsia" w:ascii="楷体" w:hAnsi="楷体" w:eastAsia="楷体" w:cs="楷体"/>
          <w:color w:val="auto"/>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eastAsia" w:ascii="仿宋_GB2312" w:hAnsi="ˎ̥" w:eastAsia="仿宋_GB2312"/>
          <w:color w:val="auto"/>
          <w:sz w:val="32"/>
          <w:szCs w:val="32"/>
          <w:lang w:val="en-US" w:eastAsia="zh-CN"/>
        </w:rPr>
        <w:t>827.39</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教育支出（类）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582.36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70.39</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111.82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13.51</w:t>
      </w:r>
      <w:r>
        <w:rPr>
          <w:rFonts w:hint="eastAsia" w:ascii="仿宋_GB2312" w:hAnsi="ˎ̥" w:eastAsia="仿宋_GB2312"/>
          <w:color w:val="auto"/>
          <w:sz w:val="32"/>
          <w:szCs w:val="32"/>
        </w:rPr>
        <w:t>%；</w:t>
      </w:r>
      <w:r>
        <w:rPr>
          <w:rFonts w:hint="eastAsia" w:ascii="仿宋_GB2312" w:hAnsi="ˎ̥" w:eastAsia="仿宋_GB2312"/>
          <w:b/>
          <w:color w:val="auto"/>
          <w:sz w:val="32"/>
          <w:szCs w:val="32"/>
        </w:rPr>
        <w:t>卫生健康支出（类）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81.76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9.88</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51.45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6.22</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9" w:name="_Toc25136_WPSOffice_Level2"/>
      <w:bookmarkStart w:id="90" w:name="_Toc22318_WPSOffice_Level2"/>
      <w:bookmarkStart w:id="91" w:name="_Toc21701_WPSOffice_Level2"/>
      <w:bookmarkStart w:id="92" w:name="_Toc29364_WPSOffice_Level2"/>
      <w:bookmarkStart w:id="93" w:name="_Toc15415_WPSOffice_Level2"/>
      <w:bookmarkStart w:id="94" w:name="_Toc9502_WPSOffice_Level2"/>
      <w:r>
        <w:rPr>
          <w:rFonts w:hint="eastAsia" w:ascii="楷体" w:hAnsi="楷体" w:eastAsia="楷体" w:cs="楷体"/>
          <w:color w:val="auto"/>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780.30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827.39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106.03</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w:t>
      </w:r>
      <w:r>
        <w:rPr>
          <w:rFonts w:hint="default" w:ascii="仿宋_GB2312" w:hAnsi="ˎ̥" w:eastAsia="仿宋_GB2312" w:cs="仿宋_GB2312"/>
          <w:b/>
          <w:bCs/>
          <w:color w:val="auto"/>
          <w:kern w:val="0"/>
          <w:sz w:val="32"/>
          <w:szCs w:val="32"/>
          <w:shd w:val="clear" w:fill="FFFFFF"/>
        </w:rPr>
        <w:t>教育支出（类）普通教育（款）</w:t>
      </w:r>
      <w:r>
        <w:rPr>
          <w:rFonts w:hint="eastAsia" w:ascii="仿宋_GB2312" w:hAnsi="ˎ̥" w:eastAsia="仿宋_GB2312" w:cs="仿宋_GB2312"/>
          <w:b/>
          <w:bCs/>
          <w:color w:val="auto"/>
          <w:kern w:val="0"/>
          <w:sz w:val="32"/>
          <w:szCs w:val="32"/>
          <w:shd w:val="clear" w:fill="FFFFFF"/>
          <w:lang w:eastAsia="zh-CN"/>
        </w:rPr>
        <w:t>初中</w:t>
      </w:r>
      <w:r>
        <w:rPr>
          <w:rFonts w:hint="default" w:ascii="仿宋_GB2312" w:hAnsi="ˎ̥" w:eastAsia="仿宋_GB2312" w:cs="仿宋_GB2312"/>
          <w:b/>
          <w:bCs/>
          <w:color w:val="auto"/>
          <w:kern w:val="0"/>
          <w:sz w:val="32"/>
          <w:szCs w:val="32"/>
          <w:shd w:val="clear" w:fill="FFFFFF"/>
        </w:rPr>
        <w:t>教育（项）</w:t>
      </w:r>
      <w:r>
        <w:rPr>
          <w:rFonts w:hint="eastAsia" w:ascii="仿宋_GB2312" w:hAnsi="ˎ̥" w:eastAsia="仿宋_GB2312"/>
          <w:b/>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525.07</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582.36</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110.91</w:t>
      </w:r>
      <w:r>
        <w:rPr>
          <w:rFonts w:hint="eastAsia" w:ascii="仿宋_GB2312" w:hAnsi="ˎ̥" w:eastAsia="仿宋_GB2312"/>
          <w:color w:val="auto"/>
          <w:sz w:val="32"/>
          <w:szCs w:val="32"/>
        </w:rPr>
        <w:t>%。决算数大于预算数的主要原因：</w:t>
      </w:r>
      <w:r>
        <w:rPr>
          <w:rFonts w:hint="eastAsia" w:ascii="仿宋_GB2312" w:hAnsi="ˎ̥" w:eastAsia="仿宋_GB2312"/>
          <w:color w:val="auto"/>
          <w:sz w:val="32"/>
          <w:szCs w:val="32"/>
          <w:lang w:val="en-US" w:eastAsia="zh-CN"/>
        </w:rPr>
        <w:t>人员薪资增加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2</w:t>
      </w:r>
      <w:r>
        <w:rPr>
          <w:rFonts w:hint="eastAsia" w:ascii="仿宋_GB2312" w:hAnsi="ˎ̥" w:eastAsia="仿宋_GB2312"/>
          <w:color w:val="auto"/>
          <w:sz w:val="32"/>
          <w:szCs w:val="32"/>
        </w:rPr>
        <w:t>.</w:t>
      </w:r>
      <w:r>
        <w:rPr>
          <w:rFonts w:hint="default" w:ascii="仿宋_GB2312" w:hAnsi="ˎ̥" w:eastAsia="仿宋_GB2312" w:cs="仿宋_GB2312"/>
          <w:b/>
          <w:bCs/>
          <w:color w:val="auto"/>
          <w:kern w:val="0"/>
          <w:sz w:val="32"/>
          <w:szCs w:val="32"/>
          <w:shd w:val="clear" w:fill="FFFFFF"/>
        </w:rPr>
        <w:t>社会保障和就业支出（类）行政事业单位养老支出（款） 机关事业单位基本养老保险缴费支出（项）</w:t>
      </w:r>
      <w:r>
        <w:rPr>
          <w:rFonts w:hint="eastAsia" w:ascii="仿宋_GB2312" w:hAnsi="ˎ̥" w:eastAsia="仿宋_GB2312"/>
          <w:b/>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69.49</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65.03</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93.58</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w:t>
      </w:r>
      <w:r>
        <w:rPr>
          <w:rFonts w:hint="eastAsia" w:ascii="仿宋_GB2312" w:hAnsi="ˎ̥" w:eastAsia="仿宋_GB2312"/>
          <w:color w:val="auto"/>
          <w:sz w:val="32"/>
          <w:szCs w:val="32"/>
        </w:rPr>
        <w:t>于预算数的主要原因：</w:t>
      </w:r>
      <w:r>
        <w:rPr>
          <w:rFonts w:hint="eastAsia" w:ascii="仿宋_GB2312" w:hAnsi="ˎ̥" w:eastAsia="仿宋_GB2312"/>
          <w:color w:val="auto"/>
          <w:sz w:val="32"/>
          <w:szCs w:val="32"/>
          <w:lang w:eastAsia="zh-CN"/>
        </w:rPr>
        <w:t>年前有人员退休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w:t>
      </w:r>
      <w:r>
        <w:rPr>
          <w:rFonts w:hint="default" w:ascii="仿宋_GB2312" w:hAnsi="ˎ̥" w:eastAsia="仿宋_GB2312" w:cs="仿宋_GB2312"/>
          <w:b/>
          <w:bCs/>
          <w:color w:val="auto"/>
          <w:kern w:val="0"/>
          <w:sz w:val="32"/>
          <w:szCs w:val="32"/>
          <w:shd w:val="clear" w:fill="FFFFFF"/>
        </w:rPr>
        <w:t>社会保障和就业支出（类）行政事业单位养老支出（款） 机关事业单位职业年金缴费支出（项）</w:t>
      </w:r>
      <w:r>
        <w:rPr>
          <w:rFonts w:hint="eastAsia" w:ascii="仿宋_GB2312" w:hAnsi="ˎ̥" w:eastAsia="仿宋_GB2312"/>
          <w:b/>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34.74</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46.20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132.99</w:t>
      </w:r>
      <w:r>
        <w:rPr>
          <w:rFonts w:hint="eastAsia" w:ascii="仿宋_GB2312" w:hAnsi="ˎ̥" w:eastAsia="仿宋_GB2312"/>
          <w:color w:val="auto"/>
          <w:sz w:val="32"/>
          <w:szCs w:val="32"/>
        </w:rPr>
        <w:t>%。决算数大于预算数的主要原因：</w:t>
      </w:r>
      <w:r>
        <w:rPr>
          <w:rFonts w:hint="eastAsia" w:ascii="仿宋_GB2312" w:hAnsi="ˎ̥" w:eastAsia="仿宋_GB2312"/>
          <w:color w:val="auto"/>
          <w:sz w:val="32"/>
          <w:szCs w:val="32"/>
          <w:lang w:val="en-US" w:eastAsia="zh-CN"/>
        </w:rPr>
        <w:t>退休人员虚账记实</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w:t>
      </w:r>
      <w:r>
        <w:rPr>
          <w:rFonts w:hint="default" w:ascii="仿宋_GB2312" w:hAnsi="ˎ̥" w:eastAsia="仿宋_GB2312" w:cs="仿宋_GB2312"/>
          <w:b/>
          <w:bCs/>
          <w:color w:val="auto"/>
          <w:kern w:val="0"/>
          <w:sz w:val="32"/>
          <w:szCs w:val="32"/>
          <w:shd w:val="clear" w:fill="FFFFFF"/>
        </w:rPr>
        <w:t>社会保障和就业支出（类）</w:t>
      </w:r>
      <w:r>
        <w:rPr>
          <w:rFonts w:hint="eastAsia" w:ascii="仿宋_GB2312" w:hAnsi="ˎ̥" w:eastAsia="仿宋_GB2312" w:cs="仿宋_GB2312"/>
          <w:b/>
          <w:bCs/>
          <w:color w:val="auto"/>
          <w:kern w:val="0"/>
          <w:sz w:val="32"/>
          <w:szCs w:val="32"/>
          <w:shd w:val="clear" w:fill="FFFFFF"/>
          <w:lang w:eastAsia="zh-CN"/>
        </w:rPr>
        <w:t>抚恤</w:t>
      </w:r>
      <w:r>
        <w:rPr>
          <w:rFonts w:hint="default" w:ascii="仿宋_GB2312" w:hAnsi="ˎ̥" w:eastAsia="仿宋_GB2312" w:cs="仿宋_GB2312"/>
          <w:b/>
          <w:bCs/>
          <w:color w:val="auto"/>
          <w:kern w:val="0"/>
          <w:sz w:val="32"/>
          <w:szCs w:val="32"/>
          <w:shd w:val="clear" w:fill="FFFFFF"/>
        </w:rPr>
        <w:t xml:space="preserve">（款） </w:t>
      </w:r>
      <w:r>
        <w:rPr>
          <w:rFonts w:hint="eastAsia" w:ascii="仿宋_GB2312" w:hAnsi="ˎ̥" w:eastAsia="仿宋_GB2312" w:cs="仿宋_GB2312"/>
          <w:b/>
          <w:bCs/>
          <w:color w:val="auto"/>
          <w:kern w:val="0"/>
          <w:sz w:val="32"/>
          <w:szCs w:val="32"/>
          <w:shd w:val="clear" w:fill="FFFFFF"/>
          <w:lang w:eastAsia="zh-CN"/>
        </w:rPr>
        <w:t>其他优抚支出</w:t>
      </w:r>
      <w:r>
        <w:rPr>
          <w:rFonts w:hint="default" w:ascii="仿宋_GB2312" w:hAnsi="ˎ̥" w:eastAsia="仿宋_GB2312" w:cs="仿宋_GB2312"/>
          <w:b/>
          <w:bCs/>
          <w:color w:val="auto"/>
          <w:kern w:val="0"/>
          <w:sz w:val="32"/>
          <w:szCs w:val="32"/>
          <w:shd w:val="clear" w:fill="FFFFFF"/>
        </w:rPr>
        <w:t>（项）</w:t>
      </w:r>
      <w:r>
        <w:rPr>
          <w:rFonts w:hint="eastAsia" w:ascii="仿宋_GB2312" w:hAnsi="ˎ̥" w:eastAsia="仿宋_GB2312"/>
          <w:b/>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0.66</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0.59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89.39</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小</w:t>
      </w:r>
      <w:r>
        <w:rPr>
          <w:rFonts w:hint="eastAsia" w:ascii="仿宋_GB2312" w:hAnsi="ˎ̥" w:eastAsia="仿宋_GB2312"/>
          <w:color w:val="auto"/>
          <w:sz w:val="32"/>
          <w:szCs w:val="32"/>
        </w:rPr>
        <w:t>于预算数的主要原因：</w:t>
      </w:r>
      <w:r>
        <w:rPr>
          <w:rFonts w:hint="eastAsia" w:ascii="仿宋_GB2312" w:hAnsi="ˎ̥" w:eastAsia="仿宋_GB2312"/>
          <w:color w:val="auto"/>
          <w:sz w:val="32"/>
          <w:szCs w:val="32"/>
          <w:lang w:eastAsia="zh-CN"/>
        </w:rPr>
        <w:t>遗属</w:t>
      </w:r>
      <w:r>
        <w:rPr>
          <w:rFonts w:hint="eastAsia" w:ascii="仿宋_GB2312" w:hAnsi="ˎ̥" w:eastAsia="仿宋_GB2312"/>
          <w:color w:val="auto"/>
          <w:sz w:val="32"/>
          <w:szCs w:val="32"/>
          <w:lang w:val="en-US" w:eastAsia="zh-CN"/>
        </w:rPr>
        <w:t>人员养老增加，抚恤减少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5</w:t>
      </w:r>
      <w:r>
        <w:rPr>
          <w:rFonts w:hint="eastAsia" w:ascii="仿宋_GB2312" w:hAnsi="ˎ̥" w:eastAsia="仿宋_GB2312"/>
          <w:color w:val="auto"/>
          <w:sz w:val="32"/>
          <w:szCs w:val="32"/>
        </w:rPr>
        <w:t>.</w:t>
      </w:r>
      <w:r>
        <w:rPr>
          <w:rFonts w:hint="default" w:ascii="仿宋_GB2312" w:hAnsi="ˎ̥" w:eastAsia="仿宋_GB2312" w:cs="仿宋_GB2312"/>
          <w:b/>
          <w:bCs/>
          <w:color w:val="auto"/>
          <w:kern w:val="0"/>
          <w:sz w:val="32"/>
          <w:szCs w:val="32"/>
          <w:shd w:val="clear" w:fill="FFFFFF"/>
        </w:rPr>
        <w:t>卫生健康支出（类）行政事业单位医疗（款） 机关事业单位医疗（项）</w:t>
      </w:r>
      <w:r>
        <w:rPr>
          <w:rFonts w:hint="eastAsia" w:ascii="仿宋_GB2312" w:hAnsi="ˎ̥" w:eastAsia="仿宋_GB2312"/>
          <w:b/>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32.54</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27.25</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83.74</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lang w:val="en-US" w:eastAsia="zh-CN"/>
        </w:rPr>
        <w:t>人员减少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6</w:t>
      </w:r>
      <w:r>
        <w:rPr>
          <w:rFonts w:hint="eastAsia" w:ascii="仿宋_GB2312" w:hAnsi="ˎ̥" w:eastAsia="仿宋_GB2312"/>
          <w:color w:val="auto"/>
          <w:sz w:val="32"/>
          <w:szCs w:val="32"/>
        </w:rPr>
        <w:t>.</w:t>
      </w:r>
      <w:r>
        <w:rPr>
          <w:rFonts w:hint="default" w:ascii="仿宋_GB2312" w:hAnsi="ˎ̥" w:eastAsia="仿宋_GB2312" w:cs="仿宋_GB2312"/>
          <w:b/>
          <w:bCs/>
          <w:color w:val="auto"/>
          <w:kern w:val="0"/>
          <w:sz w:val="32"/>
          <w:szCs w:val="32"/>
          <w:shd w:val="clear" w:fill="FFFFFF"/>
        </w:rPr>
        <w:t>卫生健康支出（类）行政事业单位医疗（款） 公务员医疗补助（项）</w:t>
      </w:r>
      <w:r>
        <w:rPr>
          <w:rFonts w:hint="eastAsia" w:ascii="仿宋_GB2312" w:hAnsi="ˎ̥" w:eastAsia="仿宋_GB2312"/>
          <w:b/>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56.06</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52.77</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94.13</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lang w:val="en-US" w:eastAsia="zh-CN"/>
        </w:rPr>
        <w:t>人员减少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7</w:t>
      </w:r>
      <w:r>
        <w:rPr>
          <w:rFonts w:hint="eastAsia" w:ascii="仿宋_GB2312" w:hAnsi="ˎ̥" w:eastAsia="仿宋_GB2312"/>
          <w:color w:val="auto"/>
          <w:sz w:val="32"/>
          <w:szCs w:val="32"/>
        </w:rPr>
        <w:t>.</w:t>
      </w:r>
      <w:r>
        <w:rPr>
          <w:rFonts w:hint="default" w:ascii="仿宋_GB2312" w:hAnsi="ˎ̥" w:eastAsia="仿宋_GB2312" w:cs="仿宋_GB2312"/>
          <w:b/>
          <w:bCs/>
          <w:color w:val="auto"/>
          <w:kern w:val="0"/>
          <w:sz w:val="32"/>
          <w:szCs w:val="32"/>
          <w:shd w:val="clear" w:fill="FFFFFF"/>
        </w:rPr>
        <w:t xml:space="preserve">卫生健康支出（类）行政事业单位医疗（款） </w:t>
      </w:r>
      <w:r>
        <w:rPr>
          <w:rFonts w:hint="eastAsia" w:ascii="仿宋_GB2312" w:hAnsi="ˎ̥" w:eastAsia="仿宋_GB2312" w:cs="仿宋_GB2312"/>
          <w:b/>
          <w:bCs/>
          <w:color w:val="auto"/>
          <w:kern w:val="0"/>
          <w:sz w:val="32"/>
          <w:szCs w:val="32"/>
          <w:shd w:val="clear" w:fill="FFFFFF"/>
          <w:lang w:eastAsia="zh-CN"/>
        </w:rPr>
        <w:t>其他行政事业单位医疗支出</w:t>
      </w:r>
      <w:r>
        <w:rPr>
          <w:rFonts w:hint="default" w:ascii="仿宋_GB2312" w:hAnsi="ˎ̥" w:eastAsia="仿宋_GB2312" w:cs="仿宋_GB2312"/>
          <w:b/>
          <w:bCs/>
          <w:color w:val="auto"/>
          <w:kern w:val="0"/>
          <w:sz w:val="32"/>
          <w:szCs w:val="32"/>
          <w:shd w:val="clear" w:fill="FFFFFF"/>
        </w:rPr>
        <w:t>（项）</w:t>
      </w:r>
      <w:r>
        <w:rPr>
          <w:rFonts w:hint="eastAsia" w:ascii="仿宋_GB2312" w:hAnsi="ˎ̥" w:eastAsia="仿宋_GB2312"/>
          <w:b/>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2</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1.74</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87</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lang w:eastAsia="zh-CN"/>
        </w:rPr>
        <w:t>部分</w:t>
      </w:r>
      <w:r>
        <w:rPr>
          <w:rFonts w:hint="eastAsia" w:ascii="仿宋_GB2312" w:hAnsi="ˎ̥" w:eastAsia="仿宋_GB2312"/>
          <w:color w:val="auto"/>
          <w:sz w:val="32"/>
          <w:szCs w:val="32"/>
          <w:lang w:val="en-US" w:eastAsia="zh-CN"/>
        </w:rPr>
        <w:t>人员未参加体检</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8</w:t>
      </w:r>
      <w:r>
        <w:rPr>
          <w:rFonts w:hint="eastAsia" w:ascii="仿宋_GB2312" w:hAnsi="ˎ̥" w:eastAsia="仿宋_GB2312"/>
          <w:color w:val="auto"/>
          <w:sz w:val="32"/>
          <w:szCs w:val="32"/>
        </w:rPr>
        <w:t>.</w:t>
      </w:r>
      <w:r>
        <w:rPr>
          <w:rFonts w:hint="default" w:ascii="仿宋_GB2312" w:hAnsi="ˎ̥" w:eastAsia="仿宋_GB2312" w:cs="仿宋_GB2312"/>
          <w:b/>
          <w:bCs/>
          <w:color w:val="auto"/>
          <w:kern w:val="0"/>
          <w:sz w:val="32"/>
          <w:szCs w:val="32"/>
          <w:shd w:val="clear" w:fill="FFFFFF"/>
        </w:rPr>
        <w:t>住房保障支出（类）住房改革支出（款） 住房公积金（项）</w:t>
      </w:r>
      <w:r>
        <w:rPr>
          <w:rFonts w:hint="eastAsia" w:ascii="仿宋_GB2312" w:hAnsi="ˎ̥" w:eastAsia="仿宋_GB2312"/>
          <w:b/>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59.74</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51.45</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86.12</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lang w:val="en-US" w:eastAsia="zh-CN"/>
        </w:rPr>
        <w:t>人员减少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本部分支出决算数可取自财决公开05表，年初预算数可取自各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单位年初预算大本，根据实际支出涉及的支出功能分类项级科目填列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751.97</w:t>
      </w:r>
      <w:r>
        <w:rPr>
          <w:rFonts w:hint="eastAsia" w:ascii="仿宋_GB2312" w:hAnsi="ˎ̥" w:eastAsia="仿宋_GB2312"/>
          <w:color w:val="auto"/>
          <w:sz w:val="32"/>
          <w:szCs w:val="32"/>
        </w:rPr>
        <w:t>万元，其中：人员经费</w:t>
      </w:r>
      <w:r>
        <w:rPr>
          <w:rFonts w:hint="eastAsia" w:ascii="仿宋_GB2312" w:hAnsi="ˎ̥" w:eastAsia="仿宋_GB2312"/>
          <w:color w:val="auto"/>
          <w:sz w:val="32"/>
          <w:szCs w:val="32"/>
          <w:lang w:val="en-US" w:eastAsia="zh-CN"/>
        </w:rPr>
        <w:t>742.05</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公用经费</w:t>
      </w:r>
      <w:r>
        <w:rPr>
          <w:rFonts w:hint="eastAsia" w:ascii="仿宋_GB2312" w:hAnsi="ˎ̥" w:eastAsia="仿宋_GB2312"/>
          <w:color w:val="auto"/>
          <w:sz w:val="32"/>
          <w:szCs w:val="32"/>
          <w:lang w:val="en-US" w:eastAsia="zh-CN"/>
        </w:rPr>
        <w:t>9.92</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可取自财决公开06表，各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决算相关数据取自财决公开07表；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lang w:val="en-US" w:eastAsia="zh-CN"/>
        </w:rPr>
        <w:t>年度单位决算报表</w:t>
      </w:r>
      <w:r>
        <w:rPr>
          <w:rFonts w:hint="eastAsia" w:ascii="仿宋_GB2312" w:hAnsi="ˎ̥" w:eastAsia="仿宋_GB2312"/>
          <w:color w:val="auto"/>
          <w:sz w:val="32"/>
          <w:szCs w:val="32"/>
        </w:rPr>
        <w:t>财决09表《政府性基金预算财政拨款收入支出决算表》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决算相关数据取自财决公开08表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年度“三公”经费预算数、决算数可取自财决公开09表，出国团组数、出国人次，公务用车购置数、公务用车保有量，接待团组数、接待人次可取自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w:t>
      </w:r>
      <w:r>
        <w:rPr>
          <w:rFonts w:ascii="仿宋_GB2312" w:hAnsi="ˎ̥" w:eastAsia="仿宋_GB2312"/>
          <w:color w:val="auto"/>
          <w:sz w:val="32"/>
          <w:szCs w:val="32"/>
        </w:rPr>
        <w:t>数据</w:t>
      </w:r>
      <w:r>
        <w:rPr>
          <w:rFonts w:hint="eastAsia" w:ascii="仿宋_GB2312" w:hAnsi="ˎ̥" w:eastAsia="仿宋_GB2312"/>
          <w:color w:val="auto"/>
          <w:sz w:val="32"/>
          <w:szCs w:val="32"/>
        </w:rPr>
        <w:t>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ascii="仿宋_GB2312" w:hAnsi="ˎ̥" w:eastAsia="仿宋_GB2312"/>
          <w:color w:val="auto"/>
          <w:sz w:val="32"/>
          <w:szCs w:val="32"/>
        </w:rPr>
        <w:t>决算报表</w:t>
      </w:r>
      <w:r>
        <w:rPr>
          <w:rFonts w:hint="eastAsia" w:ascii="仿宋_GB2312" w:hAnsi="ˎ̥" w:eastAsia="仿宋_GB2312"/>
          <w:color w:val="auto"/>
          <w:sz w:val="32"/>
          <w:szCs w:val="32"/>
        </w:rPr>
        <w:t>F03表《机构</w:t>
      </w:r>
      <w:r>
        <w:rPr>
          <w:rFonts w:ascii="仿宋_GB2312" w:hAnsi="ˎ̥" w:eastAsia="仿宋_GB2312"/>
          <w:color w:val="auto"/>
          <w:sz w:val="32"/>
          <w:szCs w:val="32"/>
        </w:rPr>
        <w:t>运行信息表》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根据财政预算绩效管理要求，我</w:t>
      </w:r>
      <w:r>
        <w:rPr>
          <w:rFonts w:hint="eastAsia" w:ascii="仿宋_GB2312" w:eastAsia="仿宋_GB2312"/>
          <w:color w:val="auto"/>
          <w:sz w:val="32"/>
          <w:szCs w:val="32"/>
          <w:lang w:eastAsia="zh-CN"/>
        </w:rPr>
        <w:t>单位</w:t>
      </w:r>
      <w:r>
        <w:rPr>
          <w:rFonts w:hint="eastAsia" w:ascii="仿宋_GB2312" w:eastAsia="仿宋_GB2312"/>
          <w:color w:val="auto"/>
          <w:sz w:val="32"/>
          <w:szCs w:val="32"/>
        </w:rPr>
        <w:t>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共涉及资金827.39万元，占一般公共预算项目支出总额的100%</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 xml:space="preserve">个国有资本经营预算项目开展绩效自评，共涉及资金 </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共组织对</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个项目开展了</w:t>
      </w:r>
      <w:r>
        <w:rPr>
          <w:rFonts w:hint="eastAsia" w:ascii="仿宋_GB2312" w:eastAsia="仿宋_GB2312"/>
          <w:color w:val="auto"/>
          <w:sz w:val="32"/>
          <w:szCs w:val="32"/>
          <w:lang w:eastAsia="zh-CN"/>
        </w:rPr>
        <w:t>单位</w:t>
      </w:r>
      <w:r>
        <w:rPr>
          <w:rFonts w:hint="eastAsia" w:ascii="仿宋_GB2312" w:eastAsia="仿宋_GB2312"/>
          <w:color w:val="auto"/>
          <w:sz w:val="32"/>
          <w:szCs w:val="32"/>
        </w:rPr>
        <w:t>评价，</w:t>
      </w:r>
      <w:r>
        <w:rPr>
          <w:rFonts w:hint="eastAsia" w:ascii="仿宋_GB2312" w:eastAsia="仿宋_GB2312"/>
          <w:color w:val="auto"/>
          <w:sz w:val="32"/>
          <w:szCs w:val="32"/>
          <w:lang w:bidi="ar"/>
        </w:rPr>
        <w:t>涉及一般公共预算支出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万元，政府性基金预算支出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万元，国有资本经营预算支出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color w:val="auto"/>
          <w:sz w:val="32"/>
          <w:szCs w:val="32"/>
        </w:rPr>
      </w:pPr>
      <w:r>
        <w:rPr>
          <w:rFonts w:hint="eastAsia" w:ascii="楷体" w:hAnsi="楷体" w:eastAsia="楷体" w:cs="楷体"/>
          <w:bCs/>
          <w:color w:val="auto"/>
          <w:sz w:val="32"/>
          <w:szCs w:val="32"/>
        </w:rPr>
        <w:t>（二）</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决算中项目绩效自评结果（预算</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（三）</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评价结果（预算</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填写，</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评价项目数量在3个以内的，至少将1个</w:t>
      </w: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评价报告向社会公开；</w:t>
      </w: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评价项目数量大于3个的，至少将2个</w:t>
      </w: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评价报告向社会公开。</w:t>
      </w:r>
      <w:r>
        <w:rPr>
          <w:rFonts w:hint="eastAsia" w:ascii="仿宋_GB2312" w:eastAsia="仿宋_GB2312"/>
          <w:color w:val="auto"/>
          <w:sz w:val="32"/>
          <w:szCs w:val="32"/>
        </w:rPr>
        <w:t>报告框架可参照《海南省财政厅关于印发&lt;海南省项目支出绩效评价管理实施办法&gt;的通知》（琼财绩〔2020〕594号）填写。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zh-CN"/>
        </w:rPr>
        <w:t>反映财政单位组织开展的预算单位（单位）重点项目财政评价情况，如有，可将评价报告附后。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5" w:name="_Toc23598_WPSOffice_Level2"/>
      <w:bookmarkStart w:id="96" w:name="_Toc15262_WPSOffice_Level2"/>
      <w:bookmarkStart w:id="97" w:name="_Toc18325_WPSOffice_Level2"/>
      <w:bookmarkStart w:id="98" w:name="_Toc32639_WPSOffice_Level2"/>
      <w:bookmarkStart w:id="99" w:name="_Toc5978_WPSOffice_Level2"/>
      <w:bookmarkStart w:id="100" w:name="_Toc15565_WPSOffice_Level2"/>
      <w:r>
        <w:rPr>
          <w:rFonts w:hint="eastAsia" w:ascii="楷体" w:hAnsi="楷体" w:eastAsia="楷体" w:cs="楷体"/>
          <w:bCs/>
          <w:color w:val="auto"/>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年度机关运行经费</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决算中行政单位和参公事业单位财政拨款基本支出中公用经费支出之和，事业单位没有机关运行经费支出），比年初预算增加（减少）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增长（下降）0%。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机关运行经费预算数可取自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决算报表财决01-1表《财政拨款收入支出决算总表》，年初预算数-一般公共预算财政拨款-公用经费，注意</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汇总公开决算时，因事业单位没有机关运行经费支出，故</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汇总的机关运行经费预算数应为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所属的各行政单位或参公单位的汇总数；决算数可取自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1" w:name="_Toc13084_WPSOffice_Level2"/>
      <w:bookmarkStart w:id="102" w:name="_Toc25333_WPSOffice_Level2"/>
      <w:bookmarkStart w:id="103" w:name="_Toc32689_WPSOffice_Level2"/>
      <w:bookmarkStart w:id="104" w:name="_Toc23966_WPSOffice_Level2"/>
      <w:bookmarkStart w:id="105" w:name="_Toc3131_WPSOffice_Level2"/>
      <w:bookmarkStart w:id="106" w:name="_Toc30383_WPSOffice_Level2"/>
      <w:r>
        <w:rPr>
          <w:rFonts w:hint="eastAsia" w:ascii="楷体" w:hAnsi="楷体" w:eastAsia="楷体" w:cs="楷体"/>
          <w:bCs/>
          <w:color w:val="auto"/>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上述政府采购支出相关</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决算报表F03表《机构运行信息表》，授予中小企业和小微企业合同金额由各</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查阅本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7" w:name="_Toc10902_WPSOffice_Level2"/>
      <w:bookmarkStart w:id="108" w:name="_Toc19989_WPSOffice_Level2"/>
      <w:bookmarkStart w:id="109" w:name="_Toc29584_WPSOffice_Level2"/>
      <w:bookmarkStart w:id="110" w:name="_Toc15129_WPSOffice_Level2"/>
      <w:bookmarkStart w:id="111" w:name="_Toc527_WPSOffice_Level2"/>
      <w:bookmarkStart w:id="112" w:name="_Toc6016_WPSOffice_Level2"/>
      <w:r>
        <w:rPr>
          <w:rFonts w:hint="eastAsia" w:ascii="楷体" w:hAnsi="楷体" w:eastAsia="楷体" w:cs="楷体"/>
          <w:bCs/>
          <w:color w:val="auto"/>
          <w:sz w:val="32"/>
          <w:szCs w:val="32"/>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w:t>
      </w:r>
      <w:r>
        <w:rPr>
          <w:rFonts w:hint="eastAsia" w:ascii="仿宋_GB2312" w:hAnsi="ˎ̥" w:eastAsia="仿宋_GB2312"/>
          <w:bCs/>
          <w:color w:val="auto"/>
          <w:sz w:val="32"/>
          <w:szCs w:val="32"/>
          <w:lang w:eastAsia="zh-CN"/>
        </w:rPr>
        <w:t>单位</w:t>
      </w:r>
      <w:r>
        <w:rPr>
          <w:rFonts w:hint="eastAsia" w:ascii="仿宋_GB2312" w:hAnsi="ˎ̥" w:eastAsia="仿宋_GB2312"/>
          <w:bCs/>
          <w:color w:val="auto"/>
          <w:sz w:val="32"/>
          <w:szCs w:val="32"/>
        </w:rPr>
        <w:t>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上述国有资产占用情况相关数</w:t>
      </w:r>
      <w:r>
        <w:rPr>
          <w:rFonts w:hint="eastAsia" w:ascii="仿宋_GB2312" w:hAnsi="ˎ̥" w:eastAsia="仿宋_GB2312"/>
          <w:color w:val="auto"/>
          <w:sz w:val="32"/>
          <w:szCs w:val="32"/>
          <w:lang w:val="en-US" w:eastAsia="zh-CN"/>
        </w:rPr>
        <w:t>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决算F0</w:t>
      </w:r>
      <w:r>
        <w:rPr>
          <w:rFonts w:hint="default" w:ascii="仿宋_GB2312" w:hAnsi="ˎ̥" w:eastAsia="仿宋_GB2312"/>
          <w:color w:val="auto"/>
          <w:sz w:val="32"/>
          <w:szCs w:val="32"/>
          <w:lang w:val="en-US"/>
        </w:rPr>
        <w:t>2</w:t>
      </w:r>
      <w:r>
        <w:rPr>
          <w:rFonts w:hint="eastAsia" w:ascii="仿宋_GB2312" w:hAnsi="ˎ̥" w:eastAsia="仿宋_GB2312"/>
          <w:color w:val="auto"/>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13" w:name="_Toc4398_WPSOffice_Level1"/>
      <w:bookmarkStart w:id="114" w:name="_Toc17580_WPSOffice_Level1"/>
      <w:bookmarkStart w:id="115" w:name="_Toc11039_WPSOffice_Level1"/>
      <w:bookmarkStart w:id="116" w:name="_Toc8874_WPSOffice_Level1"/>
      <w:bookmarkStart w:id="117" w:name="_Toc8808_WPSOffice_Level1"/>
      <w:bookmarkStart w:id="118" w:name="_Toc15425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支出功能分类的名词解释，各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单位根据实际支出情况填列，可参阅财政部印发的《</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年政府收支分类科目》</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bookmarkEnd w:id="119"/>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43AC2853"/>
    <w:multiLevelType w:val="singleLevel"/>
    <w:tmpl w:val="43AC2853"/>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5F43C80"/>
    <w:rsid w:val="073360BD"/>
    <w:rsid w:val="079D4E3C"/>
    <w:rsid w:val="09201287"/>
    <w:rsid w:val="09A17C26"/>
    <w:rsid w:val="0FB70637"/>
    <w:rsid w:val="0FC80124"/>
    <w:rsid w:val="136F98C7"/>
    <w:rsid w:val="17427E68"/>
    <w:rsid w:val="1755065F"/>
    <w:rsid w:val="1AFC29C9"/>
    <w:rsid w:val="1CA52F2E"/>
    <w:rsid w:val="1E3630B9"/>
    <w:rsid w:val="25B00875"/>
    <w:rsid w:val="26EEC2B5"/>
    <w:rsid w:val="2702741C"/>
    <w:rsid w:val="29472309"/>
    <w:rsid w:val="2B406E77"/>
    <w:rsid w:val="2C2A0C43"/>
    <w:rsid w:val="2D1E73A5"/>
    <w:rsid w:val="32717154"/>
    <w:rsid w:val="34B63260"/>
    <w:rsid w:val="371C71B3"/>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5745AC"/>
    <w:rsid w:val="57FA38D1"/>
    <w:rsid w:val="5F7D3333"/>
    <w:rsid w:val="60720869"/>
    <w:rsid w:val="61385890"/>
    <w:rsid w:val="687436E1"/>
    <w:rsid w:val="6DA45C50"/>
    <w:rsid w:val="6E9A7825"/>
    <w:rsid w:val="6F670F9B"/>
    <w:rsid w:val="737450E0"/>
    <w:rsid w:val="74054476"/>
    <w:rsid w:val="742F38C4"/>
    <w:rsid w:val="748D4578"/>
    <w:rsid w:val="74AB66DC"/>
    <w:rsid w:val="74C4154C"/>
    <w:rsid w:val="75956FFF"/>
    <w:rsid w:val="77AA2D01"/>
    <w:rsid w:val="78EFBA45"/>
    <w:rsid w:val="7A612055"/>
    <w:rsid w:val="7CDE1DBD"/>
    <w:rsid w:val="7D943A85"/>
    <w:rsid w:val="7DB0448C"/>
    <w:rsid w:val="7E5F9AA4"/>
    <w:rsid w:val="8FFC8888"/>
    <w:rsid w:val="A7F73C99"/>
    <w:rsid w:val="BFFE3BF4"/>
    <w:rsid w:val="D9FF1918"/>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6198</Words>
  <Characters>6845</Characters>
  <Lines>67</Lines>
  <Paragraphs>18</Paragraphs>
  <TotalTime>29</TotalTime>
  <ScaleCrop>false</ScaleCrop>
  <LinksUpToDate>false</LinksUpToDate>
  <CharactersWithSpaces>6914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2024-07-24T11:26:00Z</dcterms:created>
  <dc:creator>uos</dc:creator>
  <cp:lastModifiedBy>子净</cp:lastModifiedBy>
  <cp:lastPrinted>2023-08-03T08:58:00Z</cp:lastPrinted>
  <dcterms:modified xsi:type="dcterms:W3CDTF">2025-10-28T00:48:53Z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9DB37A9824D106715B82FF68E8711DD0_43</vt:lpwstr>
  </property>
  <property fmtid="{D5CDD505-2E9C-101B-9397-08002B2CF9AE}" pid="4" name="KSOTemplateDocerSaveRecord">
    <vt:lpwstr>eyJoZGlkIjoiYzA0ZDc1NzhjM2JjZjRkZDJhMmFlYmNkYjVkNzZkMjIiLCJ1c2VySWQiOiIxMjM1MDMzNjcxIn0=</vt:lpwstr>
  </property>
</Properties>
</file>