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屯昌县南坤镇南坤中心小学2024年度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center"/>
        <w:rPr>
          <w:rFonts w:hint="eastAsia" w:ascii="黑体" w:hAnsi="ˎ̥" w:eastAsia="黑体"/>
          <w:color w:val="auto"/>
          <w:sz w:val="32"/>
          <w:szCs w:val="32"/>
        </w:rPr>
      </w:pPr>
      <w:bookmarkStart w:id="2" w:name="_Toc22941_WPSOffice_Level1"/>
      <w:bookmarkStart w:id="3" w:name="_Toc32433_WPSOffice_Level1"/>
      <w:bookmarkStart w:id="4" w:name="_Toc1704_WPSOffice_Level1"/>
      <w:bookmarkStart w:id="5" w:name="_Toc23465_WPSOffice_Level1"/>
      <w:bookmarkStart w:id="6" w:name="_Toc10049_WPSOffice_Level1"/>
      <w:bookmarkStart w:id="7" w:name="_Toc10720_WPSOffice_Level1"/>
      <w:bookmarkStart w:id="8" w:name="_Toc24238_WPSOffice_Level2"/>
      <w:bookmarkStart w:id="9" w:name="_Toc14159_WPSOffice_Level2"/>
      <w:bookmarkStart w:id="10" w:name="_Toc26580_WPSOffice_Level2"/>
      <w:bookmarkStart w:id="11" w:name="_Toc20274_WPSOffice_Level2"/>
      <w:bookmarkStart w:id="12" w:name="_Toc20205_WPSOffice_Level2"/>
      <w:bookmarkStart w:id="13" w:name="_Toc32622_WPSOffice_Level2"/>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bookmarkStart w:id="124" w:name="_GoBack"/>
      <w:bookmarkEnd w:id="124"/>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pStyle w:val="18"/>
        <w:widowControl/>
        <w:ind w:firstLine="320" w:firstLineChars="100"/>
        <w:rPr>
          <w:rFonts w:ascii="仿宋" w:hAnsi="仿宋" w:eastAsia="仿宋" w:cs="仿宋"/>
          <w:color w:val="auto"/>
          <w:sz w:val="32"/>
          <w:szCs w:val="32"/>
        </w:rPr>
      </w:pPr>
      <w:r>
        <w:rPr>
          <w:rFonts w:hint="eastAsia" w:ascii="黑体" w:hAnsi="黑体" w:eastAsia="黑体" w:cs="黑体"/>
          <w:color w:val="auto"/>
          <w:sz w:val="32"/>
          <w:szCs w:val="32"/>
          <w:lang w:val="en-US" w:eastAsia="zh-CN"/>
        </w:rPr>
        <w:t xml:space="preserve"> </w:t>
      </w:r>
      <w:r>
        <w:rPr>
          <w:rFonts w:ascii="仿宋" w:hAnsi="仿宋" w:eastAsia="仿宋" w:cs="仿宋"/>
          <w:color w:val="auto"/>
          <w:sz w:val="32"/>
          <w:szCs w:val="32"/>
        </w:rPr>
        <w:t>1、贯彻执行国家和省政府、县政府关于教育工作的方针、政策和法规等。</w:t>
      </w:r>
    </w:p>
    <w:p>
      <w:pPr>
        <w:pStyle w:val="18"/>
        <w:widowControl/>
        <w:rPr>
          <w:rFonts w:ascii="仿宋" w:hAnsi="仿宋" w:eastAsia="仿宋" w:cs="仿宋"/>
          <w:color w:val="auto"/>
          <w:sz w:val="32"/>
          <w:szCs w:val="32"/>
        </w:rPr>
      </w:pPr>
      <w:r>
        <w:rPr>
          <w:rFonts w:ascii="仿宋" w:hAnsi="仿宋" w:eastAsia="仿宋" w:cs="仿宋"/>
          <w:color w:val="auto"/>
          <w:sz w:val="32"/>
          <w:szCs w:val="32"/>
        </w:rPr>
        <w:t xml:space="preserve">    2、我校执行并学习县教育局制定的改革与发展战略和教育事业发展规划、年度计划;教育体制改革政策以及教育事业的发展重点、结构、规模、速度和步骤,指导、协调、教育信息的统计工作等等。</w:t>
      </w:r>
    </w:p>
    <w:p>
      <w:pPr>
        <w:pStyle w:val="18"/>
        <w:widowControl/>
        <w:rPr>
          <w:rFonts w:ascii="仿宋" w:hAnsi="仿宋" w:eastAsia="仿宋" w:cs="仿宋"/>
          <w:color w:val="auto"/>
          <w:sz w:val="32"/>
          <w:szCs w:val="32"/>
        </w:rPr>
      </w:pPr>
      <w:r>
        <w:rPr>
          <w:rFonts w:ascii="仿宋" w:hAnsi="仿宋" w:eastAsia="仿宋" w:cs="仿宋"/>
          <w:color w:val="auto"/>
          <w:sz w:val="32"/>
          <w:szCs w:val="32"/>
        </w:rPr>
        <w:t xml:space="preserve">    3、负责校内的党建工作;做好中学义务教育教学工作、指导各级各班老师们的思想政治工作、品德教育工作、体育卫生与艺术教育工作、国防教育工作及安全稳定工作。</w:t>
      </w:r>
    </w:p>
    <w:p>
      <w:pPr>
        <w:pStyle w:val="18"/>
        <w:widowControl/>
        <w:rPr>
          <w:rFonts w:ascii="仿宋" w:hAnsi="仿宋" w:eastAsia="仿宋" w:cs="仿宋"/>
          <w:color w:val="auto"/>
          <w:sz w:val="32"/>
          <w:szCs w:val="32"/>
        </w:rPr>
      </w:pPr>
      <w:r>
        <w:rPr>
          <w:rFonts w:ascii="仿宋" w:hAnsi="仿宋" w:eastAsia="仿宋" w:cs="仿宋"/>
          <w:color w:val="auto"/>
          <w:sz w:val="32"/>
          <w:szCs w:val="32"/>
        </w:rPr>
        <w:t xml:space="preserve">    4、我校负责授权范围内的干部管理工作;协助有关</w:t>
      </w:r>
      <w:r>
        <w:rPr>
          <w:rFonts w:hint="eastAsia" w:ascii="仿宋" w:hAnsi="仿宋" w:eastAsia="仿宋" w:cs="仿宋"/>
          <w:color w:val="auto"/>
          <w:sz w:val="32"/>
          <w:szCs w:val="32"/>
          <w:lang w:eastAsia="zh-CN"/>
        </w:rPr>
        <w:t>单位</w:t>
      </w:r>
      <w:r>
        <w:rPr>
          <w:rFonts w:ascii="仿宋" w:hAnsi="仿宋" w:eastAsia="仿宋" w:cs="仿宋"/>
          <w:color w:val="auto"/>
          <w:sz w:val="32"/>
          <w:szCs w:val="32"/>
        </w:rPr>
        <w:t>做好教育系统的纪检、监察、审计、群团等工作。</w:t>
      </w:r>
    </w:p>
    <w:p>
      <w:pPr>
        <w:pStyle w:val="18"/>
        <w:widowControl/>
        <w:ind w:firstLine="640"/>
        <w:rPr>
          <w:rFonts w:ascii="仿宋" w:hAnsi="仿宋" w:eastAsia="仿宋" w:cs="仿宋"/>
          <w:color w:val="auto"/>
          <w:sz w:val="32"/>
          <w:szCs w:val="32"/>
        </w:rPr>
      </w:pPr>
      <w:r>
        <w:rPr>
          <w:rFonts w:ascii="仿宋" w:hAnsi="仿宋" w:eastAsia="仿宋" w:cs="仿宋"/>
          <w:color w:val="auto"/>
          <w:sz w:val="32"/>
          <w:szCs w:val="32"/>
        </w:rPr>
        <w:t>5、综合管理全校的基础教育、职业技术教育、青少年教育、少数民族教育等工作。</w:t>
      </w:r>
    </w:p>
    <w:p>
      <w:pPr>
        <w:pStyle w:val="18"/>
        <w:widowControl/>
        <w:rPr>
          <w:rFonts w:ascii="仿宋" w:hAnsi="仿宋" w:eastAsia="仿宋" w:cs="仿宋"/>
          <w:color w:val="auto"/>
          <w:sz w:val="32"/>
          <w:szCs w:val="32"/>
        </w:rPr>
      </w:pPr>
      <w:r>
        <w:rPr>
          <w:rFonts w:ascii="仿宋" w:hAnsi="仿宋" w:eastAsia="仿宋" w:cs="仿宋"/>
          <w:color w:val="auto"/>
          <w:sz w:val="32"/>
          <w:szCs w:val="32"/>
        </w:rPr>
        <w:t xml:space="preserve">    6、履行并接受县教育局协调指导的教育体制、办学体制及学校内部管理体制的改革,教育内部与外部的关系。</w:t>
      </w:r>
    </w:p>
    <w:p>
      <w:pPr>
        <w:pStyle w:val="18"/>
        <w:widowControl/>
        <w:ind w:firstLine="645"/>
        <w:rPr>
          <w:rFonts w:ascii="仿宋" w:hAnsi="仿宋" w:eastAsia="仿宋" w:cs="仿宋"/>
          <w:color w:val="auto"/>
          <w:sz w:val="32"/>
          <w:szCs w:val="32"/>
        </w:rPr>
      </w:pPr>
      <w:r>
        <w:rPr>
          <w:rFonts w:ascii="仿宋" w:hAnsi="仿宋" w:eastAsia="仿宋" w:cs="仿宋"/>
          <w:color w:val="auto"/>
          <w:sz w:val="32"/>
          <w:szCs w:val="32"/>
        </w:rPr>
        <w:t>7、统筹管理本校教育经费。</w:t>
      </w:r>
    </w:p>
    <w:p>
      <w:pPr>
        <w:pStyle w:val="18"/>
        <w:widowControl/>
        <w:ind w:firstLine="480"/>
        <w:rPr>
          <w:rFonts w:ascii="仿宋" w:hAnsi="仿宋" w:eastAsia="仿宋" w:cs="仿宋"/>
          <w:color w:val="auto"/>
          <w:sz w:val="32"/>
          <w:szCs w:val="32"/>
        </w:rPr>
      </w:pPr>
      <w:r>
        <w:rPr>
          <w:rFonts w:ascii="仿宋" w:hAnsi="仿宋" w:eastAsia="仿宋" w:cs="仿宋"/>
          <w:color w:val="auto"/>
          <w:sz w:val="32"/>
          <w:szCs w:val="32"/>
        </w:rPr>
        <w:t xml:space="preserve"> 8、主管全校教师工作。</w:t>
      </w:r>
    </w:p>
    <w:p>
      <w:pPr>
        <w:pStyle w:val="18"/>
        <w:widowControl/>
        <w:rPr>
          <w:rFonts w:ascii="仿宋" w:hAnsi="仿宋" w:eastAsia="仿宋" w:cs="仿宋"/>
          <w:color w:val="auto"/>
          <w:sz w:val="32"/>
          <w:szCs w:val="32"/>
        </w:rPr>
      </w:pPr>
      <w:r>
        <w:rPr>
          <w:rFonts w:ascii="仿宋" w:hAnsi="仿宋" w:eastAsia="仿宋" w:cs="仿宋"/>
          <w:color w:val="auto"/>
          <w:sz w:val="32"/>
          <w:szCs w:val="32"/>
        </w:rPr>
        <w:t xml:space="preserve">    9、组织全校的招生指导计划并组织实施。</w:t>
      </w:r>
    </w:p>
    <w:p>
      <w:pPr>
        <w:pStyle w:val="18"/>
        <w:widowControl/>
        <w:ind w:firstLine="640"/>
        <w:rPr>
          <w:rFonts w:ascii="仿宋" w:hAnsi="仿宋" w:eastAsia="仿宋" w:cs="仿宋"/>
          <w:color w:val="auto"/>
          <w:sz w:val="32"/>
          <w:szCs w:val="32"/>
        </w:rPr>
      </w:pPr>
      <w:r>
        <w:rPr>
          <w:rFonts w:ascii="仿宋" w:hAnsi="仿宋" w:eastAsia="仿宋" w:cs="仿宋"/>
          <w:color w:val="auto"/>
          <w:sz w:val="32"/>
          <w:szCs w:val="32"/>
        </w:rPr>
        <w:t>10、负责管理全校教育、教科研工作和信息化建设。</w:t>
      </w:r>
    </w:p>
    <w:p>
      <w:pPr>
        <w:numPr>
          <w:ilvl w:val="0"/>
          <w:numId w:val="0"/>
        </w:numPr>
        <w:spacing w:line="578" w:lineRule="exact"/>
        <w:rPr>
          <w:rFonts w:hint="default" w:ascii="黑体" w:hAnsi="黑体" w:eastAsia="黑体" w:cs="黑体"/>
          <w:color w:val="auto"/>
          <w:sz w:val="32"/>
          <w:szCs w:val="32"/>
          <w:lang w:val="en-US" w:eastAsia="zh-CN"/>
        </w:rPr>
      </w:pPr>
      <w:r>
        <w:rPr>
          <w:rFonts w:ascii="仿宋" w:hAnsi="仿宋" w:eastAsia="仿宋" w:cs="仿宋"/>
          <w:color w:val="auto"/>
          <w:sz w:val="32"/>
          <w:szCs w:val="32"/>
        </w:rPr>
        <w:t>11、承办县教育局的有关</w:t>
      </w:r>
      <w:r>
        <w:rPr>
          <w:rFonts w:hint="eastAsia" w:ascii="仿宋" w:hAnsi="仿宋" w:eastAsia="仿宋" w:cs="仿宋"/>
          <w:color w:val="auto"/>
          <w:sz w:val="32"/>
          <w:szCs w:val="32"/>
          <w:lang w:eastAsia="zh-CN"/>
        </w:rPr>
        <w:t>单位</w:t>
      </w:r>
      <w:r>
        <w:rPr>
          <w:rFonts w:ascii="仿宋" w:hAnsi="仿宋" w:eastAsia="仿宋" w:cs="仿宋"/>
          <w:color w:val="auto"/>
          <w:sz w:val="32"/>
          <w:szCs w:val="32"/>
        </w:rPr>
        <w:t>安排的其他事项。</w:t>
      </w:r>
    </w:p>
    <w:p>
      <w:pPr>
        <w:spacing w:line="578" w:lineRule="exact"/>
        <w:ind w:firstLine="640" w:firstLineChars="200"/>
        <w:rPr>
          <w:rFonts w:hint="eastAsia" w:ascii="黑体" w:hAnsi="黑体" w:eastAsia="黑体" w:cs="黑体"/>
          <w:color w:val="auto"/>
          <w:sz w:val="32"/>
          <w:szCs w:val="32"/>
        </w:rPr>
      </w:pPr>
      <w:bookmarkStart w:id="14" w:name="_Toc24474_WPSOffice_Level2"/>
      <w:bookmarkStart w:id="15" w:name="_Toc4833_WPSOffice_Level2"/>
      <w:bookmarkStart w:id="16" w:name="_Toc6572_WPSOffice_Level2"/>
      <w:bookmarkStart w:id="17" w:name="_Toc24059_WPSOffice_Level2"/>
      <w:bookmarkStart w:id="18" w:name="_Toc17796_WPSOffice_Level2"/>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eastAsia" w:ascii="楷体" w:hAnsi="楷体" w:eastAsia="楷体" w:cs="楷体"/>
          <w:color w:val="auto"/>
          <w:kern w:val="0"/>
          <w:sz w:val="32"/>
          <w:szCs w:val="32"/>
          <w:shd w:val="clear" w:color="auto" w:fill="FFFFFF"/>
          <w:lang w:val="en-US" w:eastAsia="zh-CN"/>
        </w:rPr>
        <w:t>屯昌县南坤镇南坤中心小学</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个，包括：</w:t>
      </w:r>
    </w:p>
    <w:p>
      <w:pPr>
        <w:spacing w:line="578" w:lineRule="exact"/>
        <w:ind w:firstLine="640" w:firstLineChars="200"/>
        <w:rPr>
          <w:rFonts w:hint="eastAsia" w:ascii="方正楷体_GBK" w:hAnsi="方正楷体_GBK" w:eastAsia="方正楷体_GBK" w:cs="方正楷体_GBK"/>
          <w:color w:val="auto"/>
          <w:sz w:val="32"/>
          <w:szCs w:val="32"/>
        </w:rPr>
      </w:pPr>
      <w:bookmarkStart w:id="19" w:name="_Toc24421_WPSOffice_Level2"/>
      <w:bookmarkStart w:id="20" w:name="_Toc25738_WPSOffice_Level2"/>
      <w:r>
        <w:rPr>
          <w:rFonts w:hint="eastAsia" w:ascii="方正楷体_GBK" w:hAnsi="方正楷体_GBK" w:eastAsia="方正楷体_GBK" w:cs="方正楷体_GBK"/>
          <w:color w:val="auto"/>
          <w:sz w:val="32"/>
          <w:szCs w:val="32"/>
        </w:rPr>
        <w:t>（一）</w:t>
      </w:r>
      <w:r>
        <w:rPr>
          <w:rFonts w:hint="eastAsia" w:ascii="楷体" w:hAnsi="楷体" w:eastAsia="楷体" w:cs="楷体"/>
          <w:color w:val="auto"/>
          <w:kern w:val="0"/>
          <w:sz w:val="32"/>
          <w:szCs w:val="32"/>
          <w:shd w:val="clear" w:color="auto" w:fill="FFFFFF"/>
          <w:lang w:val="en-US" w:eastAsia="zh-CN"/>
        </w:rPr>
        <w:t>屯昌县南坤镇南坤中心小学</w:t>
      </w:r>
      <w:r>
        <w:rPr>
          <w:rFonts w:hint="eastAsia" w:ascii="楷体" w:hAnsi="楷体" w:eastAsia="楷体" w:cs="楷体"/>
          <w:color w:val="auto"/>
          <w:kern w:val="0"/>
          <w:sz w:val="32"/>
          <w:szCs w:val="32"/>
          <w:shd w:val="clear" w:color="auto" w:fill="FFFFFF"/>
          <w:lang w:eastAsia="zh-CN"/>
        </w:rPr>
        <w:t>单位</w:t>
      </w:r>
      <w:r>
        <w:rPr>
          <w:rFonts w:hint="eastAsia" w:ascii="楷体" w:hAnsi="楷体" w:eastAsia="楷体" w:cs="楷体"/>
          <w:color w:val="auto"/>
          <w:kern w:val="0"/>
          <w:sz w:val="32"/>
          <w:szCs w:val="32"/>
          <w:shd w:val="clear" w:color="auto" w:fill="FFFFFF"/>
        </w:rPr>
        <w:t>本级</w:t>
      </w:r>
      <w:bookmarkEnd w:id="19"/>
      <w:bookmarkEnd w:id="20"/>
    </w:p>
    <w:p>
      <w:pPr>
        <w:spacing w:line="578" w:lineRule="exact"/>
        <w:ind w:firstLine="640" w:firstLineChars="200"/>
        <w:rPr>
          <w:rFonts w:hint="eastAsia" w:ascii="仿宋_GB2312" w:hAnsi="ˎ̥" w:eastAsia="仿宋_GB2312"/>
          <w:color w:val="auto"/>
          <w:sz w:val="32"/>
          <w:szCs w:val="32"/>
        </w:rPr>
      </w:pPr>
      <w:bookmarkStart w:id="21" w:name="_Toc19721_WPSOffice_Level2"/>
      <w:bookmarkStart w:id="22" w:name="_Toc4442_WPSOffice_Level2"/>
      <w:r>
        <w:rPr>
          <w:rFonts w:hint="eastAsia" w:ascii="方正楷体_GBK" w:hAnsi="方正楷体_GBK" w:eastAsia="方正楷体_GBK" w:cs="方正楷体_GBK"/>
          <w:color w:val="auto"/>
          <w:sz w:val="32"/>
          <w:szCs w:val="32"/>
        </w:rPr>
        <w:t>（二）</w:t>
      </w:r>
      <w:bookmarkEnd w:id="21"/>
      <w:bookmarkEnd w:id="22"/>
      <w:r>
        <w:rPr>
          <w:rFonts w:hint="eastAsia" w:ascii="楷体" w:hAnsi="楷体" w:eastAsia="楷体" w:cs="楷体"/>
          <w:color w:val="auto"/>
          <w:kern w:val="0"/>
          <w:sz w:val="32"/>
          <w:szCs w:val="32"/>
          <w:shd w:val="clear" w:color="auto" w:fill="FFFFFF"/>
        </w:rPr>
        <w:t>屯昌县南坤镇南坤中</w:t>
      </w:r>
      <w:r>
        <w:rPr>
          <w:rFonts w:hint="eastAsia" w:ascii="楷体" w:hAnsi="楷体" w:eastAsia="楷体" w:cs="楷体"/>
          <w:color w:val="auto"/>
          <w:kern w:val="0"/>
          <w:sz w:val="32"/>
          <w:szCs w:val="32"/>
          <w:shd w:val="clear" w:color="auto" w:fill="FFFFFF"/>
          <w:lang w:val="en-US" w:eastAsia="zh-CN"/>
        </w:rPr>
        <w:t>心小</w:t>
      </w:r>
      <w:r>
        <w:rPr>
          <w:rFonts w:hint="eastAsia" w:ascii="楷体" w:hAnsi="楷体" w:eastAsia="楷体" w:cs="楷体"/>
          <w:color w:val="auto"/>
          <w:kern w:val="0"/>
          <w:sz w:val="32"/>
          <w:szCs w:val="32"/>
          <w:shd w:val="clear" w:color="auto" w:fill="FFFFFF"/>
        </w:rPr>
        <w:t>学单位内设机构有：校长室、副校长室、</w:t>
      </w:r>
      <w:r>
        <w:rPr>
          <w:rFonts w:hint="eastAsia" w:ascii="楷体" w:hAnsi="楷体" w:eastAsia="楷体" w:cs="楷体"/>
          <w:color w:val="auto"/>
          <w:kern w:val="0"/>
          <w:sz w:val="32"/>
          <w:szCs w:val="32"/>
          <w:shd w:val="clear" w:color="auto" w:fill="FFFFFF"/>
          <w:lang w:val="en-US" w:eastAsia="zh-CN"/>
        </w:rPr>
        <w:t>督导室、教科研中心</w:t>
      </w:r>
      <w:r>
        <w:rPr>
          <w:rFonts w:hint="eastAsia" w:ascii="楷体" w:hAnsi="楷体" w:eastAsia="楷体" w:cs="楷体"/>
          <w:color w:val="auto"/>
          <w:kern w:val="0"/>
          <w:sz w:val="32"/>
          <w:szCs w:val="32"/>
          <w:shd w:val="clear" w:color="auto" w:fill="FFFFFF"/>
        </w:rPr>
        <w:t>、后勤室、</w:t>
      </w:r>
      <w:r>
        <w:rPr>
          <w:rFonts w:hint="eastAsia" w:ascii="楷体" w:hAnsi="楷体" w:eastAsia="楷体" w:cs="楷体"/>
          <w:color w:val="auto"/>
          <w:kern w:val="0"/>
          <w:sz w:val="32"/>
          <w:szCs w:val="32"/>
          <w:shd w:val="clear" w:color="auto" w:fill="FFFFFF"/>
          <w:lang w:val="en-US" w:eastAsia="zh-CN"/>
        </w:rPr>
        <w:t>德育</w:t>
      </w:r>
      <w:r>
        <w:rPr>
          <w:rFonts w:hint="eastAsia" w:ascii="楷体" w:hAnsi="楷体" w:eastAsia="楷体" w:cs="楷体"/>
          <w:color w:val="auto"/>
          <w:kern w:val="0"/>
          <w:sz w:val="32"/>
          <w:szCs w:val="32"/>
          <w:shd w:val="clear" w:color="auto" w:fill="FFFFFF"/>
        </w:rPr>
        <w:t>室、</w:t>
      </w:r>
      <w:r>
        <w:rPr>
          <w:rFonts w:hint="eastAsia" w:ascii="楷体" w:hAnsi="楷体" w:eastAsia="楷体" w:cs="楷体"/>
          <w:color w:val="auto"/>
          <w:kern w:val="0"/>
          <w:sz w:val="32"/>
          <w:szCs w:val="32"/>
          <w:shd w:val="clear" w:color="auto" w:fill="FFFFFF"/>
          <w:lang w:val="en-US" w:eastAsia="zh-CN"/>
        </w:rPr>
        <w:t>党支部</w:t>
      </w:r>
      <w:r>
        <w:rPr>
          <w:rFonts w:hint="eastAsia" w:ascii="楷体" w:hAnsi="楷体" w:eastAsia="楷体" w:cs="楷体"/>
          <w:color w:val="auto"/>
          <w:kern w:val="0"/>
          <w:sz w:val="32"/>
          <w:szCs w:val="32"/>
          <w:shd w:val="clear" w:color="auto" w:fill="FFFFFF"/>
        </w:rPr>
        <w:t>等</w:t>
      </w:r>
    </w:p>
    <w:p>
      <w:pPr>
        <w:spacing w:line="578" w:lineRule="exact"/>
        <w:jc w:val="center"/>
        <w:rPr>
          <w:rFonts w:hint="eastAsia" w:ascii="黑体" w:hAnsi="ˎ̥" w:eastAsia="黑体"/>
          <w:color w:val="auto"/>
          <w:sz w:val="32"/>
          <w:szCs w:val="32"/>
        </w:rPr>
      </w:pPr>
      <w:bookmarkStart w:id="23" w:name="_Toc8164_WPSOffice_Level1"/>
      <w:bookmarkStart w:id="24" w:name="_Toc28253_WPSOffice_Level1"/>
      <w:bookmarkStart w:id="25" w:name="_Toc30451_WPSOffice_Level1"/>
      <w:bookmarkStart w:id="26" w:name="_Toc6234_WPSOffice_Level1"/>
      <w:bookmarkStart w:id="27" w:name="_Toc15521_WPSOffice_Level1"/>
      <w:bookmarkStart w:id="28" w:name="_Toc30690_WPSOffice_Level1"/>
      <w:bookmarkStart w:id="29" w:name="_Toc8867_WPSOffice_Level2"/>
      <w:bookmarkStart w:id="30" w:name="_Toc11518_WPSOffice_Level2"/>
      <w:bookmarkStart w:id="31" w:name="_Toc32472_WPSOffice_Level2"/>
      <w:bookmarkStart w:id="32" w:name="_Toc4029_WPSOffice_Level2"/>
      <w:bookmarkStart w:id="33" w:name="_Toc6211_WPSOffice_Level2"/>
      <w:bookmarkStart w:id="34" w:name="_Toc32695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23"/>
      <w:bookmarkEnd w:id="24"/>
      <w:bookmarkEnd w:id="25"/>
      <w:bookmarkEnd w:id="26"/>
      <w:bookmarkEnd w:id="27"/>
      <w:bookmarkEnd w:id="28"/>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9"/>
      <w:bookmarkEnd w:id="30"/>
      <w:bookmarkEnd w:id="31"/>
      <w:bookmarkEnd w:id="32"/>
      <w:bookmarkEnd w:id="33"/>
      <w:bookmarkEnd w:id="34"/>
    </w:p>
    <w:p>
      <w:pPr>
        <w:spacing w:line="578" w:lineRule="exact"/>
        <w:ind w:firstLine="645"/>
        <w:rPr>
          <w:rFonts w:hint="eastAsia" w:ascii="黑体" w:hAnsi="黑体" w:eastAsia="黑体" w:cs="黑体"/>
          <w:color w:val="auto"/>
          <w:sz w:val="32"/>
          <w:szCs w:val="32"/>
        </w:rPr>
      </w:pPr>
      <w:bookmarkStart w:id="35" w:name="_Toc14349_WPSOffice_Level2"/>
      <w:bookmarkStart w:id="36" w:name="_Toc23139_WPSOffice_Level2"/>
      <w:bookmarkStart w:id="37" w:name="_Toc25608_WPSOffice_Level2"/>
      <w:bookmarkStart w:id="38" w:name="_Toc30334_WPSOffice_Level2"/>
      <w:bookmarkStart w:id="39" w:name="_Toc28622_WPSOffice_Level2"/>
      <w:bookmarkStart w:id="40" w:name="_Toc26621_WPSOffice_Level2"/>
      <w:r>
        <w:rPr>
          <w:rFonts w:hint="eastAsia" w:ascii="黑体" w:hAnsi="黑体" w:eastAsia="黑体" w:cs="黑体"/>
          <w:color w:val="auto"/>
          <w:sz w:val="32"/>
          <w:szCs w:val="32"/>
        </w:rPr>
        <w:t>二、收入决算公开表</w:t>
      </w:r>
      <w:bookmarkEnd w:id="35"/>
      <w:bookmarkEnd w:id="36"/>
      <w:bookmarkEnd w:id="37"/>
      <w:bookmarkEnd w:id="38"/>
      <w:bookmarkEnd w:id="39"/>
      <w:bookmarkEnd w:id="40"/>
      <w:bookmarkStart w:id="41" w:name="_Toc13854_WPSOffice_Level2"/>
      <w:bookmarkStart w:id="42" w:name="_Toc17626_WPSOffice_Level2"/>
      <w:bookmarkStart w:id="43" w:name="_Toc17858_WPSOffice_Level2"/>
      <w:bookmarkStart w:id="44" w:name="_Toc14658_WPSOffice_Level2"/>
      <w:bookmarkStart w:id="45" w:name="_Toc5489_WPSOffice_Level2"/>
      <w:bookmarkStart w:id="46" w:name="_Toc3262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41"/>
      <w:bookmarkEnd w:id="42"/>
      <w:bookmarkEnd w:id="43"/>
      <w:bookmarkEnd w:id="44"/>
      <w:bookmarkEnd w:id="45"/>
      <w:bookmarkEnd w:id="46"/>
      <w:bookmarkStart w:id="47" w:name="_Toc4265_WPSOffice_Level2"/>
      <w:bookmarkStart w:id="48" w:name="_Toc7988_WPSOffice_Level2"/>
      <w:bookmarkStart w:id="49" w:name="_Toc13701_WPSOffice_Level2"/>
      <w:bookmarkStart w:id="50" w:name="_Toc23493_WPSOffice_Level2"/>
      <w:bookmarkStart w:id="51" w:name="_Toc23591_WPSOffice_Level2"/>
      <w:bookmarkStart w:id="52" w:name="_Toc21415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7"/>
      <w:bookmarkEnd w:id="48"/>
      <w:bookmarkEnd w:id="49"/>
      <w:bookmarkEnd w:id="50"/>
      <w:bookmarkEnd w:id="51"/>
      <w:bookmarkEnd w:id="52"/>
    </w:p>
    <w:p>
      <w:pPr>
        <w:spacing w:line="578" w:lineRule="exact"/>
        <w:ind w:firstLine="645"/>
        <w:rPr>
          <w:rFonts w:hint="eastAsia" w:ascii="黑体" w:hAnsi="黑体" w:eastAsia="黑体" w:cs="黑体"/>
          <w:color w:val="auto"/>
          <w:sz w:val="32"/>
          <w:szCs w:val="32"/>
        </w:rPr>
      </w:pPr>
      <w:bookmarkStart w:id="53" w:name="_Toc7879_WPSOffice_Level2"/>
      <w:bookmarkStart w:id="54" w:name="_Toc22783_WPSOffice_Level2"/>
      <w:bookmarkStart w:id="55" w:name="_Toc23829_WPSOffice_Level2"/>
      <w:bookmarkStart w:id="56" w:name="_Toc25166_WPSOffice_Level2"/>
      <w:bookmarkStart w:id="57" w:name="_Toc13516_WPSOffice_Level2"/>
      <w:bookmarkStart w:id="58" w:name="_Toc2158_WPSOffice_Level2"/>
      <w:r>
        <w:rPr>
          <w:rFonts w:hint="eastAsia" w:ascii="黑体" w:hAnsi="黑体" w:eastAsia="黑体" w:cs="黑体"/>
          <w:color w:val="auto"/>
          <w:sz w:val="32"/>
          <w:szCs w:val="32"/>
        </w:rPr>
        <w:t>五、一般公共预算财政拨款收入支出决算</w:t>
      </w:r>
      <w:bookmarkEnd w:id="53"/>
      <w:bookmarkEnd w:id="54"/>
      <w:bookmarkEnd w:id="55"/>
      <w:bookmarkEnd w:id="56"/>
      <w:r>
        <w:rPr>
          <w:rFonts w:hint="eastAsia" w:ascii="黑体" w:hAnsi="黑体" w:eastAsia="黑体" w:cs="黑体"/>
          <w:color w:val="auto"/>
          <w:sz w:val="32"/>
          <w:szCs w:val="32"/>
        </w:rPr>
        <w:t>公开表</w:t>
      </w:r>
      <w:bookmarkEnd w:id="57"/>
      <w:bookmarkEnd w:id="58"/>
      <w:bookmarkStart w:id="59" w:name="_Toc8373_WPSOffice_Level2"/>
      <w:bookmarkStart w:id="60" w:name="_Toc17283_WPSOffice_Level2"/>
      <w:bookmarkStart w:id="61" w:name="_Toc5343_WPSOffice_Level2"/>
      <w:bookmarkStart w:id="62" w:name="_Toc2632_WPSOffice_Level2"/>
      <w:bookmarkStart w:id="63" w:name="_Toc17833_WPSOffice_Level2"/>
      <w:bookmarkStart w:id="64" w:name="_Toc25362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5" w:name="_Toc11799_WPSOffice_Level2"/>
      <w:bookmarkStart w:id="66" w:name="_Toc1533_WPSOffice_Level2"/>
      <w:bookmarkStart w:id="67" w:name="_Toc13345_WPSOffice_Level2"/>
      <w:bookmarkStart w:id="68" w:name="_Toc21310_WPSOffice_Level2"/>
      <w:bookmarkStart w:id="69" w:name="_Toc6020_WPSOffice_Level2"/>
      <w:bookmarkStart w:id="70" w:name="_Toc5594_WPSOffice_Level2"/>
      <w:r>
        <w:rPr>
          <w:rFonts w:hint="eastAsia" w:ascii="黑体" w:hAnsi="黑体" w:eastAsia="黑体" w:cs="黑体"/>
          <w:color w:val="auto"/>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71" w:name="_Toc1820_WPSOffice_Level2"/>
      <w:bookmarkStart w:id="72" w:name="_Toc29886_WPSOffice_Level2"/>
      <w:bookmarkStart w:id="73" w:name="_Toc19961_WPSOffice_Level2"/>
      <w:bookmarkStart w:id="74" w:name="_Toc9377_WPSOffice_Level2"/>
      <w:r>
        <w:rPr>
          <w:rFonts w:hint="eastAsia" w:ascii="黑体" w:hAnsi="黑体" w:eastAsia="黑体" w:cs="黑体"/>
          <w:color w:val="auto"/>
          <w:sz w:val="32"/>
          <w:szCs w:val="32"/>
        </w:rPr>
        <w:t>九、财政拨款“三公”经费支出决算</w:t>
      </w:r>
      <w:bookmarkEnd w:id="71"/>
      <w:bookmarkEnd w:id="72"/>
      <w:bookmarkEnd w:id="73"/>
      <w:bookmarkEnd w:id="74"/>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5" w:name="_Toc28629_WPSOffice_Level1"/>
      <w:bookmarkStart w:id="76" w:name="_Toc16686_WPSOffice_Level1"/>
      <w:bookmarkStart w:id="77" w:name="_Toc31264_WPSOffice_Level1"/>
      <w:bookmarkStart w:id="78" w:name="_Toc4402_WPSOffice_Level1"/>
      <w:bookmarkStart w:id="79" w:name="_Toc27590_WPSOffice_Level1"/>
      <w:bookmarkStart w:id="80" w:name="_Toc29683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5"/>
      <w:bookmarkEnd w:id="76"/>
      <w:bookmarkEnd w:id="77"/>
      <w:bookmarkEnd w:id="78"/>
      <w:bookmarkEnd w:id="79"/>
      <w:bookmarkEnd w:id="80"/>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2,037.60</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2,037.60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224.6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9.93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预算收入减少：二：教育支出减少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2,001.13</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36.47</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教育支出结余</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18.44</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1.82</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课后服务收入结余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1,999.69</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没有结余</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37.91</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人员经费部分年初预算数结余</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1.44</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3.95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人员经费结余较多</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2,001.13</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1,951.64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97.53</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XXXX</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49.49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2.47</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1,999.69</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1,747.31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87.38</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252.38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12.62</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1,951.64</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1,951.64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231.18</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10.59</w:t>
      </w:r>
      <w:r>
        <w:rPr>
          <w:rFonts w:hint="eastAsia" w:ascii="仿宋_GB2312" w:hAnsi="ˎ̥" w:eastAsia="仿宋_GB2312"/>
          <w:color w:val="auto"/>
          <w:sz w:val="32"/>
          <w:szCs w:val="32"/>
        </w:rPr>
        <w:t>%，主要原因：一</w:t>
      </w:r>
      <w:r>
        <w:rPr>
          <w:rFonts w:hint="eastAsia" w:ascii="仿宋_GB2312" w:hAnsi="ˎ̥" w:eastAsia="仿宋_GB2312"/>
          <w:color w:val="auto"/>
          <w:sz w:val="32"/>
          <w:szCs w:val="32"/>
          <w:lang w:val="en-US" w:eastAsia="zh-CN"/>
        </w:rPr>
        <w:t>是：人员减少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经费减少</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231.18</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10.59</w:t>
      </w:r>
      <w:r>
        <w:rPr>
          <w:rFonts w:hint="eastAsia" w:ascii="仿宋_GB2312" w:hAnsi="ˎ̥" w:eastAsia="仿宋_GB2312"/>
          <w:color w:val="auto"/>
          <w:sz w:val="32"/>
          <w:szCs w:val="32"/>
        </w:rPr>
        <w:t>%，主要原因：一</w:t>
      </w:r>
      <w:r>
        <w:rPr>
          <w:rFonts w:hint="eastAsia" w:ascii="仿宋_GB2312" w:hAnsi="ˎ̥" w:eastAsia="仿宋_GB2312"/>
          <w:color w:val="auto"/>
          <w:sz w:val="32"/>
          <w:szCs w:val="32"/>
          <w:lang w:val="en-US" w:eastAsia="zh-CN"/>
        </w:rPr>
        <w:t>是教育支出减少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社会保障贺就业支出减少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1" w:name="_Toc23005_WPSOffice_Level2"/>
      <w:bookmarkStart w:id="82" w:name="_Toc19665_WPSOffice_Level2"/>
      <w:bookmarkStart w:id="83" w:name="_Toc17398_WPSOffice_Level2"/>
      <w:bookmarkStart w:id="84" w:name="_Toc21737_WPSOffice_Level2"/>
      <w:bookmarkStart w:id="85" w:name="_Toc13694_WPSOffice_Level2"/>
      <w:bookmarkStart w:id="86" w:name="_Toc9989_WPSOffice_Level2"/>
      <w:r>
        <w:rPr>
          <w:rFonts w:hint="eastAsia" w:ascii="楷体" w:hAnsi="楷体" w:eastAsia="楷体" w:cs="楷体"/>
          <w:color w:val="auto"/>
          <w:sz w:val="32"/>
          <w:szCs w:val="32"/>
        </w:rPr>
        <w:t>（一）一般公共预算财政拨款支出决算总体情况</w:t>
      </w:r>
      <w:bookmarkEnd w:id="81"/>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1,951.64</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97.6</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231.18</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10.59</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是一般公共服务支出较多，二是社会保障和就业支出、卫生健康支出都有所减少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7" w:name="_Toc19535_WPSOffice_Level2"/>
      <w:bookmarkStart w:id="88" w:name="_Toc18793_WPSOffice_Level2"/>
      <w:bookmarkStart w:id="89" w:name="_Toc2711_WPSOffice_Level2"/>
      <w:bookmarkStart w:id="90" w:name="_Toc19075_WPSOffice_Level2"/>
      <w:bookmarkStart w:id="91" w:name="_Toc23864_WPSOffice_Level2"/>
      <w:bookmarkStart w:id="92" w:name="_Toc27767_WPSOffice_Level2"/>
      <w:r>
        <w:rPr>
          <w:rFonts w:hint="eastAsia" w:ascii="楷体" w:hAnsi="楷体" w:eastAsia="楷体" w:cs="楷体"/>
          <w:color w:val="auto"/>
          <w:sz w:val="32"/>
          <w:szCs w:val="32"/>
        </w:rPr>
        <w:t>（二）一般公共预算财政拨款支出决算结构情况</w:t>
      </w:r>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1,951.64</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281.7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14.43</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114.57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5.87</w:t>
      </w:r>
      <w:r>
        <w:rPr>
          <w:rFonts w:hint="eastAsia" w:ascii="仿宋_GB2312" w:hAnsi="ˎ̥" w:eastAsia="仿宋_GB2312"/>
          <w:color w:val="auto"/>
          <w:sz w:val="32"/>
          <w:szCs w:val="32"/>
        </w:rPr>
        <w:t>%；</w:t>
      </w:r>
      <w:r>
        <w:rPr>
          <w:rFonts w:hint="eastAsia" w:ascii="仿宋_GB2312" w:hAnsi="仿宋" w:eastAsia="仿宋_GB2312"/>
          <w:color w:val="auto"/>
          <w:kern w:val="2"/>
          <w:sz w:val="32"/>
          <w:szCs w:val="32"/>
          <w:highlight w:val="none"/>
          <w:lang w:val="en-US" w:eastAsia="zh-CN" w:bidi="ar-SA"/>
        </w:rPr>
        <w:t>卫生健康支出250.42万元，占总支出的12.83%;教育支出 1353万元，占总支出的69.32%</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3" w:name="_Toc22318_WPSOffice_Level2"/>
      <w:bookmarkStart w:id="94" w:name="_Toc25136_WPSOffice_Level2"/>
      <w:bookmarkStart w:id="95" w:name="_Toc15415_WPSOffice_Level2"/>
      <w:bookmarkStart w:id="96" w:name="_Toc29364_WPSOffice_Level2"/>
      <w:bookmarkStart w:id="97" w:name="_Toc9502_WPSOffice_Level2"/>
      <w:bookmarkStart w:id="98" w:name="_Toc21701_WPSOffice_Level2"/>
      <w:r>
        <w:rPr>
          <w:rFonts w:hint="eastAsia" w:ascii="楷体" w:hAnsi="楷体" w:eastAsia="楷体" w:cs="楷体"/>
          <w:color w:val="auto"/>
          <w:sz w:val="32"/>
          <w:szCs w:val="32"/>
        </w:rPr>
        <w:t>（三）一般公共预算财政拨款支出决算具体情况</w:t>
      </w:r>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1951.64</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1,951.64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widowControl/>
        <w:spacing w:before="100" w:beforeAutospacing="1" w:after="100" w:afterAutospacing="1"/>
        <w:ind w:firstLine="643" w:firstLineChars="200"/>
        <w:rPr>
          <w:rFonts w:ascii="仿宋_GB2312" w:hAnsi="ˎ̥" w:eastAsia="仿宋_GB2312" w:cs="仿宋_GB2312"/>
          <w:color w:val="auto"/>
          <w:kern w:val="0"/>
          <w:sz w:val="32"/>
          <w:szCs w:val="32"/>
        </w:rPr>
      </w:pPr>
      <w:r>
        <w:rPr>
          <w:rFonts w:hint="eastAsia" w:ascii="仿宋_GB2312" w:hAnsi="ˎ̥" w:eastAsia="仿宋_GB2312" w:cs="仿宋_GB2312"/>
          <w:b/>
          <w:color w:val="auto"/>
          <w:kern w:val="0"/>
          <w:sz w:val="32"/>
          <w:szCs w:val="32"/>
        </w:rPr>
        <w:t>2</w:t>
      </w:r>
      <w:r>
        <w:rPr>
          <w:rFonts w:ascii="仿宋_GB2312" w:hAnsi="ˎ̥" w:eastAsia="仿宋_GB2312" w:cs="仿宋_GB2312"/>
          <w:b/>
          <w:color w:val="auto"/>
          <w:kern w:val="0"/>
          <w:sz w:val="32"/>
          <w:szCs w:val="32"/>
        </w:rPr>
        <w:t>.教育支出（类）普通教育（款）</w:t>
      </w:r>
      <w:r>
        <w:rPr>
          <w:rFonts w:hint="eastAsia" w:ascii="仿宋_GB2312" w:hAnsi="ˎ̥" w:eastAsia="仿宋_GB2312" w:cs="仿宋_GB2312"/>
          <w:b/>
          <w:color w:val="auto"/>
          <w:kern w:val="0"/>
          <w:sz w:val="32"/>
          <w:szCs w:val="32"/>
          <w:lang w:val="en-US" w:eastAsia="zh-CN"/>
        </w:rPr>
        <w:t>小学</w:t>
      </w:r>
      <w:r>
        <w:rPr>
          <w:rFonts w:ascii="仿宋_GB2312" w:hAnsi="ˎ̥" w:eastAsia="仿宋_GB2312" w:cs="仿宋_GB2312"/>
          <w:b/>
          <w:color w:val="auto"/>
          <w:kern w:val="0"/>
          <w:sz w:val="32"/>
          <w:szCs w:val="32"/>
        </w:rPr>
        <w:t>教育（项）。</w:t>
      </w:r>
    </w:p>
    <w:p>
      <w:pPr>
        <w:widowControl/>
        <w:spacing w:before="100" w:beforeAutospacing="1" w:after="100" w:afterAutospacing="1"/>
        <w:ind w:firstLine="640" w:firstLineChars="200"/>
        <w:rPr>
          <w:rFonts w:ascii="仿宋_GB2312" w:hAnsi="ˎ̥" w:eastAsia="仿宋_GB2312" w:cs="仿宋_GB2312"/>
          <w:color w:val="auto"/>
          <w:kern w:val="0"/>
          <w:sz w:val="32"/>
          <w:szCs w:val="32"/>
        </w:rPr>
      </w:pPr>
      <w:r>
        <w:rPr>
          <w:rFonts w:ascii="仿宋_GB2312" w:hAnsi="ˎ̥" w:eastAsia="仿宋_GB2312" w:cs="仿宋_GB2312"/>
          <w:color w:val="auto"/>
          <w:kern w:val="0"/>
          <w:sz w:val="32"/>
          <w:szCs w:val="32"/>
        </w:rPr>
        <w:t>年初预算为1,257.34万元，支出决算为</w:t>
      </w:r>
      <w:r>
        <w:rPr>
          <w:rFonts w:hint="eastAsia" w:ascii="仿宋_GB2312" w:hAnsi="ˎ̥" w:eastAsia="仿宋_GB2312" w:cs="仿宋_GB2312"/>
          <w:color w:val="auto"/>
          <w:kern w:val="0"/>
          <w:sz w:val="32"/>
          <w:szCs w:val="32"/>
          <w:lang w:val="en-US" w:eastAsia="zh-CN"/>
        </w:rPr>
        <w:t>1304.95</w:t>
      </w:r>
      <w:r>
        <w:rPr>
          <w:rFonts w:ascii="仿宋_GB2312" w:hAnsi="ˎ̥" w:eastAsia="仿宋_GB2312" w:cs="仿宋_GB2312"/>
          <w:color w:val="auto"/>
          <w:kern w:val="0"/>
          <w:sz w:val="32"/>
          <w:szCs w:val="32"/>
        </w:rPr>
        <w:t>万元，完成年初预算的</w:t>
      </w:r>
      <w:r>
        <w:rPr>
          <w:rFonts w:hint="eastAsia" w:ascii="仿宋_GB2312" w:hAnsi="ˎ̥" w:eastAsia="仿宋_GB2312" w:cs="仿宋_GB2312"/>
          <w:color w:val="auto"/>
          <w:kern w:val="0"/>
          <w:sz w:val="32"/>
          <w:szCs w:val="32"/>
          <w:lang w:val="en-US" w:eastAsia="zh-CN"/>
        </w:rPr>
        <w:t>103.79</w:t>
      </w:r>
      <w:r>
        <w:rPr>
          <w:rFonts w:ascii="仿宋_GB2312" w:hAnsi="ˎ̥" w:eastAsia="仿宋_GB2312" w:cs="仿宋_GB2312"/>
          <w:color w:val="auto"/>
          <w:kern w:val="0"/>
          <w:sz w:val="32"/>
          <w:szCs w:val="32"/>
        </w:rPr>
        <w:t>%。决算数大于预算数的主要原因：一是有人员新入编及工资晋升，致使基本支出增加；二是项目支出增加。</w:t>
      </w:r>
    </w:p>
    <w:p>
      <w:pPr>
        <w:widowControl/>
        <w:spacing w:before="100" w:beforeAutospacing="1" w:after="100" w:afterAutospacing="1"/>
        <w:ind w:firstLine="643" w:firstLineChars="200"/>
        <w:rPr>
          <w:rFonts w:ascii="仿宋_GB2312" w:hAnsi="ˎ̥" w:eastAsia="仿宋_GB2312" w:cs="仿宋_GB2312"/>
          <w:b/>
          <w:color w:val="auto"/>
          <w:kern w:val="0"/>
          <w:sz w:val="32"/>
          <w:szCs w:val="32"/>
        </w:rPr>
      </w:pPr>
      <w:r>
        <w:rPr>
          <w:rFonts w:hint="eastAsia" w:ascii="仿宋_GB2312" w:hAnsi="ˎ̥" w:eastAsia="仿宋_GB2312" w:cs="仿宋_GB2312"/>
          <w:b/>
          <w:color w:val="auto"/>
          <w:kern w:val="0"/>
          <w:sz w:val="32"/>
          <w:szCs w:val="32"/>
          <w:lang w:val="en-US" w:eastAsia="zh-CN"/>
        </w:rPr>
        <w:t>3</w:t>
      </w:r>
      <w:r>
        <w:rPr>
          <w:rFonts w:ascii="仿宋_GB2312" w:hAnsi="ˎ̥" w:eastAsia="仿宋_GB2312" w:cs="仿宋_GB2312"/>
          <w:b/>
          <w:color w:val="auto"/>
          <w:kern w:val="0"/>
          <w:sz w:val="32"/>
          <w:szCs w:val="32"/>
        </w:rPr>
        <w:t>.社会保障和就业支出（类）行政事业单位养老支出（款）机关事业单位基本养老保险缴费支出（项）。</w:t>
      </w:r>
    </w:p>
    <w:p>
      <w:pPr>
        <w:widowControl/>
        <w:spacing w:before="100" w:beforeAutospacing="1" w:after="100" w:afterAutospacing="1"/>
        <w:ind w:firstLine="640" w:firstLineChars="200"/>
        <w:rPr>
          <w:rFonts w:ascii="仿宋_GB2312" w:hAnsi="ˎ̥" w:eastAsia="仿宋_GB2312" w:cs="仿宋_GB2312"/>
          <w:color w:val="auto"/>
          <w:kern w:val="0"/>
          <w:sz w:val="32"/>
          <w:szCs w:val="32"/>
        </w:rPr>
      </w:pPr>
      <w:r>
        <w:rPr>
          <w:rFonts w:ascii="仿宋_GB2312" w:hAnsi="ˎ̥" w:eastAsia="仿宋_GB2312" w:cs="仿宋_GB2312"/>
          <w:color w:val="auto"/>
          <w:kern w:val="0"/>
          <w:sz w:val="32"/>
          <w:szCs w:val="32"/>
        </w:rPr>
        <w:t>年初预算为168.07万元，支出决算为</w:t>
      </w:r>
      <w:r>
        <w:rPr>
          <w:rFonts w:hint="eastAsia" w:ascii="仿宋_GB2312" w:hAnsi="ˎ̥" w:eastAsia="仿宋_GB2312" w:cs="仿宋_GB2312"/>
          <w:color w:val="auto"/>
          <w:kern w:val="0"/>
          <w:sz w:val="32"/>
          <w:szCs w:val="32"/>
          <w:lang w:val="en-US" w:eastAsia="zh-CN"/>
        </w:rPr>
        <w:t>136.9</w:t>
      </w:r>
      <w:r>
        <w:rPr>
          <w:rFonts w:ascii="仿宋_GB2312" w:hAnsi="ˎ̥" w:eastAsia="仿宋_GB2312" w:cs="仿宋_GB2312"/>
          <w:color w:val="auto"/>
          <w:kern w:val="0"/>
          <w:sz w:val="32"/>
          <w:szCs w:val="32"/>
        </w:rPr>
        <w:t>万元，完成年初预算的</w:t>
      </w:r>
      <w:r>
        <w:rPr>
          <w:rFonts w:hint="eastAsia" w:ascii="仿宋_GB2312" w:hAnsi="ˎ̥" w:eastAsia="仿宋_GB2312" w:cs="仿宋_GB2312"/>
          <w:color w:val="auto"/>
          <w:kern w:val="0"/>
          <w:sz w:val="32"/>
          <w:szCs w:val="32"/>
        </w:rPr>
        <w:t>8</w:t>
      </w:r>
      <w:r>
        <w:rPr>
          <w:rFonts w:hint="eastAsia" w:ascii="仿宋_GB2312" w:hAnsi="ˎ̥" w:eastAsia="仿宋_GB2312" w:cs="仿宋_GB2312"/>
          <w:color w:val="auto"/>
          <w:kern w:val="0"/>
          <w:sz w:val="32"/>
          <w:szCs w:val="32"/>
          <w:lang w:val="en-US" w:eastAsia="zh-CN"/>
        </w:rPr>
        <w:t>1</w:t>
      </w:r>
      <w:r>
        <w:rPr>
          <w:rFonts w:hint="eastAsia" w:ascii="仿宋_GB2312" w:hAnsi="ˎ̥" w:eastAsia="仿宋_GB2312" w:cs="仿宋_GB2312"/>
          <w:color w:val="auto"/>
          <w:kern w:val="0"/>
          <w:sz w:val="32"/>
          <w:szCs w:val="32"/>
        </w:rPr>
        <w:t>.</w:t>
      </w:r>
      <w:r>
        <w:rPr>
          <w:rFonts w:hint="eastAsia" w:ascii="仿宋_GB2312" w:hAnsi="ˎ̥" w:eastAsia="仿宋_GB2312" w:cs="仿宋_GB2312"/>
          <w:color w:val="auto"/>
          <w:kern w:val="0"/>
          <w:sz w:val="32"/>
          <w:szCs w:val="32"/>
          <w:lang w:val="en-US" w:eastAsia="zh-CN"/>
        </w:rPr>
        <w:t>45</w:t>
      </w:r>
      <w:r>
        <w:rPr>
          <w:rFonts w:ascii="仿宋_GB2312" w:hAnsi="ˎ̥" w:eastAsia="仿宋_GB2312" w:cs="仿宋_GB2312"/>
          <w:color w:val="auto"/>
          <w:kern w:val="0"/>
          <w:sz w:val="32"/>
          <w:szCs w:val="32"/>
        </w:rPr>
        <w:t>%。决算数小于预算数的主要原因：</w:t>
      </w:r>
      <w:r>
        <w:rPr>
          <w:rFonts w:ascii="仿宋_GB2312" w:hAnsi="宋体" w:eastAsia="仿宋_GB2312" w:cs="仿宋_GB2312"/>
          <w:color w:val="auto"/>
          <w:kern w:val="0"/>
          <w:sz w:val="32"/>
          <w:szCs w:val="32"/>
          <w:shd w:val="clear" w:color="auto" w:fill="FFFFFF"/>
        </w:rPr>
        <w:t>单位退休人员</w:t>
      </w:r>
      <w:r>
        <w:rPr>
          <w:rFonts w:hint="eastAsia" w:ascii="仿宋_GB2312" w:hAnsi="宋体" w:eastAsia="仿宋_GB2312" w:cs="仿宋_GB2312"/>
          <w:color w:val="auto"/>
          <w:kern w:val="0"/>
          <w:sz w:val="32"/>
          <w:szCs w:val="32"/>
          <w:shd w:val="clear" w:color="auto" w:fill="FFFFFF"/>
        </w:rPr>
        <w:t>数量大于入编</w:t>
      </w:r>
      <w:r>
        <w:rPr>
          <w:rFonts w:ascii="仿宋_GB2312" w:hAnsi="宋体" w:eastAsia="仿宋_GB2312" w:cs="仿宋_GB2312"/>
          <w:color w:val="auto"/>
          <w:kern w:val="0"/>
          <w:sz w:val="32"/>
          <w:szCs w:val="32"/>
          <w:shd w:val="clear" w:color="auto" w:fill="FFFFFF"/>
        </w:rPr>
        <w:t>人员数量。</w:t>
      </w:r>
    </w:p>
    <w:p>
      <w:pPr>
        <w:widowControl/>
        <w:spacing w:before="100" w:beforeAutospacing="1" w:after="100" w:afterAutospacing="1"/>
        <w:ind w:firstLine="643" w:firstLineChars="200"/>
        <w:rPr>
          <w:rFonts w:ascii="仿宋_GB2312" w:hAnsi="ˎ̥" w:eastAsia="仿宋_GB2312" w:cs="仿宋_GB2312"/>
          <w:b/>
          <w:color w:val="auto"/>
          <w:kern w:val="0"/>
          <w:sz w:val="32"/>
          <w:szCs w:val="32"/>
        </w:rPr>
      </w:pPr>
      <w:r>
        <w:rPr>
          <w:rFonts w:hint="eastAsia" w:ascii="仿宋_GB2312" w:hAnsi="ˎ̥" w:eastAsia="仿宋_GB2312" w:cs="仿宋_GB2312"/>
          <w:b/>
          <w:color w:val="auto"/>
          <w:kern w:val="0"/>
          <w:sz w:val="32"/>
          <w:szCs w:val="32"/>
        </w:rPr>
        <w:t>5</w:t>
      </w:r>
      <w:r>
        <w:rPr>
          <w:rFonts w:ascii="仿宋_GB2312" w:hAnsi="ˎ̥" w:eastAsia="仿宋_GB2312" w:cs="仿宋_GB2312"/>
          <w:b/>
          <w:color w:val="auto"/>
          <w:kern w:val="0"/>
          <w:sz w:val="32"/>
          <w:szCs w:val="32"/>
        </w:rPr>
        <w:t>.社会保障和就业支出（类）行政事业单位养老支出（款） 机关事业单位职业年金缴费支出（项）。</w:t>
      </w:r>
    </w:p>
    <w:p>
      <w:pPr>
        <w:widowControl/>
        <w:spacing w:before="100" w:beforeAutospacing="1" w:after="100" w:afterAutospacing="1"/>
        <w:ind w:firstLine="640" w:firstLineChars="200"/>
        <w:rPr>
          <w:rFonts w:ascii="仿宋_GB2312" w:hAnsi="ˎ̥" w:eastAsia="仿宋_GB2312" w:cs="仿宋_GB2312"/>
          <w:color w:val="auto"/>
          <w:kern w:val="0"/>
          <w:sz w:val="32"/>
          <w:szCs w:val="32"/>
        </w:rPr>
      </w:pPr>
      <w:r>
        <w:rPr>
          <w:rFonts w:ascii="仿宋_GB2312" w:hAnsi="ˎ̥" w:eastAsia="仿宋_GB2312" w:cs="仿宋_GB2312"/>
          <w:color w:val="auto"/>
          <w:kern w:val="0"/>
          <w:sz w:val="32"/>
          <w:szCs w:val="32"/>
        </w:rPr>
        <w:t>年初预算为</w:t>
      </w:r>
      <w:r>
        <w:rPr>
          <w:rFonts w:hint="eastAsia" w:ascii="仿宋_GB2312" w:hAnsi="ˎ̥" w:eastAsia="仿宋_GB2312" w:cs="仿宋_GB2312"/>
          <w:color w:val="auto"/>
          <w:kern w:val="0"/>
          <w:sz w:val="32"/>
          <w:szCs w:val="32"/>
          <w:lang w:val="en-US" w:eastAsia="zh-CN"/>
        </w:rPr>
        <w:t>84.03</w:t>
      </w:r>
      <w:r>
        <w:rPr>
          <w:rFonts w:ascii="仿宋_GB2312" w:hAnsi="ˎ̥" w:eastAsia="仿宋_GB2312" w:cs="仿宋_GB2312"/>
          <w:color w:val="auto"/>
          <w:kern w:val="0"/>
          <w:sz w:val="32"/>
          <w:szCs w:val="32"/>
        </w:rPr>
        <w:t>万元，支出决算为</w:t>
      </w:r>
      <w:r>
        <w:rPr>
          <w:rFonts w:hint="eastAsia" w:ascii="仿宋_GB2312" w:hAnsi="ˎ̥" w:eastAsia="仿宋_GB2312" w:cs="仿宋_GB2312"/>
          <w:color w:val="auto"/>
          <w:kern w:val="0"/>
          <w:sz w:val="32"/>
          <w:szCs w:val="32"/>
          <w:lang w:val="en-US" w:eastAsia="zh-CN"/>
        </w:rPr>
        <w:t>140.95</w:t>
      </w:r>
      <w:r>
        <w:rPr>
          <w:rFonts w:ascii="仿宋_GB2312" w:hAnsi="ˎ̥" w:eastAsia="仿宋_GB2312" w:cs="仿宋_GB2312"/>
          <w:color w:val="auto"/>
          <w:kern w:val="0"/>
          <w:sz w:val="32"/>
          <w:szCs w:val="32"/>
        </w:rPr>
        <w:t>万元，完成年初预算的</w:t>
      </w:r>
      <w:r>
        <w:rPr>
          <w:rFonts w:hint="eastAsia" w:ascii="仿宋_GB2312" w:hAnsi="ˎ̥" w:eastAsia="仿宋_GB2312" w:cs="仿宋_GB2312"/>
          <w:color w:val="auto"/>
          <w:kern w:val="0"/>
          <w:sz w:val="32"/>
          <w:szCs w:val="32"/>
          <w:lang w:val="en-US" w:eastAsia="zh-CN"/>
        </w:rPr>
        <w:t>167.73</w:t>
      </w:r>
      <w:r>
        <w:rPr>
          <w:rFonts w:ascii="仿宋_GB2312" w:hAnsi="ˎ̥" w:eastAsia="仿宋_GB2312" w:cs="仿宋_GB2312"/>
          <w:color w:val="auto"/>
          <w:kern w:val="0"/>
          <w:sz w:val="32"/>
          <w:szCs w:val="32"/>
        </w:rPr>
        <w:t>%。决算数大于预算数的主要原因：</w:t>
      </w:r>
      <w:r>
        <w:rPr>
          <w:rFonts w:hint="eastAsia" w:ascii="仿宋_GB2312" w:hAnsi="ˎ̥" w:eastAsia="仿宋_GB2312" w:cs="仿宋_GB2312"/>
          <w:color w:val="auto"/>
          <w:kern w:val="0"/>
          <w:sz w:val="32"/>
          <w:szCs w:val="32"/>
        </w:rPr>
        <w:t>退休人员职业年金记实资金数量较大</w:t>
      </w:r>
      <w:r>
        <w:rPr>
          <w:rFonts w:ascii="仿宋_GB2312" w:hAnsi="宋体" w:eastAsia="仿宋_GB2312" w:cs="仿宋_GB2312"/>
          <w:color w:val="auto"/>
          <w:kern w:val="0"/>
          <w:sz w:val="32"/>
          <w:szCs w:val="32"/>
          <w:shd w:val="clear" w:color="auto" w:fill="FFFFFF"/>
        </w:rPr>
        <w:t>。</w:t>
      </w:r>
    </w:p>
    <w:p>
      <w:pPr>
        <w:widowControl/>
        <w:spacing w:before="100" w:beforeAutospacing="1" w:after="100" w:afterAutospacing="1"/>
        <w:ind w:firstLine="643" w:firstLineChars="200"/>
        <w:rPr>
          <w:rFonts w:ascii="仿宋_GB2312" w:hAnsi="ˎ̥" w:eastAsia="仿宋_GB2312" w:cs="仿宋_GB2312"/>
          <w:b/>
          <w:color w:val="auto"/>
          <w:kern w:val="0"/>
          <w:sz w:val="32"/>
          <w:szCs w:val="32"/>
        </w:rPr>
      </w:pPr>
      <w:r>
        <w:rPr>
          <w:rFonts w:hint="eastAsia" w:ascii="仿宋_GB2312" w:hAnsi="ˎ̥" w:eastAsia="仿宋_GB2312" w:cs="仿宋_GB2312"/>
          <w:b/>
          <w:color w:val="auto"/>
          <w:kern w:val="0"/>
          <w:sz w:val="32"/>
          <w:szCs w:val="32"/>
        </w:rPr>
        <w:t>6</w:t>
      </w:r>
      <w:r>
        <w:rPr>
          <w:rFonts w:ascii="仿宋_GB2312" w:hAnsi="ˎ̥" w:eastAsia="仿宋_GB2312" w:cs="仿宋_GB2312"/>
          <w:b/>
          <w:color w:val="auto"/>
          <w:kern w:val="0"/>
          <w:sz w:val="32"/>
          <w:szCs w:val="32"/>
        </w:rPr>
        <w:t>.社会保障和就业支出（类）抚恤（款） 其他优抚支出（项）。</w:t>
      </w:r>
    </w:p>
    <w:p>
      <w:pPr>
        <w:widowControl/>
        <w:spacing w:before="100" w:beforeAutospacing="1" w:after="100" w:afterAutospacing="1"/>
        <w:ind w:firstLine="640" w:firstLineChars="200"/>
        <w:rPr>
          <w:rFonts w:ascii="仿宋_GB2312" w:hAnsi="ˎ̥" w:eastAsia="仿宋_GB2312" w:cs="仿宋_GB2312"/>
          <w:color w:val="auto"/>
          <w:kern w:val="0"/>
          <w:sz w:val="32"/>
          <w:szCs w:val="32"/>
        </w:rPr>
      </w:pPr>
      <w:r>
        <w:rPr>
          <w:rFonts w:ascii="仿宋_GB2312" w:hAnsi="ˎ̥" w:eastAsia="仿宋_GB2312" w:cs="仿宋_GB2312"/>
          <w:color w:val="auto"/>
          <w:kern w:val="0"/>
          <w:sz w:val="32"/>
          <w:szCs w:val="32"/>
        </w:rPr>
        <w:t>年初预算为</w:t>
      </w:r>
      <w:r>
        <w:rPr>
          <w:rFonts w:hint="eastAsia" w:ascii="仿宋_GB2312" w:hAnsi="ˎ̥" w:eastAsia="仿宋_GB2312" w:cs="仿宋_GB2312"/>
          <w:color w:val="auto"/>
          <w:kern w:val="0"/>
          <w:sz w:val="32"/>
          <w:szCs w:val="32"/>
          <w:lang w:val="en-US" w:eastAsia="zh-CN"/>
        </w:rPr>
        <w:t>3.98</w:t>
      </w:r>
      <w:r>
        <w:rPr>
          <w:rFonts w:ascii="仿宋_GB2312" w:hAnsi="ˎ̥" w:eastAsia="仿宋_GB2312" w:cs="仿宋_GB2312"/>
          <w:color w:val="auto"/>
          <w:kern w:val="0"/>
          <w:sz w:val="32"/>
          <w:szCs w:val="32"/>
        </w:rPr>
        <w:t>万元，支出决算为</w:t>
      </w:r>
      <w:r>
        <w:rPr>
          <w:rFonts w:hint="eastAsia" w:ascii="仿宋_GB2312" w:hAnsi="ˎ̥" w:eastAsia="仿宋_GB2312" w:cs="仿宋_GB2312"/>
          <w:color w:val="auto"/>
          <w:kern w:val="0"/>
          <w:sz w:val="32"/>
          <w:szCs w:val="32"/>
          <w:lang w:val="en-US" w:eastAsia="zh-CN"/>
        </w:rPr>
        <w:t>3.85</w:t>
      </w:r>
      <w:r>
        <w:rPr>
          <w:rFonts w:ascii="仿宋_GB2312" w:hAnsi="ˎ̥" w:eastAsia="仿宋_GB2312" w:cs="仿宋_GB2312"/>
          <w:color w:val="auto"/>
          <w:kern w:val="0"/>
          <w:sz w:val="32"/>
          <w:szCs w:val="32"/>
        </w:rPr>
        <w:t>万元，完成年初预算的</w:t>
      </w:r>
      <w:r>
        <w:rPr>
          <w:rFonts w:hint="eastAsia" w:ascii="仿宋_GB2312" w:hAnsi="ˎ̥" w:eastAsia="仿宋_GB2312" w:cs="仿宋_GB2312"/>
          <w:color w:val="auto"/>
          <w:kern w:val="0"/>
          <w:sz w:val="32"/>
          <w:szCs w:val="32"/>
          <w:lang w:val="en-US" w:eastAsia="zh-CN"/>
        </w:rPr>
        <w:t>96.73</w:t>
      </w:r>
      <w:r>
        <w:rPr>
          <w:rFonts w:ascii="仿宋_GB2312" w:hAnsi="ˎ̥" w:eastAsia="仿宋_GB2312" w:cs="仿宋_GB2312"/>
          <w:color w:val="auto"/>
          <w:kern w:val="0"/>
          <w:sz w:val="32"/>
          <w:szCs w:val="32"/>
        </w:rPr>
        <w:t>%。决算数小于预算数的主要原因：</w:t>
      </w:r>
      <w:r>
        <w:rPr>
          <w:rFonts w:hint="eastAsia" w:ascii="仿宋_GB2312" w:hAnsi="ˎ̥" w:eastAsia="仿宋_GB2312" w:cs="仿宋_GB2312"/>
          <w:color w:val="auto"/>
          <w:kern w:val="0"/>
          <w:sz w:val="32"/>
          <w:szCs w:val="32"/>
        </w:rPr>
        <w:t>2024年遗属人员数量与补贴标准</w:t>
      </w:r>
      <w:r>
        <w:rPr>
          <w:rFonts w:hint="eastAsia" w:ascii="仿宋_GB2312" w:hAnsi="ˎ̥" w:eastAsia="仿宋_GB2312" w:cs="仿宋_GB2312"/>
          <w:color w:val="auto"/>
          <w:kern w:val="0"/>
          <w:sz w:val="32"/>
          <w:szCs w:val="32"/>
          <w:lang w:val="en-US" w:eastAsia="zh-CN"/>
        </w:rPr>
        <w:t>有变动</w:t>
      </w:r>
      <w:r>
        <w:rPr>
          <w:rFonts w:hint="eastAsia" w:ascii="仿宋_GB2312" w:hAnsi="ˎ̥" w:eastAsia="仿宋_GB2312" w:cs="仿宋_GB2312"/>
          <w:color w:val="auto"/>
          <w:kern w:val="0"/>
          <w:sz w:val="32"/>
          <w:szCs w:val="32"/>
        </w:rPr>
        <w:t>。</w:t>
      </w:r>
    </w:p>
    <w:p>
      <w:pPr>
        <w:widowControl/>
        <w:spacing w:before="100" w:beforeAutospacing="1" w:after="100" w:afterAutospacing="1"/>
        <w:ind w:firstLine="643" w:firstLineChars="200"/>
        <w:rPr>
          <w:rFonts w:ascii="仿宋_GB2312" w:hAnsi="ˎ̥" w:eastAsia="仿宋_GB2312" w:cs="仿宋_GB2312"/>
          <w:b/>
          <w:color w:val="auto"/>
          <w:kern w:val="0"/>
          <w:sz w:val="32"/>
          <w:szCs w:val="32"/>
        </w:rPr>
      </w:pPr>
      <w:r>
        <w:rPr>
          <w:rFonts w:hint="eastAsia" w:ascii="仿宋_GB2312" w:hAnsi="ˎ̥" w:eastAsia="仿宋_GB2312" w:cs="仿宋_GB2312"/>
          <w:b/>
          <w:color w:val="auto"/>
          <w:kern w:val="0"/>
          <w:sz w:val="32"/>
          <w:szCs w:val="32"/>
        </w:rPr>
        <w:t>7</w:t>
      </w:r>
      <w:r>
        <w:rPr>
          <w:rFonts w:ascii="仿宋_GB2312" w:hAnsi="ˎ̥" w:eastAsia="仿宋_GB2312" w:cs="仿宋_GB2312"/>
          <w:b/>
          <w:color w:val="auto"/>
          <w:kern w:val="0"/>
          <w:sz w:val="32"/>
          <w:szCs w:val="32"/>
        </w:rPr>
        <w:t>.卫生健康支出（类）行政事业单位医疗（款） 事业单位医疗（项）。</w:t>
      </w:r>
    </w:p>
    <w:p>
      <w:pPr>
        <w:pStyle w:val="18"/>
        <w:widowControl/>
        <w:spacing w:after="100"/>
        <w:ind w:firstLine="640"/>
        <w:rPr>
          <w:rFonts w:hint="default" w:ascii="仿宋_GB2312" w:eastAsia="仿宋_GB2312" w:cs="仿宋_GB2312"/>
          <w:color w:val="auto"/>
          <w:sz w:val="32"/>
          <w:szCs w:val="32"/>
          <w:shd w:val="clear" w:color="auto" w:fill="FFFFFF"/>
        </w:rPr>
      </w:pPr>
      <w:r>
        <w:rPr>
          <w:rFonts w:hint="default" w:ascii="仿宋_GB2312" w:hAnsi="ˎ̥" w:eastAsia="仿宋_GB2312" w:cs="仿宋_GB2312"/>
          <w:color w:val="auto"/>
          <w:sz w:val="32"/>
          <w:szCs w:val="32"/>
        </w:rPr>
        <w:t>年初预算为</w:t>
      </w:r>
      <w:r>
        <w:rPr>
          <w:rFonts w:hint="eastAsia" w:ascii="仿宋_GB2312" w:hAnsi="ˎ̥" w:eastAsia="仿宋_GB2312" w:cs="仿宋_GB2312"/>
          <w:color w:val="auto"/>
          <w:sz w:val="32"/>
          <w:szCs w:val="32"/>
          <w:lang w:val="en-US" w:eastAsia="zh-CN"/>
        </w:rPr>
        <w:t>77.62</w:t>
      </w:r>
      <w:r>
        <w:rPr>
          <w:rFonts w:hint="default" w:ascii="仿宋_GB2312" w:hAnsi="ˎ̥" w:eastAsia="仿宋_GB2312" w:cs="仿宋_GB2312"/>
          <w:color w:val="auto"/>
          <w:sz w:val="32"/>
          <w:szCs w:val="32"/>
        </w:rPr>
        <w:t>万元，支出决算为</w:t>
      </w:r>
      <w:r>
        <w:rPr>
          <w:rFonts w:hint="eastAsia" w:ascii="仿宋_GB2312" w:hAnsi="ˎ̥" w:eastAsia="仿宋_GB2312" w:cs="仿宋_GB2312"/>
          <w:color w:val="auto"/>
          <w:sz w:val="32"/>
          <w:szCs w:val="32"/>
          <w:lang w:val="en-US" w:eastAsia="zh-CN"/>
        </w:rPr>
        <w:t>56.97</w:t>
      </w:r>
      <w:r>
        <w:rPr>
          <w:rFonts w:hint="default" w:ascii="仿宋_GB2312" w:hAnsi="ˎ̥" w:eastAsia="仿宋_GB2312" w:cs="仿宋_GB2312"/>
          <w:color w:val="auto"/>
          <w:sz w:val="32"/>
          <w:szCs w:val="32"/>
        </w:rPr>
        <w:t>万元，完成年初预算的</w:t>
      </w:r>
      <w:r>
        <w:rPr>
          <w:rFonts w:hint="eastAsia" w:ascii="仿宋_GB2312" w:hAnsi="ˎ̥" w:eastAsia="仿宋_GB2312" w:cs="仿宋_GB2312"/>
          <w:color w:val="auto"/>
          <w:sz w:val="32"/>
          <w:szCs w:val="32"/>
          <w:lang w:val="en-US" w:eastAsia="zh-CN"/>
        </w:rPr>
        <w:t>73.40</w:t>
      </w:r>
      <w:r>
        <w:rPr>
          <w:rFonts w:hint="default" w:ascii="仿宋_GB2312" w:hAnsi="ˎ̥" w:eastAsia="仿宋_GB2312" w:cs="仿宋_GB2312"/>
          <w:color w:val="auto"/>
          <w:sz w:val="32"/>
          <w:szCs w:val="32"/>
        </w:rPr>
        <w:t>%。决算数小于预算数的主要原因：</w:t>
      </w:r>
      <w:r>
        <w:rPr>
          <w:rFonts w:hint="default" w:ascii="仿宋_GB2312" w:eastAsia="仿宋_GB2312" w:cs="仿宋_GB2312"/>
          <w:color w:val="auto"/>
          <w:sz w:val="32"/>
          <w:szCs w:val="32"/>
          <w:shd w:val="clear" w:color="auto" w:fill="FFFFFF"/>
        </w:rPr>
        <w:t>退休人员增加，养老保险基数减少。</w:t>
      </w:r>
    </w:p>
    <w:p>
      <w:pPr>
        <w:widowControl/>
        <w:spacing w:before="100" w:beforeAutospacing="1" w:after="100" w:afterAutospacing="1"/>
        <w:ind w:firstLine="643" w:firstLineChars="200"/>
        <w:rPr>
          <w:rFonts w:ascii="仿宋_GB2312" w:hAnsi="ˎ̥" w:eastAsia="仿宋_GB2312" w:cs="仿宋_GB2312"/>
          <w:b/>
          <w:color w:val="auto"/>
          <w:kern w:val="0"/>
          <w:sz w:val="32"/>
          <w:szCs w:val="32"/>
        </w:rPr>
      </w:pPr>
      <w:r>
        <w:rPr>
          <w:rFonts w:hint="eastAsia" w:ascii="仿宋_GB2312" w:hAnsi="ˎ̥" w:eastAsia="仿宋_GB2312" w:cs="仿宋_GB2312"/>
          <w:b/>
          <w:color w:val="auto"/>
          <w:kern w:val="0"/>
          <w:sz w:val="32"/>
          <w:szCs w:val="32"/>
        </w:rPr>
        <w:t>8</w:t>
      </w:r>
      <w:r>
        <w:rPr>
          <w:rFonts w:ascii="仿宋_GB2312" w:hAnsi="ˎ̥" w:eastAsia="仿宋_GB2312" w:cs="仿宋_GB2312"/>
          <w:b/>
          <w:color w:val="auto"/>
          <w:kern w:val="0"/>
          <w:sz w:val="32"/>
          <w:szCs w:val="32"/>
        </w:rPr>
        <w:t>.卫生健康支出（类）行政事业单位医疗（款）公务员医疗补助（项）。</w:t>
      </w:r>
    </w:p>
    <w:p>
      <w:pPr>
        <w:pStyle w:val="18"/>
        <w:widowControl/>
        <w:spacing w:after="100"/>
        <w:ind w:firstLine="640"/>
        <w:rPr>
          <w:rFonts w:hint="default" w:ascii="仿宋_GB2312" w:eastAsia="仿宋_GB2312" w:cs="仿宋_GB2312"/>
          <w:color w:val="auto"/>
          <w:sz w:val="32"/>
          <w:szCs w:val="32"/>
          <w:shd w:val="clear" w:color="auto" w:fill="FFFFFF"/>
        </w:rPr>
      </w:pPr>
      <w:r>
        <w:rPr>
          <w:rFonts w:hint="default" w:ascii="仿宋_GB2312" w:hAnsi="ˎ̥" w:eastAsia="仿宋_GB2312" w:cs="仿宋_GB2312"/>
          <w:color w:val="auto"/>
          <w:sz w:val="32"/>
          <w:szCs w:val="32"/>
        </w:rPr>
        <w:t>年初预算为</w:t>
      </w:r>
      <w:r>
        <w:rPr>
          <w:rFonts w:hint="eastAsia" w:ascii="仿宋_GB2312" w:hAnsi="ˎ̥" w:eastAsia="仿宋_GB2312" w:cs="仿宋_GB2312"/>
          <w:color w:val="auto"/>
          <w:sz w:val="32"/>
          <w:szCs w:val="32"/>
          <w:lang w:val="en-US" w:eastAsia="zh-CN"/>
        </w:rPr>
        <w:t>196.95</w:t>
      </w:r>
      <w:r>
        <w:rPr>
          <w:rFonts w:hint="default" w:ascii="仿宋_GB2312" w:hAnsi="ˎ̥" w:eastAsia="仿宋_GB2312" w:cs="仿宋_GB2312"/>
          <w:color w:val="auto"/>
          <w:sz w:val="32"/>
          <w:szCs w:val="32"/>
        </w:rPr>
        <w:t>万元，支出决算为</w:t>
      </w:r>
      <w:r>
        <w:rPr>
          <w:rFonts w:hint="eastAsia" w:ascii="仿宋_GB2312" w:hAnsi="ˎ̥" w:eastAsia="仿宋_GB2312" w:cs="仿宋_GB2312"/>
          <w:color w:val="auto"/>
          <w:sz w:val="32"/>
          <w:szCs w:val="32"/>
          <w:lang w:val="en-US" w:eastAsia="zh-CN"/>
        </w:rPr>
        <w:t>187.31</w:t>
      </w:r>
      <w:r>
        <w:rPr>
          <w:rFonts w:hint="default" w:ascii="仿宋_GB2312" w:hAnsi="ˎ̥" w:eastAsia="仿宋_GB2312" w:cs="仿宋_GB2312"/>
          <w:color w:val="auto"/>
          <w:sz w:val="32"/>
          <w:szCs w:val="32"/>
        </w:rPr>
        <w:t>万元，完成年初预算的</w:t>
      </w:r>
      <w:r>
        <w:rPr>
          <w:rFonts w:hint="eastAsia" w:ascii="仿宋_GB2312" w:hAnsi="ˎ̥" w:eastAsia="仿宋_GB2312" w:cs="仿宋_GB2312"/>
          <w:color w:val="auto"/>
          <w:sz w:val="32"/>
          <w:szCs w:val="32"/>
          <w:lang w:val="en-US" w:eastAsia="zh-CN"/>
        </w:rPr>
        <w:t>95.10</w:t>
      </w:r>
      <w:r>
        <w:rPr>
          <w:rFonts w:hint="default" w:ascii="仿宋_GB2312" w:hAnsi="ˎ̥" w:eastAsia="仿宋_GB2312" w:cs="仿宋_GB2312"/>
          <w:color w:val="auto"/>
          <w:sz w:val="32"/>
          <w:szCs w:val="32"/>
        </w:rPr>
        <w:t>%。</w:t>
      </w:r>
      <w:bookmarkStart w:id="99" w:name="_Hlk212469632"/>
      <w:r>
        <w:rPr>
          <w:rFonts w:hint="default" w:ascii="仿宋_GB2312" w:hAnsi="ˎ̥" w:eastAsia="仿宋_GB2312" w:cs="仿宋_GB2312"/>
          <w:color w:val="auto"/>
          <w:sz w:val="32"/>
          <w:szCs w:val="32"/>
        </w:rPr>
        <w:t>决算数</w:t>
      </w:r>
      <w:r>
        <w:rPr>
          <w:rFonts w:ascii="仿宋_GB2312" w:hAnsi="ˎ̥" w:eastAsia="仿宋_GB2312" w:cs="仿宋_GB2312"/>
          <w:color w:val="auto"/>
          <w:sz w:val="32"/>
          <w:szCs w:val="32"/>
        </w:rPr>
        <w:t>小</w:t>
      </w:r>
      <w:r>
        <w:rPr>
          <w:rFonts w:hint="default" w:ascii="仿宋_GB2312" w:hAnsi="ˎ̥" w:eastAsia="仿宋_GB2312" w:cs="仿宋_GB2312"/>
          <w:color w:val="auto"/>
          <w:sz w:val="32"/>
          <w:szCs w:val="32"/>
        </w:rPr>
        <w:t>于预算数的主要原因：</w:t>
      </w:r>
      <w:r>
        <w:rPr>
          <w:rFonts w:hint="default" w:ascii="仿宋_GB2312" w:eastAsia="仿宋_GB2312" w:cs="仿宋_GB2312"/>
          <w:color w:val="auto"/>
          <w:sz w:val="32"/>
          <w:szCs w:val="32"/>
          <w:shd w:val="clear" w:color="auto" w:fill="FFFFFF"/>
        </w:rPr>
        <w:t>公务员医疗补助</w:t>
      </w:r>
      <w:r>
        <w:rPr>
          <w:rFonts w:ascii="仿宋_GB2312" w:eastAsia="仿宋_GB2312" w:cs="仿宋_GB2312"/>
          <w:color w:val="auto"/>
          <w:sz w:val="32"/>
          <w:szCs w:val="32"/>
          <w:shd w:val="clear" w:color="auto" w:fill="FFFFFF"/>
        </w:rPr>
        <w:t>预算数受上年</w:t>
      </w:r>
      <w:r>
        <w:rPr>
          <w:rFonts w:hint="default" w:ascii="仿宋_GB2312" w:eastAsia="仿宋_GB2312" w:cs="仿宋_GB2312"/>
          <w:color w:val="auto"/>
          <w:sz w:val="32"/>
          <w:szCs w:val="32"/>
          <w:shd w:val="clear" w:color="auto" w:fill="FFFFFF"/>
        </w:rPr>
        <w:t>基数</w:t>
      </w:r>
      <w:r>
        <w:rPr>
          <w:rFonts w:ascii="仿宋_GB2312" w:eastAsia="仿宋_GB2312" w:cs="仿宋_GB2312"/>
          <w:color w:val="auto"/>
          <w:sz w:val="32"/>
          <w:szCs w:val="32"/>
          <w:shd w:val="clear" w:color="auto" w:fill="FFFFFF"/>
        </w:rPr>
        <w:t>调整影响所致</w:t>
      </w:r>
      <w:bookmarkEnd w:id="99"/>
      <w:r>
        <w:rPr>
          <w:rFonts w:hint="default" w:ascii="仿宋_GB2312" w:eastAsia="仿宋_GB2312" w:cs="仿宋_GB2312"/>
          <w:color w:val="auto"/>
          <w:sz w:val="32"/>
          <w:szCs w:val="32"/>
          <w:shd w:val="clear" w:color="auto" w:fill="FFFFFF"/>
        </w:rPr>
        <w:t>。</w:t>
      </w:r>
    </w:p>
    <w:p>
      <w:pPr>
        <w:widowControl/>
        <w:spacing w:before="100" w:beforeAutospacing="1" w:after="100" w:afterAutospacing="1"/>
        <w:ind w:firstLine="643" w:firstLineChars="200"/>
        <w:rPr>
          <w:rFonts w:ascii="仿宋_GB2312" w:hAnsi="ˎ̥" w:eastAsia="仿宋_GB2312" w:cs="仿宋_GB2312"/>
          <w:b/>
          <w:color w:val="auto"/>
          <w:kern w:val="0"/>
          <w:sz w:val="32"/>
          <w:szCs w:val="32"/>
        </w:rPr>
      </w:pPr>
      <w:r>
        <w:rPr>
          <w:rFonts w:hint="eastAsia" w:ascii="仿宋_GB2312" w:hAnsi="ˎ̥" w:eastAsia="仿宋_GB2312" w:cs="仿宋_GB2312"/>
          <w:b/>
          <w:color w:val="auto"/>
          <w:kern w:val="0"/>
          <w:sz w:val="32"/>
          <w:szCs w:val="32"/>
        </w:rPr>
        <w:t>9</w:t>
      </w:r>
      <w:r>
        <w:rPr>
          <w:rFonts w:ascii="仿宋_GB2312" w:hAnsi="ˎ̥" w:eastAsia="仿宋_GB2312" w:cs="仿宋_GB2312"/>
          <w:b/>
          <w:color w:val="auto"/>
          <w:kern w:val="0"/>
          <w:sz w:val="32"/>
          <w:szCs w:val="32"/>
        </w:rPr>
        <w:t>.卫生健康支出（类）行政事业单位医疗（款）</w:t>
      </w:r>
      <w:r>
        <w:rPr>
          <w:rFonts w:hint="eastAsia" w:ascii="仿宋_GB2312" w:hAnsi="ˎ̥" w:eastAsia="仿宋_GB2312" w:cs="仿宋_GB2312"/>
          <w:b/>
          <w:color w:val="auto"/>
          <w:kern w:val="0"/>
          <w:sz w:val="32"/>
          <w:szCs w:val="32"/>
        </w:rPr>
        <w:t>其他行政事业单位医疗支出</w:t>
      </w:r>
      <w:r>
        <w:rPr>
          <w:rFonts w:ascii="仿宋_GB2312" w:hAnsi="ˎ̥" w:eastAsia="仿宋_GB2312" w:cs="仿宋_GB2312"/>
          <w:b/>
          <w:color w:val="auto"/>
          <w:kern w:val="0"/>
          <w:sz w:val="32"/>
          <w:szCs w:val="32"/>
        </w:rPr>
        <w:t>（项）。</w:t>
      </w:r>
    </w:p>
    <w:p>
      <w:pPr>
        <w:pStyle w:val="18"/>
        <w:widowControl/>
        <w:spacing w:after="100"/>
        <w:ind w:firstLine="640"/>
        <w:rPr>
          <w:rFonts w:hint="default" w:ascii="仿宋_GB2312" w:eastAsia="仿宋_GB2312" w:cs="仿宋_GB2312"/>
          <w:color w:val="auto"/>
          <w:sz w:val="32"/>
          <w:szCs w:val="32"/>
          <w:shd w:val="clear" w:color="auto" w:fill="FFFFFF"/>
        </w:rPr>
      </w:pPr>
      <w:r>
        <w:rPr>
          <w:rFonts w:hint="default" w:ascii="仿宋_GB2312" w:hAnsi="ˎ̥" w:eastAsia="仿宋_GB2312" w:cs="仿宋_GB2312"/>
          <w:color w:val="auto"/>
          <w:sz w:val="32"/>
          <w:szCs w:val="32"/>
        </w:rPr>
        <w:t>年初预算为</w:t>
      </w:r>
      <w:r>
        <w:rPr>
          <w:rFonts w:hint="eastAsia" w:ascii="仿宋_GB2312" w:hAnsi="ˎ̥" w:eastAsia="仿宋_GB2312" w:cs="仿宋_GB2312"/>
          <w:color w:val="auto"/>
          <w:sz w:val="32"/>
          <w:szCs w:val="32"/>
          <w:lang w:val="en-US" w:eastAsia="zh-CN"/>
        </w:rPr>
        <w:t>9.57</w:t>
      </w:r>
      <w:r>
        <w:rPr>
          <w:rFonts w:hint="default" w:ascii="仿宋_GB2312" w:hAnsi="ˎ̥" w:eastAsia="仿宋_GB2312" w:cs="仿宋_GB2312"/>
          <w:color w:val="auto"/>
          <w:sz w:val="32"/>
          <w:szCs w:val="32"/>
        </w:rPr>
        <w:t>万元，支出决算为</w:t>
      </w:r>
      <w:r>
        <w:rPr>
          <w:rFonts w:hint="eastAsia" w:ascii="仿宋_GB2312" w:hAnsi="ˎ̥" w:eastAsia="仿宋_GB2312" w:cs="仿宋_GB2312"/>
          <w:color w:val="auto"/>
          <w:sz w:val="32"/>
          <w:szCs w:val="32"/>
          <w:lang w:val="en-US" w:eastAsia="zh-CN"/>
        </w:rPr>
        <w:t>6.14</w:t>
      </w:r>
      <w:r>
        <w:rPr>
          <w:rFonts w:hint="default" w:ascii="仿宋_GB2312" w:hAnsi="ˎ̥" w:eastAsia="仿宋_GB2312" w:cs="仿宋_GB2312"/>
          <w:color w:val="auto"/>
          <w:sz w:val="32"/>
          <w:szCs w:val="32"/>
        </w:rPr>
        <w:t>万元，完成年初预算的</w:t>
      </w:r>
      <w:r>
        <w:rPr>
          <w:rFonts w:hint="eastAsia" w:ascii="仿宋_GB2312" w:hAnsi="ˎ̥" w:eastAsia="仿宋_GB2312" w:cs="仿宋_GB2312"/>
          <w:color w:val="auto"/>
          <w:sz w:val="32"/>
          <w:szCs w:val="32"/>
          <w:lang w:val="en-US" w:eastAsia="zh-CN"/>
        </w:rPr>
        <w:t>64.16</w:t>
      </w:r>
      <w:r>
        <w:rPr>
          <w:rFonts w:hint="default" w:ascii="仿宋_GB2312" w:hAnsi="ˎ̥" w:eastAsia="仿宋_GB2312" w:cs="仿宋_GB2312"/>
          <w:color w:val="auto"/>
          <w:sz w:val="32"/>
          <w:szCs w:val="32"/>
        </w:rPr>
        <w:t>%</w:t>
      </w:r>
      <w:r>
        <w:rPr>
          <w:rFonts w:ascii="仿宋_GB2312" w:hAnsi="ˎ̥" w:eastAsia="仿宋_GB2312" w:cs="仿宋_GB2312"/>
          <w:color w:val="auto"/>
          <w:sz w:val="32"/>
          <w:szCs w:val="32"/>
        </w:rPr>
        <w:t>，决算数小于预算数的主要原因：个别人员未参加年度体检</w:t>
      </w:r>
      <w:r>
        <w:rPr>
          <w:rFonts w:hint="default" w:ascii="仿宋_GB2312" w:eastAsia="仿宋_GB2312" w:cs="仿宋_GB2312"/>
          <w:color w:val="auto"/>
          <w:sz w:val="32"/>
          <w:szCs w:val="32"/>
          <w:shd w:val="clear" w:color="auto" w:fill="FFFFFF"/>
        </w:rPr>
        <w:t>。</w:t>
      </w:r>
    </w:p>
    <w:p>
      <w:pPr>
        <w:widowControl/>
        <w:spacing w:before="100" w:beforeAutospacing="1" w:after="100" w:afterAutospacing="1"/>
        <w:ind w:firstLine="643" w:firstLineChars="200"/>
        <w:rPr>
          <w:rFonts w:ascii="仿宋_GB2312" w:hAnsi="ˎ̥" w:eastAsia="仿宋_GB2312" w:cs="仿宋_GB2312"/>
          <w:b/>
          <w:color w:val="auto"/>
          <w:kern w:val="0"/>
          <w:sz w:val="32"/>
          <w:szCs w:val="32"/>
        </w:rPr>
      </w:pPr>
      <w:r>
        <w:rPr>
          <w:rFonts w:hint="eastAsia" w:ascii="仿宋_GB2312" w:hAnsi="ˎ̥" w:eastAsia="仿宋_GB2312" w:cs="仿宋_GB2312"/>
          <w:b/>
          <w:color w:val="auto"/>
          <w:kern w:val="0"/>
          <w:sz w:val="32"/>
          <w:szCs w:val="32"/>
        </w:rPr>
        <w:t>10.</w:t>
      </w:r>
      <w:r>
        <w:rPr>
          <w:rFonts w:ascii="仿宋_GB2312" w:hAnsi="ˎ̥" w:eastAsia="仿宋_GB2312" w:cs="仿宋_GB2312"/>
          <w:b/>
          <w:color w:val="auto"/>
          <w:kern w:val="0"/>
          <w:sz w:val="32"/>
          <w:szCs w:val="32"/>
        </w:rPr>
        <w:t>住房保障支出（类）住房改革支出（款）住房公积金（项）。</w:t>
      </w:r>
    </w:p>
    <w:p>
      <w:pPr>
        <w:widowControl/>
        <w:spacing w:before="100" w:beforeAutospacing="1" w:after="100" w:afterAutospacing="1"/>
        <w:ind w:firstLine="640" w:firstLineChars="200"/>
        <w:rPr>
          <w:rFonts w:ascii="仿宋_GB2312" w:hAnsi="ˎ̥" w:eastAsia="仿宋_GB2312" w:cs="仿宋_GB2312"/>
          <w:b/>
          <w:color w:val="auto"/>
          <w:kern w:val="0"/>
          <w:sz w:val="32"/>
          <w:szCs w:val="32"/>
        </w:rPr>
      </w:pPr>
      <w:r>
        <w:rPr>
          <w:rFonts w:ascii="仿宋_GB2312" w:hAnsi="ˎ̥" w:eastAsia="仿宋_GB2312" w:cs="仿宋_GB2312"/>
          <w:color w:val="auto"/>
          <w:kern w:val="0"/>
          <w:sz w:val="32"/>
          <w:szCs w:val="32"/>
        </w:rPr>
        <w:t>年初预算为</w:t>
      </w:r>
      <w:r>
        <w:rPr>
          <w:rFonts w:hint="eastAsia" w:ascii="仿宋_GB2312" w:hAnsi="ˎ̥" w:eastAsia="仿宋_GB2312" w:cs="仿宋_GB2312"/>
          <w:color w:val="auto"/>
          <w:kern w:val="0"/>
          <w:sz w:val="32"/>
          <w:szCs w:val="32"/>
          <w:lang w:val="en-US" w:eastAsia="zh-CN"/>
        </w:rPr>
        <w:t>145.14</w:t>
      </w:r>
      <w:r>
        <w:rPr>
          <w:rFonts w:ascii="仿宋_GB2312" w:hAnsi="ˎ̥" w:eastAsia="仿宋_GB2312" w:cs="仿宋_GB2312"/>
          <w:color w:val="auto"/>
          <w:kern w:val="0"/>
          <w:sz w:val="32"/>
          <w:szCs w:val="32"/>
        </w:rPr>
        <w:t>万元，支出决算为</w:t>
      </w:r>
      <w:r>
        <w:rPr>
          <w:rFonts w:hint="eastAsia" w:ascii="仿宋_GB2312" w:hAnsi="ˎ̥" w:eastAsia="仿宋_GB2312" w:cs="仿宋_GB2312"/>
          <w:color w:val="auto"/>
          <w:kern w:val="0"/>
          <w:sz w:val="32"/>
          <w:szCs w:val="32"/>
          <w:lang w:val="en-US" w:eastAsia="zh-CN"/>
        </w:rPr>
        <w:t>114.57</w:t>
      </w:r>
      <w:r>
        <w:rPr>
          <w:rFonts w:ascii="仿宋_GB2312" w:hAnsi="ˎ̥" w:eastAsia="仿宋_GB2312" w:cs="仿宋_GB2312"/>
          <w:color w:val="auto"/>
          <w:kern w:val="0"/>
          <w:sz w:val="32"/>
          <w:szCs w:val="32"/>
        </w:rPr>
        <w:t>万元，完成年初预算的</w:t>
      </w:r>
      <w:r>
        <w:rPr>
          <w:rFonts w:hint="eastAsia" w:ascii="仿宋_GB2312" w:hAnsi="ˎ̥" w:eastAsia="仿宋_GB2312" w:cs="仿宋_GB2312"/>
          <w:color w:val="auto"/>
          <w:kern w:val="0"/>
          <w:sz w:val="32"/>
          <w:szCs w:val="32"/>
          <w:lang w:val="en-US" w:eastAsia="zh-CN"/>
        </w:rPr>
        <w:t>78.94</w:t>
      </w:r>
      <w:r>
        <w:rPr>
          <w:rFonts w:ascii="仿宋_GB2312" w:hAnsi="ˎ̥" w:eastAsia="仿宋_GB2312" w:cs="仿宋_GB2312"/>
          <w:color w:val="auto"/>
          <w:kern w:val="0"/>
          <w:sz w:val="32"/>
          <w:szCs w:val="32"/>
        </w:rPr>
        <w:t>%。决算数小于预算数的主要原因：</w:t>
      </w:r>
      <w:r>
        <w:rPr>
          <w:rFonts w:ascii="仿宋_GB2312" w:hAnsi="宋体" w:eastAsia="仿宋_GB2312" w:cs="仿宋_GB2312"/>
          <w:color w:val="auto"/>
          <w:kern w:val="0"/>
          <w:sz w:val="32"/>
          <w:szCs w:val="32"/>
          <w:shd w:val="clear" w:color="auto" w:fill="FFFFFF"/>
        </w:rPr>
        <w:t>退休人员增加，人员经费减少所致。</w:t>
      </w:r>
      <w:r>
        <w:rPr>
          <w:rFonts w:ascii="仿宋_GB2312" w:hAnsi="ˎ̥" w:eastAsia="仿宋_GB2312" w:cs="仿宋_GB2312"/>
          <w:b/>
          <w:color w:val="auto"/>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0.00</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1,723.74</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23.58</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w:t>
      </w:r>
      <w:r>
        <w:rPr>
          <w:rFonts w:hint="eastAsia" w:ascii="仿宋_GB2312" w:hAnsi="ˎ̥" w:eastAsia="仿宋_GB2312"/>
          <w:color w:val="auto"/>
          <w:sz w:val="32"/>
          <w:szCs w:val="32"/>
          <w:lang w:val="en-US" w:eastAsia="zh-CN"/>
        </w:rPr>
        <w:t>持平</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1.</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w:t>
      </w:r>
      <w:r>
        <w:rPr>
          <w:rFonts w:hint="eastAsia" w:ascii="仿宋_GB2312" w:hAnsi="ˎ̥" w:eastAsia="仿宋_GB2312"/>
          <w:color w:val="auto"/>
          <w:sz w:val="32"/>
          <w:szCs w:val="32"/>
          <w:lang w:val="en-US" w:eastAsia="zh-CN"/>
        </w:rPr>
        <w:t>持平</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default" w:ascii="仿宋_GB2312" w:hAnsi="ˎ̥" w:eastAsia="仿宋_GB2312"/>
          <w:color w:val="auto"/>
          <w:sz w:val="32"/>
          <w:szCs w:val="32"/>
          <w:lang w:val="en-US"/>
        </w:rPr>
        <w:t>XXXX</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lang w:val="en-US" w:eastAsia="zh-CN"/>
        </w:rPr>
        <w:t>持平。</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共涉及资金0万元，占一般公共预算项目支出总额的0%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个国有资本经营预算项目开展绩效自评，共涉及资金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w:t>
      </w:r>
      <w:r>
        <w:rPr>
          <w:rFonts w:hint="eastAsia" w:ascii="仿宋_GB2312" w:eastAsia="仿宋_GB2312"/>
          <w:color w:val="auto"/>
          <w:sz w:val="32"/>
          <w:szCs w:val="32"/>
          <w:lang w:val="en-US" w:eastAsia="zh-CN"/>
        </w:rPr>
        <w:t>主要是因为年初预算没有对项目进行绩效目标设定，所以没有进行预算绩效自评</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楷体"/>
          <w:color w:val="auto"/>
          <w:sz w:val="32"/>
          <w:szCs w:val="32"/>
          <w:lang w:val="en-US" w:eastAsia="zh-CN"/>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w:t>
      </w: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w:t>
      </w: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楷体" w:hAnsi="楷体" w:eastAsia="楷体" w:cs="楷体"/>
          <w:bCs/>
          <w:color w:val="auto"/>
          <w:sz w:val="32"/>
          <w:szCs w:val="32"/>
        </w:rPr>
        <w:t>（四）财政评价结果</w:t>
      </w: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0" w:name="_Toc15262_WPSOffice_Level2"/>
      <w:bookmarkStart w:id="101" w:name="_Toc5978_WPSOffice_Level2"/>
      <w:bookmarkStart w:id="102" w:name="_Toc18325_WPSOffice_Level2"/>
      <w:bookmarkStart w:id="103" w:name="_Toc23598_WPSOffice_Level2"/>
      <w:bookmarkStart w:id="104" w:name="_Toc15565_WPSOffice_Level2"/>
      <w:bookmarkStart w:id="105" w:name="_Toc32639_WPSOffice_Level2"/>
      <w:r>
        <w:rPr>
          <w:rFonts w:hint="eastAsia" w:ascii="楷体" w:hAnsi="楷体" w:eastAsia="楷体" w:cs="楷体"/>
          <w:bCs/>
          <w:color w:val="auto"/>
          <w:sz w:val="32"/>
          <w:szCs w:val="32"/>
        </w:rPr>
        <w:t>（一）机关运行经费支出情况</w:t>
      </w:r>
      <w:bookmarkEnd w:id="100"/>
      <w:bookmarkEnd w:id="101"/>
      <w:bookmarkEnd w:id="102"/>
      <w:bookmarkEnd w:id="103"/>
      <w:bookmarkEnd w:id="104"/>
      <w:bookmarkEnd w:id="105"/>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屯昌县南坤镇南坤中心小学无机关运行经费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6" w:name="_Toc23966_WPSOffice_Level2"/>
      <w:bookmarkStart w:id="107" w:name="_Toc3131_WPSOffice_Level2"/>
      <w:bookmarkStart w:id="108" w:name="_Toc25333_WPSOffice_Level2"/>
      <w:bookmarkStart w:id="109" w:name="_Toc30383_WPSOffice_Level2"/>
      <w:bookmarkStart w:id="110" w:name="_Toc13084_WPSOffice_Level2"/>
      <w:bookmarkStart w:id="111" w:name="_Toc32689_WPSOffice_Level2"/>
      <w:r>
        <w:rPr>
          <w:rFonts w:hint="eastAsia" w:ascii="楷体" w:hAnsi="楷体" w:eastAsia="楷体" w:cs="楷体"/>
          <w:bCs/>
          <w:color w:val="auto"/>
          <w:sz w:val="32"/>
          <w:szCs w:val="32"/>
        </w:rPr>
        <w:t>（二）政府采购支出情况</w:t>
      </w:r>
      <w:bookmarkEnd w:id="106"/>
      <w:bookmarkEnd w:id="107"/>
      <w:bookmarkEnd w:id="108"/>
      <w:bookmarkEnd w:id="109"/>
      <w:bookmarkEnd w:id="110"/>
      <w:bookmarkEnd w:id="11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屯昌县南坤镇南坤中心小学</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12" w:name="_Toc19989_WPSOffice_Level2"/>
      <w:bookmarkStart w:id="113" w:name="_Toc6016_WPSOffice_Level2"/>
      <w:bookmarkStart w:id="114" w:name="_Toc29584_WPSOffice_Level2"/>
      <w:bookmarkStart w:id="115" w:name="_Toc527_WPSOffice_Level2"/>
      <w:bookmarkStart w:id="116" w:name="_Toc15129_WPSOffice_Level2"/>
      <w:bookmarkStart w:id="117" w:name="_Toc10902_WPSOffice_Level2"/>
      <w:r>
        <w:rPr>
          <w:rFonts w:hint="eastAsia" w:ascii="楷体" w:hAnsi="楷体" w:eastAsia="楷体" w:cs="楷体"/>
          <w:bCs/>
          <w:color w:val="auto"/>
          <w:sz w:val="32"/>
          <w:szCs w:val="32"/>
        </w:rPr>
        <w:t>（三）国有资产占用情况</w:t>
      </w:r>
      <w:bookmarkEnd w:id="112"/>
      <w:bookmarkEnd w:id="113"/>
      <w:bookmarkEnd w:id="114"/>
      <w:bookmarkEnd w:id="115"/>
      <w:bookmarkEnd w:id="116"/>
      <w:bookmarkEnd w:id="11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7033.17</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8" w:name="_Toc15425_WPSOffice_Level1"/>
      <w:bookmarkStart w:id="119" w:name="_Toc17580_WPSOffice_Level1"/>
      <w:bookmarkStart w:id="120" w:name="_Toc4398_WPSOffice_Level1"/>
      <w:bookmarkStart w:id="121" w:name="_Toc8874_WPSOffice_Level1"/>
      <w:bookmarkStart w:id="122" w:name="_Toc11039_WPSOffice_Level1"/>
      <w:bookmarkStart w:id="123"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8"/>
      <w:bookmarkEnd w:id="119"/>
      <w:bookmarkEnd w:id="120"/>
      <w:bookmarkEnd w:id="121"/>
      <w:bookmarkEnd w:id="122"/>
      <w:bookmarkEnd w:id="123"/>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spacing w:line="578" w:lineRule="exact"/>
        <w:ind w:firstLine="645"/>
        <w:rPr>
          <w:rFonts w:ascii="仿宋_GB2312" w:hAnsi="ˎ̥" w:eastAsia="仿宋_GB2312"/>
          <w:color w:val="auto"/>
          <w:sz w:val="32"/>
          <w:szCs w:val="32"/>
        </w:rPr>
      </w:pPr>
      <w:r>
        <w:rPr>
          <w:rFonts w:hint="eastAsia" w:ascii="仿宋_GB2312" w:hAnsi="ˎ̥" w:eastAsia="仿宋_GB2312"/>
          <w:color w:val="auto"/>
          <w:sz w:val="32"/>
          <w:szCs w:val="32"/>
        </w:rPr>
        <w:t>一般公共服务支出（类）纪检监察事务（款）一般行政管理事务（项）；</w:t>
      </w:r>
    </w:p>
    <w:p>
      <w:pPr>
        <w:spacing w:line="578" w:lineRule="exact"/>
        <w:ind w:firstLine="645"/>
        <w:rPr>
          <w:rFonts w:ascii="仿宋_GB2312" w:hAnsi="ˎ̥" w:eastAsia="仿宋_GB2312"/>
          <w:color w:val="auto"/>
          <w:sz w:val="32"/>
          <w:szCs w:val="32"/>
        </w:rPr>
      </w:pPr>
      <w:r>
        <w:rPr>
          <w:rFonts w:hint="eastAsia" w:ascii="仿宋_GB2312" w:hAnsi="ˎ̥" w:eastAsia="仿宋_GB2312"/>
          <w:color w:val="auto"/>
          <w:sz w:val="32"/>
          <w:szCs w:val="32"/>
        </w:rPr>
        <w:t>一般公共服务支出（类）民族事务（款）其他民族事务支出（项）；</w:t>
      </w:r>
    </w:p>
    <w:p>
      <w:pPr>
        <w:spacing w:line="578" w:lineRule="exact"/>
        <w:ind w:firstLine="645"/>
        <w:rPr>
          <w:rFonts w:ascii="仿宋_GB2312" w:hAnsi="ˎ̥" w:eastAsia="仿宋_GB2312"/>
          <w:color w:val="auto"/>
          <w:sz w:val="32"/>
          <w:szCs w:val="32"/>
        </w:rPr>
      </w:pPr>
      <w:r>
        <w:rPr>
          <w:rFonts w:hint="eastAsia" w:ascii="仿宋_GB2312" w:hAnsi="ˎ̥" w:eastAsia="仿宋_GB2312"/>
          <w:color w:val="auto"/>
          <w:sz w:val="32"/>
          <w:szCs w:val="32"/>
        </w:rPr>
        <w:t>一般公共服务支出（类）其他共产党事务支出（款）其他共产党事务支出（项）；</w:t>
      </w:r>
    </w:p>
    <w:p>
      <w:pPr>
        <w:spacing w:line="578" w:lineRule="exact"/>
        <w:ind w:firstLine="645"/>
        <w:rPr>
          <w:rFonts w:ascii="仿宋_GB2312" w:hAnsi="ˎ̥" w:eastAsia="仿宋_GB2312"/>
          <w:color w:val="auto"/>
          <w:sz w:val="32"/>
          <w:szCs w:val="32"/>
        </w:rPr>
      </w:pPr>
      <w:r>
        <w:rPr>
          <w:rFonts w:hint="eastAsia" w:ascii="仿宋_GB2312" w:hAnsi="ˎ̥" w:eastAsia="仿宋_GB2312"/>
          <w:color w:val="auto"/>
          <w:sz w:val="32"/>
          <w:szCs w:val="32"/>
        </w:rPr>
        <w:t>教育支出（类）教育管理事务（款）其他教育管理事务支出（项）；</w:t>
      </w:r>
    </w:p>
    <w:p>
      <w:pPr>
        <w:spacing w:line="578" w:lineRule="exact"/>
        <w:ind w:firstLine="645"/>
        <w:rPr>
          <w:rFonts w:hint="eastAsia" w:ascii="仿宋_GB2312" w:hAnsi="ˎ̥" w:eastAsia="仿宋_GB2312"/>
          <w:color w:val="auto"/>
          <w:sz w:val="32"/>
          <w:szCs w:val="32"/>
        </w:rPr>
      </w:pPr>
      <w:r>
        <w:rPr>
          <w:rFonts w:hint="eastAsia" w:ascii="仿宋_GB2312" w:hAnsi="ˎ̥" w:eastAsia="仿宋_GB2312"/>
          <w:color w:val="auto"/>
          <w:sz w:val="32"/>
          <w:szCs w:val="32"/>
        </w:rPr>
        <w:t>教育支出（类）普通教育（款）初中教育（项）；</w:t>
      </w:r>
    </w:p>
    <w:p>
      <w:pPr>
        <w:spacing w:line="578" w:lineRule="exact"/>
        <w:ind w:firstLine="645"/>
        <w:rPr>
          <w:rFonts w:hint="eastAsia" w:ascii="仿宋_GB2312" w:hAnsi="ˎ̥" w:eastAsia="仿宋_GB2312"/>
          <w:color w:val="auto"/>
          <w:sz w:val="32"/>
          <w:szCs w:val="32"/>
        </w:rPr>
      </w:pPr>
      <w:r>
        <w:rPr>
          <w:rFonts w:hint="eastAsia" w:ascii="仿宋_GB2312" w:hAnsi="ˎ̥" w:eastAsia="仿宋_GB2312"/>
          <w:color w:val="auto"/>
          <w:sz w:val="32"/>
          <w:szCs w:val="32"/>
        </w:rPr>
        <w:t>教育支出（类）其他教育支出（款）其他教育支出（项）</w:t>
      </w:r>
    </w:p>
    <w:p>
      <w:pPr>
        <w:spacing w:line="578" w:lineRule="exact"/>
        <w:ind w:firstLine="645"/>
        <w:rPr>
          <w:rFonts w:hint="eastAsia" w:ascii="仿宋_GB2312" w:hAnsi="ˎ̥" w:eastAsia="仿宋_GB2312"/>
          <w:color w:val="auto"/>
          <w:sz w:val="32"/>
          <w:szCs w:val="32"/>
        </w:rPr>
      </w:pPr>
      <w:r>
        <w:rPr>
          <w:rFonts w:hint="eastAsia" w:ascii="仿宋_GB2312" w:hAnsi="ˎ̥" w:eastAsia="仿宋_GB2312"/>
          <w:color w:val="auto"/>
          <w:sz w:val="32"/>
          <w:szCs w:val="32"/>
        </w:rPr>
        <w:t>社会保障和就业支出（类）行政事业单位养老支出（款）机关事业单位基本养老保险缴费支出（项）；</w:t>
      </w:r>
    </w:p>
    <w:p>
      <w:pPr>
        <w:spacing w:line="578" w:lineRule="exact"/>
        <w:ind w:firstLine="645"/>
        <w:rPr>
          <w:rFonts w:hint="eastAsia" w:ascii="仿宋_GB2312" w:hAnsi="ˎ̥" w:eastAsia="仿宋_GB2312"/>
          <w:color w:val="auto"/>
          <w:sz w:val="32"/>
          <w:szCs w:val="32"/>
        </w:rPr>
      </w:pPr>
      <w:r>
        <w:rPr>
          <w:rFonts w:hint="eastAsia" w:ascii="仿宋_GB2312" w:hAnsi="ˎ̥" w:eastAsia="仿宋_GB2312"/>
          <w:color w:val="auto"/>
          <w:sz w:val="32"/>
          <w:szCs w:val="32"/>
        </w:rPr>
        <w:t>社会保障和就业支出（类）行政事业单位养老支出（款）机关事业单位职业年金缴费支出（项）；</w:t>
      </w:r>
    </w:p>
    <w:p>
      <w:pPr>
        <w:spacing w:line="578" w:lineRule="exact"/>
        <w:ind w:left="638" w:leftChars="304"/>
        <w:rPr>
          <w:rFonts w:hint="eastAsia" w:ascii="仿宋_GB2312" w:hAnsi="ˎ̥" w:eastAsia="仿宋_GB2312"/>
          <w:color w:val="auto"/>
          <w:sz w:val="32"/>
          <w:szCs w:val="32"/>
        </w:rPr>
      </w:pPr>
      <w:r>
        <w:rPr>
          <w:rFonts w:hint="eastAsia" w:ascii="仿宋_GB2312" w:hAnsi="ˎ̥" w:eastAsia="仿宋_GB2312"/>
          <w:color w:val="auto"/>
          <w:sz w:val="32"/>
          <w:szCs w:val="32"/>
        </w:rPr>
        <w:t>社会保障和就业支出（类）抚恤（款）其他优抚支出（项）；卫生健康支出（类）行政事业单位医疗（款）事业单位医疗（项）；</w:t>
      </w:r>
    </w:p>
    <w:p>
      <w:pPr>
        <w:spacing w:line="578" w:lineRule="exact"/>
        <w:ind w:left="638" w:leftChars="304"/>
        <w:rPr>
          <w:rFonts w:hint="eastAsia" w:ascii="仿宋_GB2312" w:hAnsi="ˎ̥" w:eastAsia="仿宋_GB2312"/>
          <w:color w:val="auto"/>
          <w:sz w:val="32"/>
          <w:szCs w:val="32"/>
        </w:rPr>
      </w:pPr>
      <w:r>
        <w:rPr>
          <w:rFonts w:hint="eastAsia" w:ascii="仿宋_GB2312" w:hAnsi="ˎ̥" w:eastAsia="仿宋_GB2312"/>
          <w:color w:val="auto"/>
          <w:sz w:val="32"/>
          <w:szCs w:val="32"/>
        </w:rPr>
        <w:t>卫生健康支出（类）行政事业单位医疗（款）公务员医疗补助（项）；</w:t>
      </w:r>
    </w:p>
    <w:p>
      <w:pPr>
        <w:spacing w:line="578" w:lineRule="exact"/>
        <w:ind w:left="638" w:leftChars="304"/>
        <w:rPr>
          <w:rFonts w:hint="eastAsia" w:ascii="仿宋_GB2312" w:hAnsi="ˎ̥" w:eastAsia="仿宋_GB2312"/>
          <w:color w:val="auto"/>
          <w:sz w:val="32"/>
          <w:szCs w:val="32"/>
        </w:rPr>
      </w:pPr>
      <w:r>
        <w:rPr>
          <w:rFonts w:hint="eastAsia" w:ascii="仿宋_GB2312" w:hAnsi="ˎ̥" w:eastAsia="仿宋_GB2312"/>
          <w:color w:val="auto"/>
          <w:sz w:val="32"/>
          <w:szCs w:val="32"/>
        </w:rPr>
        <w:t>卫生健康支出（类）行政事业单位医疗（款）其他行政事业单位医疗支出（项）；</w:t>
      </w:r>
    </w:p>
    <w:p>
      <w:pPr>
        <w:spacing w:line="578" w:lineRule="exact"/>
        <w:ind w:left="638" w:leftChars="304"/>
        <w:rPr>
          <w:rFonts w:hint="eastAsia" w:ascii="仿宋_GB2312" w:hAnsi="ˎ̥" w:eastAsia="仿宋_GB2312"/>
          <w:color w:val="auto"/>
          <w:sz w:val="32"/>
          <w:szCs w:val="32"/>
        </w:rPr>
      </w:pPr>
      <w:r>
        <w:rPr>
          <w:rFonts w:hint="eastAsia" w:ascii="仿宋_GB2312" w:hAnsi="ˎ̥" w:eastAsia="仿宋_GB2312"/>
          <w:color w:val="auto"/>
          <w:sz w:val="32"/>
          <w:szCs w:val="32"/>
        </w:rPr>
        <w:t>住房保障支出（类）住房改革支出（款）住房公积金（项）。</w:t>
      </w:r>
    </w:p>
    <w:p>
      <w:pPr>
        <w:spacing w:line="578" w:lineRule="exact"/>
        <w:ind w:left="638" w:leftChars="304"/>
        <w:rPr>
          <w:rFonts w:hint="default" w:ascii="仿宋_GB2312" w:hAnsi="ˎ̥"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764428B"/>
    <w:multiLevelType w:val="singleLevel"/>
    <w:tmpl w:val="6764428B"/>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863ED"/>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816376"/>
    <w:rsid w:val="48E70666"/>
    <w:rsid w:val="4C6877E5"/>
    <w:rsid w:val="4D6A468D"/>
    <w:rsid w:val="4EA86137"/>
    <w:rsid w:val="56CA7FD0"/>
    <w:rsid w:val="57FA38D1"/>
    <w:rsid w:val="586128B5"/>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customStyle="1" w:styleId="18">
    <w:name w:val="p0"/>
    <w:basedOn w:val="1"/>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6510</Words>
  <Characters>7123</Characters>
  <Lines>67</Lines>
  <Paragraphs>18</Paragraphs>
  <TotalTime>1</TotalTime>
  <ScaleCrop>false</ScaleCrop>
  <LinksUpToDate>false</LinksUpToDate>
  <CharactersWithSpaces>7220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2025-10-28T06:58:40Z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eyJoZGlkIjoiNjExOGUzODBhZmRiZDBkNmQxOTA1YTBlZTI0ZDcwYTIiLCJ1c2VySWQiOiIzNjY4NjI0MDgifQ==</vt:lpwstr>
  </property>
</Properties>
</file>