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屯昌县乌坡镇乌坡学校2024年度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ˎ̥" w:eastAsia="黑体"/>
          <w:b/>
          <w:sz w:val="32"/>
          <w:szCs w:val="32"/>
        </w:rPr>
      </w:pPr>
      <w:bookmarkStart w:id="119" w:name="_GoBack"/>
      <w:bookmarkEnd w:id="119"/>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049_WPSOffice_Level1"/>
      <w:bookmarkStart w:id="3" w:name="_Toc1704_WPSOffice_Level1"/>
      <w:bookmarkStart w:id="4" w:name="_Toc32433_WPSOffice_Level1"/>
      <w:bookmarkStart w:id="5" w:name="_Toc10720_WPSOffice_Level1"/>
      <w:bookmarkStart w:id="6" w:name="_Toc22941_WPSOffice_Level1"/>
      <w:bookmarkStart w:id="7" w:name="_Toc23465_WPSOffice_Level1"/>
      <w:bookmarkStart w:id="8" w:name="_Toc14159_WPSOffice_Level2"/>
      <w:bookmarkStart w:id="9" w:name="_Toc26580_WPSOffice_Level2"/>
      <w:bookmarkStart w:id="10" w:name="_Toc32622_WPSOffice_Level2"/>
      <w:bookmarkStart w:id="11" w:name="_Toc20274_WPSOffice_Level2"/>
      <w:bookmarkStart w:id="12" w:name="_Toc24238_WPSOffice_Level2"/>
      <w:bookmarkStart w:id="13" w:name="_Toc20205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bookmarkEnd w:id="8"/>
    <w:bookmarkEnd w:id="9"/>
    <w:bookmarkEnd w:id="10"/>
    <w:bookmarkEnd w:id="11"/>
    <w:bookmarkEnd w:id="12"/>
    <w:bookmarkEnd w:id="13"/>
    <w:p>
      <w:pPr>
        <w:keepNext w:val="0"/>
        <w:keepLines w:val="0"/>
        <w:widowControl/>
        <w:numPr>
          <w:ilvl w:val="0"/>
          <w:numId w:val="2"/>
        </w:numPr>
        <w:suppressLineNumbers w:val="0"/>
        <w:spacing w:before="100" w:beforeAutospacing="1" w:after="100" w:afterAutospacing="1"/>
        <w:ind w:left="0" w:right="0" w:firstLine="640" w:firstLineChars="200"/>
        <w:rPr>
          <w:rFonts w:hint="eastAsia" w:ascii="黑体" w:hAnsi="宋体" w:eastAsia="黑体" w:cs="黑体"/>
          <w:sz w:val="32"/>
          <w:szCs w:val="32"/>
        </w:rPr>
      </w:pPr>
      <w:r>
        <w:rPr>
          <w:rFonts w:hint="eastAsia" w:ascii="黑体" w:hAnsi="宋体" w:eastAsia="黑体" w:cs="黑体"/>
          <w:sz w:val="32"/>
          <w:szCs w:val="32"/>
          <w:lang w:eastAsia="zh-CN"/>
        </w:rPr>
        <w:t>单位</w:t>
      </w:r>
      <w:r>
        <w:rPr>
          <w:rFonts w:hint="eastAsia" w:ascii="黑体" w:hAnsi="宋体" w:eastAsia="黑体" w:cs="黑体"/>
          <w:sz w:val="32"/>
          <w:szCs w:val="32"/>
        </w:rPr>
        <w:t>职责</w:t>
      </w:r>
    </w:p>
    <w:p>
      <w:pPr>
        <w:keepNext w:val="0"/>
        <w:keepLines w:val="0"/>
        <w:widowControl/>
        <w:numPr>
          <w:ilvl w:val="0"/>
          <w:numId w:val="0"/>
        </w:numPr>
        <w:suppressLineNumbers w:val="0"/>
        <w:spacing w:before="100" w:beforeAutospacing="1" w:after="100" w:afterAutospacing="1"/>
        <w:ind w:leftChars="200" w:right="0" w:rightChars="0" w:firstLine="640" w:firstLineChars="200"/>
        <w:rPr>
          <w:rFonts w:hint="eastAsia" w:ascii="黑体" w:hAnsi="宋体" w:eastAsia="黑体" w:cs="黑体"/>
          <w:sz w:val="32"/>
          <w:szCs w:val="32"/>
          <w:lang w:val="en-US"/>
        </w:rPr>
      </w:pPr>
      <w:r>
        <w:rPr>
          <w:rFonts w:hint="eastAsia" w:ascii="FangSong_GB2312" w:hAnsi="FangSong_GB2312"/>
          <w:sz w:val="32"/>
          <w:szCs w:val="32"/>
        </w:rPr>
        <w:t>实施初中义务教育，促进基础教育发展。初中学历教育、相关社会服务。</w:t>
      </w:r>
    </w:p>
    <w:p>
      <w:pPr>
        <w:keepNext w:val="0"/>
        <w:keepLines w:val="0"/>
        <w:widowControl/>
        <w:suppressLineNumbers w:val="0"/>
        <w:spacing w:before="100" w:beforeAutospacing="1" w:after="100" w:afterAutospacing="1"/>
        <w:ind w:left="0" w:right="0" w:firstLine="640" w:firstLineChars="200"/>
        <w:rPr>
          <w:rFonts w:hint="eastAsia" w:ascii="黑体" w:hAnsi="宋体" w:eastAsia="黑体" w:cs="黑体"/>
          <w:sz w:val="32"/>
          <w:szCs w:val="32"/>
          <w:lang w:val="en-US"/>
        </w:rPr>
      </w:pPr>
      <w:bookmarkStart w:id="14" w:name="_Toc24474_WPSOffice_Level2"/>
      <w:bookmarkStart w:id="15" w:name="_Toc6572_WPSOffice_Level2"/>
      <w:bookmarkStart w:id="16" w:name="_Toc24059_WPSOffice_Level2"/>
      <w:bookmarkStart w:id="17" w:name="_Toc4833_WPSOffice_Level2"/>
      <w:bookmarkStart w:id="18" w:name="_Toc17796_WPSOffice_Level2"/>
      <w:r>
        <w:rPr>
          <w:rFonts w:hint="eastAsia" w:ascii="黑体" w:hAnsi="宋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r>
        <w:rPr>
          <w:rFonts w:hint="eastAsia" w:ascii="FangSong_GB2312" w:hAnsi="FangSong_GB2312"/>
          <w:sz w:val="32"/>
          <w:szCs w:val="32"/>
          <w:shd w:val="clear" w:color="auto" w:fill="FFFFFF"/>
        </w:rPr>
        <w:t>纳入屯昌县乌坡镇乌坡学校</w:t>
      </w:r>
      <w:r>
        <w:rPr>
          <w:rFonts w:hint="eastAsia" w:ascii="FangSong_GB2312" w:hAnsi="FangSong_GB2312"/>
          <w:sz w:val="32"/>
          <w:szCs w:val="32"/>
          <w:shd w:val="clear" w:color="auto" w:fill="FFFFFF"/>
          <w:lang w:eastAsia="zh-CN"/>
        </w:rPr>
        <w:t>单位</w:t>
      </w:r>
      <w:r>
        <w:rPr>
          <w:rFonts w:ascii="Times New Roman" w:hAnsi="ˎ̥" w:cs="Times New Roman"/>
          <w:sz w:val="32"/>
          <w:szCs w:val="32"/>
          <w:shd w:val="clear" w:color="auto" w:fill="FFFFFF"/>
        </w:rPr>
        <w:t>202</w:t>
      </w:r>
      <w:r>
        <w:rPr>
          <w:rFonts w:hint="eastAsia" w:ascii="Times New Roman" w:hAnsi="ˎ̥" w:cs="Times New Roman"/>
          <w:sz w:val="32"/>
          <w:szCs w:val="32"/>
          <w:shd w:val="clear" w:color="auto" w:fill="FFFFFF"/>
          <w:lang w:val="en-US" w:eastAsia="zh-CN"/>
        </w:rPr>
        <w:t>3</w:t>
      </w:r>
      <w:r>
        <w:rPr>
          <w:rFonts w:hint="eastAsia" w:ascii="FangSong_GB2312" w:hAnsi="FangSong_GB2312"/>
          <w:sz w:val="32"/>
          <w:szCs w:val="32"/>
          <w:shd w:val="clear" w:color="auto" w:fill="FFFFFF"/>
        </w:rPr>
        <w:t>年度</w:t>
      </w:r>
      <w:r>
        <w:rPr>
          <w:rFonts w:hint="eastAsia" w:ascii="FangSong_GB2312" w:hAnsi="FangSong_GB2312"/>
          <w:sz w:val="32"/>
          <w:szCs w:val="32"/>
          <w:shd w:val="clear" w:color="auto" w:fill="FFFFFF"/>
          <w:lang w:eastAsia="zh-CN"/>
        </w:rPr>
        <w:t>单位</w:t>
      </w:r>
      <w:r>
        <w:rPr>
          <w:rFonts w:hint="eastAsia" w:ascii="FangSong_GB2312" w:hAnsi="FangSong_GB2312"/>
          <w:sz w:val="32"/>
          <w:szCs w:val="32"/>
          <w:shd w:val="clear" w:color="auto" w:fill="FFFFFF"/>
        </w:rPr>
        <w:t>决算编制范围的二级预算单位。</w:t>
      </w:r>
    </w:p>
    <w:p>
      <w:pPr>
        <w:spacing w:line="578" w:lineRule="exact"/>
        <w:jc w:val="center"/>
        <w:rPr>
          <w:rFonts w:hint="eastAsia" w:ascii="黑体" w:hAnsi="ˎ̥" w:eastAsia="黑体"/>
          <w:sz w:val="32"/>
          <w:szCs w:val="32"/>
        </w:rPr>
      </w:pPr>
      <w:bookmarkStart w:id="19" w:name="_Toc8164_WPSOffice_Level1"/>
      <w:bookmarkStart w:id="20" w:name="_Toc28253_WPSOffice_Level1"/>
      <w:bookmarkStart w:id="21" w:name="_Toc15521_WPSOffice_Level1"/>
      <w:bookmarkStart w:id="22" w:name="_Toc30451_WPSOffice_Level1"/>
      <w:bookmarkStart w:id="23" w:name="_Toc30690_WPSOffice_Level1"/>
      <w:bookmarkStart w:id="24" w:name="_Toc6234_WPSOffice_Level1"/>
      <w:bookmarkStart w:id="25" w:name="_Toc8867_WPSOffice_Level2"/>
      <w:bookmarkStart w:id="26" w:name="_Toc4029_WPSOffice_Level2"/>
      <w:bookmarkStart w:id="27" w:name="_Toc6211_WPSOffice_Level2"/>
      <w:bookmarkStart w:id="28" w:name="_Toc32695_WPSOffice_Level2"/>
      <w:bookmarkStart w:id="29" w:name="_Toc32472_WPSOffice_Level2"/>
      <w:bookmarkStart w:id="30" w:name="_Toc11518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25608_WPSOffice_Level2"/>
      <w:bookmarkStart w:id="32" w:name="_Toc14349_WPSOffice_Level2"/>
      <w:bookmarkStart w:id="33" w:name="_Toc23139_WPSOffice_Level2"/>
      <w:bookmarkStart w:id="34" w:name="_Toc28622_WPSOffice_Level2"/>
      <w:bookmarkStart w:id="35" w:name="_Toc26621_WPSOffice_Level2"/>
      <w:bookmarkStart w:id="36" w:name="_Toc30334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7858_WPSOffice_Level2"/>
      <w:bookmarkStart w:id="38" w:name="_Toc5489_WPSOffice_Level2"/>
      <w:bookmarkStart w:id="39" w:name="_Toc14658_WPSOffice_Level2"/>
      <w:bookmarkStart w:id="40" w:name="_Toc3262_WPSOffice_Level2"/>
      <w:bookmarkStart w:id="41" w:name="_Toc17626_WPSOffice_Level2"/>
      <w:bookmarkStart w:id="42" w:name="_Toc13854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13701_WPSOffice_Level2"/>
      <w:bookmarkStart w:id="44" w:name="_Toc23493_WPSOffice_Level2"/>
      <w:bookmarkStart w:id="45" w:name="_Toc7988_WPSOffice_Level2"/>
      <w:bookmarkStart w:id="46" w:name="_Toc23591_WPSOffice_Level2"/>
      <w:bookmarkStart w:id="47" w:name="_Toc21415_WPSOffice_Level2"/>
      <w:bookmarkStart w:id="48" w:name="_Toc4265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23829_WPSOffice_Level2"/>
      <w:bookmarkStart w:id="50" w:name="_Toc25166_WPSOffice_Level2"/>
      <w:bookmarkStart w:id="51" w:name="_Toc7879_WPSOffice_Level2"/>
      <w:bookmarkStart w:id="52" w:name="_Toc22783_WPSOffice_Level2"/>
      <w:bookmarkStart w:id="53" w:name="_Toc13516_WPSOffice_Level2"/>
      <w:bookmarkStart w:id="54" w:name="_Toc2158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25362_WPSOffice_Level2"/>
      <w:bookmarkStart w:id="56" w:name="_Toc17833_WPSOffice_Level2"/>
      <w:bookmarkStart w:id="57" w:name="_Toc17283_WPSOffice_Level2"/>
      <w:bookmarkStart w:id="58" w:name="_Toc8373_WPSOffice_Level2"/>
      <w:bookmarkStart w:id="59" w:name="_Toc2632_WPSOffice_Level2"/>
      <w:bookmarkStart w:id="60" w:name="_Toc534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1533_WPSOffice_Level2"/>
      <w:bookmarkStart w:id="62" w:name="_Toc6020_WPSOffice_Level2"/>
      <w:bookmarkStart w:id="63" w:name="_Toc13345_WPSOffice_Level2"/>
      <w:bookmarkStart w:id="64" w:name="_Toc11799_WPSOffice_Level2"/>
      <w:bookmarkStart w:id="65" w:name="_Toc21310_WPSOffice_Level2"/>
      <w:bookmarkStart w:id="66" w:name="_Toc5594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1820_WPSOffice_Level2"/>
      <w:bookmarkStart w:id="68" w:name="_Toc19961_WPSOffice_Level2"/>
      <w:bookmarkStart w:id="69" w:name="_Toc29886_WPSOffice_Level2"/>
      <w:bookmarkStart w:id="70" w:name="_Toc9377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1" w:name="_Toc31264_WPSOffice_Level1"/>
      <w:bookmarkStart w:id="72" w:name="_Toc28629_WPSOffice_Level1"/>
      <w:bookmarkStart w:id="73" w:name="_Toc16686_WPSOffice_Level1"/>
      <w:bookmarkStart w:id="74" w:name="_Toc29683_WPSOffice_Level1"/>
      <w:bookmarkStart w:id="75" w:name="_Toc27590_WPSOffice_Level1"/>
      <w:bookmarkStart w:id="76" w:name="_Toc4402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3,862.44</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3,862.44</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年度相比，收入、支出总计各减少</w:t>
      </w:r>
      <w:r>
        <w:rPr>
          <w:rFonts w:hint="eastAsia" w:ascii="仿宋_GB2312" w:hAnsi="ˎ̥" w:eastAsia="仿宋_GB2312"/>
          <w:color w:val="FF0000"/>
          <w:sz w:val="32"/>
          <w:szCs w:val="32"/>
          <w:lang w:val="en-US" w:eastAsia="zh-CN"/>
        </w:rPr>
        <w:t>520.85</w:t>
      </w:r>
      <w:r>
        <w:rPr>
          <w:rFonts w:hint="eastAsia" w:ascii="仿宋_GB2312" w:hAnsi="ˎ̥" w:eastAsia="仿宋_GB2312"/>
          <w:sz w:val="32"/>
          <w:szCs w:val="32"/>
        </w:rPr>
        <w:t>万元，下降</w:t>
      </w:r>
      <w:r>
        <w:rPr>
          <w:rFonts w:hint="eastAsia" w:ascii="仿宋_GB2312" w:hAnsi="ˎ̥" w:eastAsia="仿宋_GB2312"/>
          <w:sz w:val="32"/>
          <w:szCs w:val="32"/>
          <w:lang w:val="en-US" w:eastAsia="zh-CN"/>
        </w:rPr>
        <w:t>8.42</w:t>
      </w:r>
      <w:r>
        <w:rPr>
          <w:rFonts w:hint="eastAsia" w:ascii="仿宋_GB2312" w:hAnsi="ˎ̥" w:eastAsia="仿宋_GB2312"/>
          <w:sz w:val="32"/>
          <w:szCs w:val="32"/>
        </w:rPr>
        <w:t>%。主要原因：</w:t>
      </w:r>
      <w:r>
        <w:rPr>
          <w:rFonts w:hint="default" w:ascii="仿宋_GB2312" w:hAnsi="ˎ̥" w:eastAsia="仿宋_GB2312" w:cs="仿宋_GB2312"/>
          <w:sz w:val="32"/>
          <w:szCs w:val="32"/>
        </w:rPr>
        <w:t>一是</w:t>
      </w:r>
      <w:r>
        <w:rPr>
          <w:rFonts w:hint="eastAsia" w:ascii="仿宋_GB2312" w:hAnsi="ˎ̥" w:eastAsia="仿宋_GB2312" w:cs="仿宋_GB2312"/>
          <w:sz w:val="32"/>
          <w:szCs w:val="32"/>
          <w:lang w:val="en-US" w:eastAsia="zh-CN"/>
        </w:rPr>
        <w:t>教育支出减少</w:t>
      </w:r>
      <w:r>
        <w:rPr>
          <w:rFonts w:hint="default" w:ascii="仿宋_GB2312" w:hAnsi="ˎ̥" w:eastAsia="仿宋_GB2312" w:cs="仿宋_GB2312"/>
          <w:sz w:val="32"/>
          <w:szCs w:val="32"/>
        </w:rPr>
        <w:t>；二是社会保障和就业支出</w:t>
      </w:r>
      <w:r>
        <w:rPr>
          <w:rFonts w:hint="eastAsia" w:ascii="仿宋_GB2312" w:hAnsi="ˎ̥" w:eastAsia="仿宋_GB2312" w:cs="仿宋_GB2312"/>
          <w:sz w:val="32"/>
          <w:szCs w:val="32"/>
          <w:lang w:val="en-US" w:eastAsia="zh-CN"/>
        </w:rPr>
        <w:t>与卫生健康支出也相应减少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3,851.08</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万元，主要原因是</w:t>
      </w:r>
      <w:r>
        <w:rPr>
          <w:rFonts w:hint="eastAsia" w:ascii="仿宋_GB2312" w:hAnsi="ˎ̥" w:eastAsia="仿宋_GB2312" w:cs="仿宋_GB2312"/>
          <w:sz w:val="32"/>
          <w:szCs w:val="32"/>
        </w:rPr>
        <w:t>本年度较</w:t>
      </w:r>
      <w:r>
        <w:rPr>
          <w:rFonts w:hint="eastAsia" w:ascii="仿宋_GB2312" w:hAnsi="ˎ̥" w:eastAsia="仿宋_GB2312" w:cs="仿宋_GB2312"/>
          <w:sz w:val="32"/>
          <w:szCs w:val="32"/>
          <w:lang w:val="en-US" w:eastAsia="zh-CN"/>
        </w:rPr>
        <w:t>2023</w:t>
      </w:r>
      <w:r>
        <w:rPr>
          <w:rFonts w:hint="eastAsia" w:ascii="仿宋_GB2312" w:hAnsi="ˎ̥" w:eastAsia="仿宋_GB2312" w:cs="仿宋_GB2312"/>
          <w:sz w:val="32"/>
          <w:szCs w:val="32"/>
        </w:rPr>
        <w:t>年没有非财政拨款结余</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11.36</w:t>
      </w:r>
      <w:r>
        <w:rPr>
          <w:rFonts w:hint="eastAsia" w:ascii="仿宋_GB2312" w:hAnsi="ˎ̥" w:eastAsia="仿宋_GB2312"/>
          <w:sz w:val="32"/>
          <w:szCs w:val="32"/>
        </w:rPr>
        <w:t>万元，主要是</w:t>
      </w:r>
      <w:r>
        <w:rPr>
          <w:rFonts w:hint="eastAsia" w:ascii="仿宋_GB2312" w:hAnsi="ˎ̥" w:eastAsia="仿宋_GB2312" w:cs="仿宋_GB2312"/>
          <w:sz w:val="32"/>
          <w:szCs w:val="32"/>
        </w:rPr>
        <w:t>使用正常办公经费</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color w:val="FF0000"/>
          <w:sz w:val="32"/>
          <w:szCs w:val="32"/>
          <w:lang w:val="en-US" w:eastAsia="zh-CN"/>
        </w:rPr>
        <w:t>2.03</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4.6</w:t>
      </w:r>
      <w:r>
        <w:rPr>
          <w:rFonts w:hint="eastAsia" w:ascii="仿宋_GB2312" w:hAnsi="ˎ̥" w:eastAsia="仿宋_GB2312"/>
          <w:sz w:val="32"/>
          <w:szCs w:val="32"/>
        </w:rPr>
        <w:t>%，主要原因是</w:t>
      </w:r>
      <w:r>
        <w:rPr>
          <w:rFonts w:hint="eastAsia" w:ascii="仿宋_GB2312" w:hAnsi="ˎ̥" w:eastAsia="仿宋_GB2312" w:cs="仿宋_GB2312"/>
          <w:sz w:val="32"/>
          <w:szCs w:val="32"/>
          <w:lang w:val="en-US" w:eastAsia="zh-CN"/>
        </w:rPr>
        <w:t>单位生均经费未支出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3,857.45</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0.21</w:t>
      </w:r>
      <w:r>
        <w:rPr>
          <w:rFonts w:hint="eastAsia" w:ascii="仿宋_GB2312" w:hAnsi="ˎ̥" w:eastAsia="仿宋_GB2312"/>
          <w:sz w:val="32"/>
          <w:szCs w:val="32"/>
        </w:rPr>
        <w:t>万元，主要是</w:t>
      </w:r>
      <w:r>
        <w:rPr>
          <w:rFonts w:hint="eastAsia" w:ascii="仿宋_GB2312" w:hAnsi="ˎ̥" w:eastAsia="仿宋_GB2312" w:cs="仿宋_GB2312"/>
          <w:sz w:val="32"/>
          <w:szCs w:val="32"/>
        </w:rPr>
        <w:t>使用正常办公经费</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sz w:val="32"/>
          <w:szCs w:val="32"/>
          <w:lang w:val="en-US" w:eastAsia="zh-CN"/>
        </w:rPr>
        <w:t>0.1</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32.26</w:t>
      </w:r>
      <w:r>
        <w:rPr>
          <w:rFonts w:hint="eastAsia" w:ascii="仿宋_GB2312" w:hAnsi="ˎ̥" w:eastAsia="仿宋_GB2312"/>
          <w:sz w:val="32"/>
          <w:szCs w:val="32"/>
        </w:rPr>
        <w:t>%，主要原因是</w:t>
      </w:r>
      <w:r>
        <w:rPr>
          <w:rFonts w:hint="eastAsia" w:ascii="仿宋_GB2312" w:hAnsi="ˎ̥" w:eastAsia="仿宋_GB2312" w:cs="仿宋_GB2312"/>
          <w:sz w:val="32"/>
          <w:szCs w:val="32"/>
        </w:rPr>
        <w:t>跨年度经费使用进度不一样</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4.78</w:t>
      </w:r>
      <w:r>
        <w:rPr>
          <w:rFonts w:hint="eastAsia" w:ascii="仿宋_GB2312" w:hAnsi="ˎ̥" w:eastAsia="仿宋_GB2312"/>
          <w:sz w:val="32"/>
          <w:szCs w:val="32"/>
        </w:rPr>
        <w:t>万元，主要是</w:t>
      </w:r>
      <w:r>
        <w:rPr>
          <w:rFonts w:hint="eastAsia" w:ascii="仿宋_GB2312" w:hAnsi="ˎ̥" w:eastAsia="仿宋_GB2312" w:cs="仿宋_GB2312"/>
          <w:sz w:val="32"/>
          <w:szCs w:val="32"/>
          <w:lang w:val="en-US" w:eastAsia="zh-CN"/>
        </w:rPr>
        <w:t>单位生均经费未支出</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sz w:val="32"/>
          <w:szCs w:val="32"/>
          <w:lang w:val="en-US" w:eastAsia="zh-CN"/>
        </w:rPr>
        <w:t>6.58</w:t>
      </w:r>
      <w:r>
        <w:rPr>
          <w:rFonts w:hint="eastAsia" w:ascii="仿宋_GB2312" w:hAnsi="ˎ̥" w:eastAsia="仿宋_GB2312"/>
          <w:sz w:val="32"/>
          <w:szCs w:val="32"/>
        </w:rPr>
        <w:t>万元，下降</w:t>
      </w:r>
      <w:r>
        <w:rPr>
          <w:rFonts w:hint="eastAsia" w:ascii="仿宋_GB2312" w:hAnsi="ˎ̥" w:eastAsia="仿宋_GB2312"/>
          <w:sz w:val="32"/>
          <w:szCs w:val="32"/>
          <w:lang w:val="en-US" w:eastAsia="zh-CN"/>
        </w:rPr>
        <w:t>57.92</w:t>
      </w:r>
      <w:r>
        <w:rPr>
          <w:rFonts w:hint="eastAsia" w:ascii="仿宋_GB2312" w:hAnsi="ˎ̥" w:eastAsia="仿宋_GB2312"/>
          <w:sz w:val="32"/>
          <w:szCs w:val="32"/>
        </w:rPr>
        <w:t>%，主要原因是</w:t>
      </w:r>
      <w:r>
        <w:rPr>
          <w:rFonts w:hint="eastAsia" w:ascii="仿宋_GB2312" w:hAnsi="ˎ̥" w:eastAsia="仿宋_GB2312" w:cs="仿宋_GB2312"/>
          <w:sz w:val="32"/>
          <w:szCs w:val="32"/>
          <w:lang w:val="en-US" w:eastAsia="zh-CN"/>
        </w:rPr>
        <w:t>单位生均经费未支出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3,851.08</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3,777.42</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98.09</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73.66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1.91</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3,857.45</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3,458.13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89.65</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399.32</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10.35</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3,777.42</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3,777.42</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年度相比，财政拨款收入减少</w:t>
      </w:r>
      <w:r>
        <w:rPr>
          <w:rFonts w:hint="eastAsia" w:ascii="仿宋_GB2312" w:hAnsi="ˎ̥" w:eastAsia="仿宋_GB2312"/>
          <w:color w:val="FF0000"/>
          <w:sz w:val="32"/>
          <w:szCs w:val="32"/>
          <w:lang w:val="en-US" w:eastAsia="zh-CN"/>
        </w:rPr>
        <w:t>535.58</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12.42</w:t>
      </w:r>
      <w:r>
        <w:rPr>
          <w:rFonts w:hint="eastAsia" w:ascii="仿宋_GB2312" w:hAnsi="ˎ̥" w:eastAsia="仿宋_GB2312"/>
          <w:sz w:val="32"/>
          <w:szCs w:val="32"/>
        </w:rPr>
        <w:t>%，主要原因：</w:t>
      </w:r>
      <w:r>
        <w:rPr>
          <w:rFonts w:hint="default" w:ascii="仿宋_GB2312" w:hAnsi="ˎ̥" w:eastAsia="仿宋_GB2312" w:cs="仿宋_GB2312"/>
          <w:sz w:val="32"/>
          <w:szCs w:val="32"/>
        </w:rPr>
        <w:t>一是</w:t>
      </w:r>
      <w:r>
        <w:rPr>
          <w:rFonts w:hint="eastAsia" w:ascii="仿宋_GB2312" w:hAnsi="ˎ̥" w:eastAsia="仿宋_GB2312" w:cs="仿宋_GB2312"/>
          <w:sz w:val="32"/>
          <w:szCs w:val="32"/>
          <w:lang w:val="en-US" w:eastAsia="zh-CN"/>
        </w:rPr>
        <w:t>教育支出减少</w:t>
      </w:r>
      <w:r>
        <w:rPr>
          <w:rFonts w:hint="default" w:ascii="仿宋_GB2312" w:hAnsi="ˎ̥" w:eastAsia="仿宋_GB2312" w:cs="仿宋_GB2312"/>
          <w:sz w:val="32"/>
          <w:szCs w:val="32"/>
        </w:rPr>
        <w:t>；二是社会保障和就业支出</w:t>
      </w:r>
      <w:r>
        <w:rPr>
          <w:rFonts w:hint="eastAsia" w:ascii="仿宋_GB2312" w:hAnsi="ˎ̥" w:eastAsia="仿宋_GB2312" w:cs="仿宋_GB2312"/>
          <w:sz w:val="32"/>
          <w:szCs w:val="32"/>
          <w:lang w:val="en-US" w:eastAsia="zh-CN"/>
        </w:rPr>
        <w:t>与卫生健康支出也相应减少</w:t>
      </w:r>
      <w:r>
        <w:rPr>
          <w:rFonts w:hint="eastAsia" w:ascii="仿宋_GB2312" w:hAnsi="ˎ̥" w:eastAsia="仿宋_GB2312"/>
          <w:sz w:val="32"/>
          <w:szCs w:val="32"/>
        </w:rPr>
        <w:t>。支出减少</w:t>
      </w:r>
      <w:r>
        <w:rPr>
          <w:rFonts w:hint="eastAsia" w:ascii="仿宋_GB2312" w:hAnsi="ˎ̥" w:eastAsia="仿宋_GB2312"/>
          <w:color w:val="FF0000"/>
          <w:sz w:val="32"/>
          <w:szCs w:val="32"/>
          <w:lang w:val="en-US" w:eastAsia="zh-CN"/>
        </w:rPr>
        <w:t>535.58</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12.42</w:t>
      </w:r>
      <w:r>
        <w:rPr>
          <w:rFonts w:hint="eastAsia" w:ascii="仿宋_GB2312" w:hAnsi="ˎ̥" w:eastAsia="仿宋_GB2312"/>
          <w:sz w:val="32"/>
          <w:szCs w:val="32"/>
        </w:rPr>
        <w:t>%，主要原因：</w:t>
      </w:r>
      <w:r>
        <w:rPr>
          <w:rFonts w:hint="default" w:ascii="仿宋_GB2312" w:hAnsi="ˎ̥" w:eastAsia="仿宋_GB2312" w:cs="仿宋_GB2312"/>
          <w:sz w:val="32"/>
          <w:szCs w:val="32"/>
        </w:rPr>
        <w:t>一是</w:t>
      </w:r>
      <w:r>
        <w:rPr>
          <w:rFonts w:hint="eastAsia" w:ascii="仿宋_GB2312" w:hAnsi="ˎ̥" w:eastAsia="仿宋_GB2312" w:cs="仿宋_GB2312"/>
          <w:sz w:val="32"/>
          <w:szCs w:val="32"/>
          <w:lang w:val="en-US" w:eastAsia="zh-CN"/>
        </w:rPr>
        <w:t>教育支出减少</w:t>
      </w:r>
      <w:r>
        <w:rPr>
          <w:rFonts w:hint="default" w:ascii="仿宋_GB2312" w:hAnsi="ˎ̥" w:eastAsia="仿宋_GB2312" w:cs="仿宋_GB2312"/>
          <w:sz w:val="32"/>
          <w:szCs w:val="32"/>
        </w:rPr>
        <w:t>；二是社会保障和就业支出</w:t>
      </w:r>
      <w:r>
        <w:rPr>
          <w:rFonts w:hint="eastAsia" w:ascii="仿宋_GB2312" w:hAnsi="ˎ̥" w:eastAsia="仿宋_GB2312" w:cs="仿宋_GB2312"/>
          <w:sz w:val="32"/>
          <w:szCs w:val="32"/>
          <w:lang w:val="en-US" w:eastAsia="zh-CN"/>
        </w:rPr>
        <w:t>与卫生健康支出也相应减少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cs="仿宋_GB2312"/>
          <w:sz w:val="32"/>
          <w:szCs w:val="32"/>
        </w:rPr>
        <w:t>本年度较</w:t>
      </w:r>
      <w:r>
        <w:rPr>
          <w:rFonts w:hint="eastAsia" w:ascii="仿宋_GB2312" w:hAnsi="ˎ̥" w:eastAsia="仿宋_GB2312" w:cs="仿宋_GB2312"/>
          <w:sz w:val="32"/>
          <w:szCs w:val="32"/>
          <w:lang w:val="en-US" w:eastAsia="zh-CN"/>
        </w:rPr>
        <w:t>2023</w:t>
      </w:r>
      <w:r>
        <w:rPr>
          <w:rFonts w:hint="eastAsia" w:ascii="仿宋_GB2312" w:hAnsi="ˎ̥" w:eastAsia="仿宋_GB2312" w:cs="仿宋_GB2312"/>
          <w:sz w:val="32"/>
          <w:szCs w:val="32"/>
        </w:rPr>
        <w:t>年没</w:t>
      </w:r>
      <w:r>
        <w:rPr>
          <w:rFonts w:hint="eastAsia" w:ascii="仿宋_GB2312" w:hAnsi="ˎ̥" w:eastAsia="仿宋_GB2312" w:cs="仿宋_GB2312"/>
          <w:sz w:val="32"/>
          <w:szCs w:val="32"/>
          <w:lang w:val="en-US" w:eastAsia="zh-CN"/>
        </w:rPr>
        <w:t>有</w:t>
      </w:r>
      <w:r>
        <w:rPr>
          <w:rFonts w:hint="eastAsia" w:ascii="仿宋_GB2312" w:hAnsi="ˎ̥" w:eastAsia="仿宋_GB2312" w:cs="仿宋_GB2312"/>
          <w:sz w:val="32"/>
          <w:szCs w:val="32"/>
        </w:rPr>
        <w:t>财政拨款</w:t>
      </w:r>
      <w:r>
        <w:rPr>
          <w:rFonts w:hint="eastAsia" w:ascii="仿宋_GB2312" w:hAnsi="ˎ̥" w:eastAsia="仿宋_GB2312" w:cs="仿宋_GB2312"/>
          <w:sz w:val="32"/>
          <w:szCs w:val="32"/>
          <w:lang w:val="en-US" w:eastAsia="zh-CN"/>
        </w:rPr>
        <w:t>年初结转</w:t>
      </w:r>
      <w:r>
        <w:rPr>
          <w:rFonts w:hint="eastAsia" w:ascii="仿宋_GB2312" w:hAnsi="ˎ̥" w:eastAsia="仿宋_GB2312" w:cs="仿宋_GB2312"/>
          <w:sz w:val="32"/>
          <w:szCs w:val="32"/>
        </w:rPr>
        <w:t>结余</w:t>
      </w:r>
      <w:r>
        <w:rPr>
          <w:rFonts w:hint="default" w:ascii="仿宋_GB2312" w:hAnsi="ˎ̥" w:eastAsia="仿宋_GB2312" w:cs="仿宋_GB2312"/>
          <w:sz w:val="32"/>
          <w:szCs w:val="32"/>
        </w:rPr>
        <w:t>，较</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3</w:t>
      </w:r>
      <w:r>
        <w:rPr>
          <w:rFonts w:hint="default" w:ascii="仿宋_GB2312" w:hAnsi="ˎ̥" w:eastAsia="仿宋_GB2312" w:cs="仿宋_GB2312"/>
          <w:sz w:val="32"/>
          <w:szCs w:val="32"/>
        </w:rPr>
        <w:t>年度决算数</w:t>
      </w:r>
      <w:r>
        <w:rPr>
          <w:rFonts w:hint="eastAsia" w:ascii="仿宋_GB2312" w:hAnsi="ˎ̥" w:eastAsia="仿宋_GB2312" w:cs="仿宋_GB2312"/>
          <w:sz w:val="32"/>
          <w:szCs w:val="32"/>
          <w:lang w:val="en-US" w:eastAsia="zh-CN"/>
        </w:rPr>
        <w:t>持平</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cs="仿宋_GB2312"/>
          <w:sz w:val="32"/>
          <w:szCs w:val="32"/>
        </w:rPr>
        <w:t>本年度较</w:t>
      </w:r>
      <w:r>
        <w:rPr>
          <w:rFonts w:hint="eastAsia" w:ascii="仿宋_GB2312" w:hAnsi="ˎ̥" w:eastAsia="仿宋_GB2312" w:cs="仿宋_GB2312"/>
          <w:sz w:val="32"/>
          <w:szCs w:val="32"/>
          <w:lang w:val="en-US" w:eastAsia="zh-CN"/>
        </w:rPr>
        <w:t>2023</w:t>
      </w:r>
      <w:r>
        <w:rPr>
          <w:rFonts w:hint="eastAsia" w:ascii="仿宋_GB2312" w:hAnsi="ˎ̥" w:eastAsia="仿宋_GB2312" w:cs="仿宋_GB2312"/>
          <w:sz w:val="32"/>
          <w:szCs w:val="32"/>
        </w:rPr>
        <w:t>年没</w:t>
      </w:r>
      <w:r>
        <w:rPr>
          <w:rFonts w:hint="eastAsia" w:ascii="仿宋_GB2312" w:hAnsi="ˎ̥" w:eastAsia="仿宋_GB2312" w:cs="仿宋_GB2312"/>
          <w:sz w:val="32"/>
          <w:szCs w:val="32"/>
          <w:lang w:val="en-US" w:eastAsia="zh-CN"/>
        </w:rPr>
        <w:t>有</w:t>
      </w:r>
      <w:r>
        <w:rPr>
          <w:rFonts w:hint="eastAsia" w:ascii="仿宋_GB2312" w:hAnsi="ˎ̥" w:eastAsia="仿宋_GB2312" w:cs="仿宋_GB2312"/>
          <w:sz w:val="32"/>
          <w:szCs w:val="32"/>
        </w:rPr>
        <w:t>财政拨款</w:t>
      </w:r>
      <w:r>
        <w:rPr>
          <w:rFonts w:hint="eastAsia" w:ascii="仿宋_GB2312" w:hAnsi="ˎ̥" w:eastAsia="仿宋_GB2312" w:cs="仿宋_GB2312"/>
          <w:sz w:val="32"/>
          <w:szCs w:val="32"/>
          <w:lang w:val="en-US" w:eastAsia="zh-CN"/>
        </w:rPr>
        <w:t>年初结转</w:t>
      </w:r>
      <w:r>
        <w:rPr>
          <w:rFonts w:hint="eastAsia" w:ascii="仿宋_GB2312" w:hAnsi="ˎ̥" w:eastAsia="仿宋_GB2312" w:cs="仿宋_GB2312"/>
          <w:sz w:val="32"/>
          <w:szCs w:val="32"/>
        </w:rPr>
        <w:t>结余</w:t>
      </w:r>
      <w:r>
        <w:rPr>
          <w:rFonts w:hint="default" w:ascii="仿宋_GB2312" w:hAnsi="ˎ̥" w:eastAsia="仿宋_GB2312" w:cs="仿宋_GB2312"/>
          <w:sz w:val="32"/>
          <w:szCs w:val="32"/>
        </w:rPr>
        <w:t>，较</w:t>
      </w: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3</w:t>
      </w:r>
      <w:r>
        <w:rPr>
          <w:rFonts w:hint="default" w:ascii="仿宋_GB2312" w:hAnsi="ˎ̥" w:eastAsia="仿宋_GB2312" w:cs="仿宋_GB2312"/>
          <w:sz w:val="32"/>
          <w:szCs w:val="32"/>
        </w:rPr>
        <w:t>年度决算数</w:t>
      </w:r>
      <w:r>
        <w:rPr>
          <w:rFonts w:hint="eastAsia" w:ascii="仿宋_GB2312" w:hAnsi="ˎ̥" w:eastAsia="仿宋_GB2312" w:cs="仿宋_GB2312"/>
          <w:sz w:val="32"/>
          <w:szCs w:val="32"/>
          <w:lang w:val="en-US" w:eastAsia="zh-CN"/>
        </w:rPr>
        <w:t>持平</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19665_WPSOffice_Level2"/>
      <w:bookmarkStart w:id="78" w:name="_Toc9989_WPSOffice_Level2"/>
      <w:bookmarkStart w:id="79" w:name="_Toc13694_WPSOffice_Level2"/>
      <w:bookmarkStart w:id="80" w:name="_Toc17398_WPSOffice_Level2"/>
      <w:bookmarkStart w:id="81" w:name="_Toc21737_WPSOffice_Level2"/>
      <w:bookmarkStart w:id="82" w:name="_Toc23005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3,777.42</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98.09</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年度相比，一般公共预算财政拨款支出减少</w:t>
      </w:r>
      <w:r>
        <w:rPr>
          <w:rFonts w:hint="eastAsia" w:ascii="仿宋_GB2312" w:hAnsi="ˎ̥" w:eastAsia="仿宋_GB2312"/>
          <w:color w:val="FF0000"/>
          <w:sz w:val="32"/>
          <w:szCs w:val="32"/>
          <w:lang w:val="en-US" w:eastAsia="zh-CN"/>
        </w:rPr>
        <w:t>535.58</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12.42</w:t>
      </w:r>
      <w:r>
        <w:rPr>
          <w:rFonts w:hint="eastAsia" w:ascii="仿宋_GB2312" w:hAnsi="ˎ̥" w:eastAsia="仿宋_GB2312"/>
          <w:sz w:val="32"/>
          <w:szCs w:val="32"/>
        </w:rPr>
        <w:t>%，主要原因：</w:t>
      </w:r>
      <w:r>
        <w:rPr>
          <w:rFonts w:hint="default" w:ascii="仿宋_GB2312" w:hAnsi="ˎ̥" w:eastAsia="仿宋_GB2312" w:cs="仿宋_GB2312"/>
          <w:sz w:val="32"/>
          <w:szCs w:val="32"/>
        </w:rPr>
        <w:t>一是</w:t>
      </w:r>
      <w:r>
        <w:rPr>
          <w:rFonts w:hint="eastAsia" w:ascii="仿宋_GB2312" w:hAnsi="ˎ̥" w:eastAsia="仿宋_GB2312" w:cs="仿宋_GB2312"/>
          <w:sz w:val="32"/>
          <w:szCs w:val="32"/>
          <w:lang w:val="en-US" w:eastAsia="zh-CN"/>
        </w:rPr>
        <w:t>教育支出减少</w:t>
      </w:r>
      <w:r>
        <w:rPr>
          <w:rFonts w:hint="default" w:ascii="仿宋_GB2312" w:hAnsi="ˎ̥" w:eastAsia="仿宋_GB2312" w:cs="仿宋_GB2312"/>
          <w:sz w:val="32"/>
          <w:szCs w:val="32"/>
        </w:rPr>
        <w:t>；二是社会保障和就业支出</w:t>
      </w:r>
      <w:r>
        <w:rPr>
          <w:rFonts w:hint="eastAsia" w:ascii="仿宋_GB2312" w:hAnsi="ˎ̥" w:eastAsia="仿宋_GB2312" w:cs="仿宋_GB2312"/>
          <w:sz w:val="32"/>
          <w:szCs w:val="32"/>
          <w:lang w:val="en-US" w:eastAsia="zh-CN"/>
        </w:rPr>
        <w:t>与卫生健康支出也相应减少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3" w:name="_Toc19535_WPSOffice_Level2"/>
      <w:bookmarkStart w:id="84" w:name="_Toc23864_WPSOffice_Level2"/>
      <w:bookmarkStart w:id="85" w:name="_Toc19075_WPSOffice_Level2"/>
      <w:bookmarkStart w:id="86" w:name="_Toc27767_WPSOffice_Level2"/>
      <w:bookmarkStart w:id="87" w:name="_Toc18793_WPSOffice_Level2"/>
      <w:bookmarkStart w:id="88" w:name="_Toc2711_WPSOffice_Level2"/>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3,777.42</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1.04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0.03</w:t>
      </w:r>
      <w:r>
        <w:rPr>
          <w:rFonts w:hint="eastAsia" w:ascii="仿宋_GB2312" w:hAnsi="ˎ̥" w:eastAsia="仿宋_GB2312"/>
          <w:sz w:val="32"/>
          <w:szCs w:val="32"/>
        </w:rPr>
        <w:t>%；</w:t>
      </w:r>
      <w:r>
        <w:rPr>
          <w:rFonts w:hint="eastAsia" w:ascii="仿宋_GB2312" w:hAnsi="ˎ̥" w:eastAsia="仿宋_GB2312"/>
          <w:b/>
          <w:sz w:val="32"/>
          <w:szCs w:val="32"/>
          <w:lang w:val="en-US" w:eastAsia="zh-CN"/>
        </w:rPr>
        <w:t>教育支出</w:t>
      </w:r>
      <w:r>
        <w:rPr>
          <w:rFonts w:hint="eastAsia" w:ascii="仿宋_GB2312" w:hAnsi="ˎ̥" w:eastAsia="仿宋_GB2312"/>
          <w:b/>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2639.83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69.88</w:t>
      </w:r>
      <w:r>
        <w:rPr>
          <w:rFonts w:hint="eastAsia" w:ascii="仿宋_GB2312" w:hAnsi="ˎ̥" w:eastAsia="仿宋_GB2312"/>
          <w:sz w:val="32"/>
          <w:szCs w:val="32"/>
        </w:rPr>
        <w:t>%；</w:t>
      </w:r>
      <w:r>
        <w:rPr>
          <w:rFonts w:hint="eastAsia" w:ascii="仿宋_GB2312" w:hAnsi="ˎ̥" w:eastAsia="仿宋_GB2312"/>
          <w:b/>
          <w:bCs/>
          <w:sz w:val="32"/>
          <w:szCs w:val="32"/>
          <w:lang w:val="en-US" w:eastAsia="zh-CN"/>
        </w:rPr>
        <w:t>特殊教育</w:t>
      </w:r>
      <w:r>
        <w:rPr>
          <w:rFonts w:hint="eastAsia" w:ascii="仿宋_GB2312" w:hAnsi="ˎ̥" w:eastAsia="仿宋_GB2312"/>
          <w:b/>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3.76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0.1</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500.89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13.26</w:t>
      </w:r>
      <w:r>
        <w:rPr>
          <w:rFonts w:hint="eastAsia" w:ascii="仿宋_GB2312" w:hAnsi="ˎ̥" w:eastAsia="仿宋_GB2312"/>
          <w:sz w:val="32"/>
          <w:szCs w:val="32"/>
        </w:rPr>
        <w:t>%；</w:t>
      </w:r>
      <w:r>
        <w:rPr>
          <w:rFonts w:hint="eastAsia" w:ascii="仿宋_GB2312" w:hAnsi="ˎ̥" w:eastAsia="仿宋_GB2312"/>
          <w:b/>
          <w:sz w:val="32"/>
          <w:szCs w:val="32"/>
          <w:lang w:val="en-US" w:eastAsia="zh-CN"/>
        </w:rPr>
        <w:t>抚恤</w:t>
      </w:r>
      <w:r>
        <w:rPr>
          <w:rFonts w:hint="eastAsia" w:ascii="仿宋_GB2312" w:hAnsi="ˎ̥" w:eastAsia="仿宋_GB2312"/>
          <w:b/>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11.63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0.31</w:t>
      </w:r>
      <w:r>
        <w:rPr>
          <w:rFonts w:hint="eastAsia" w:ascii="仿宋_GB2312" w:hAnsi="ˎ̥" w:eastAsia="仿宋_GB2312"/>
          <w:sz w:val="32"/>
          <w:szCs w:val="32"/>
        </w:rPr>
        <w:t>%；</w:t>
      </w:r>
      <w:r>
        <w:rPr>
          <w:rFonts w:hint="eastAsia" w:ascii="仿宋_GB2312" w:hAnsi="ˎ̥" w:eastAsia="仿宋_GB2312"/>
          <w:b/>
          <w:sz w:val="32"/>
          <w:szCs w:val="32"/>
          <w:lang w:val="en-US" w:eastAsia="zh-CN"/>
        </w:rPr>
        <w:t>卫生健康支出</w:t>
      </w:r>
      <w:r>
        <w:rPr>
          <w:rFonts w:hint="eastAsia" w:ascii="仿宋_GB2312" w:hAnsi="ˎ̥" w:eastAsia="仿宋_GB2312"/>
          <w:b/>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394.42</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10.44</w:t>
      </w:r>
      <w:r>
        <w:rPr>
          <w:rFonts w:hint="eastAsia" w:ascii="仿宋_GB2312" w:hAnsi="ˎ̥" w:eastAsia="仿宋_GB2312"/>
          <w:sz w:val="32"/>
          <w:szCs w:val="32"/>
        </w:rPr>
        <w:t>%；</w:t>
      </w:r>
      <w:r>
        <w:rPr>
          <w:rFonts w:hint="eastAsia" w:ascii="仿宋_GB2312" w:hAnsi="ˎ̥" w:eastAsia="仿宋_GB2312"/>
          <w:b/>
          <w:bCs/>
          <w:sz w:val="32"/>
          <w:szCs w:val="32"/>
        </w:rPr>
        <w:t>住房保障</w:t>
      </w:r>
      <w:r>
        <w:rPr>
          <w:rFonts w:hint="eastAsia" w:ascii="仿宋_GB2312" w:hAnsi="ˎ̥" w:eastAsia="仿宋_GB2312"/>
          <w:b/>
          <w:bCs/>
          <w:sz w:val="32"/>
          <w:szCs w:val="32"/>
          <w:lang w:val="en-US" w:eastAsia="zh-CN"/>
        </w:rPr>
        <w:t>支出</w:t>
      </w:r>
      <w:r>
        <w:rPr>
          <w:rFonts w:hint="eastAsia" w:ascii="仿宋_GB2312" w:hAnsi="ˎ̥" w:eastAsia="仿宋_GB2312"/>
          <w:b/>
          <w:bCs/>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241.24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5.98</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22318_WPSOffice_Level2"/>
      <w:bookmarkStart w:id="90" w:name="_Toc29364_WPSOffice_Level2"/>
      <w:bookmarkStart w:id="91" w:name="_Toc25136_WPSOffice_Level2"/>
      <w:bookmarkStart w:id="92" w:name="_Toc9502_WPSOffice_Level2"/>
      <w:bookmarkStart w:id="93" w:name="_Toc21701_WPSOffice_Level2"/>
      <w:bookmarkStart w:id="94" w:name="_Toc15415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3824.66</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3,777.42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98.76</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一般公共服务（类）人大事务（款）行政运行（项）。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3824.66</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3777.42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98.76</w:t>
      </w:r>
      <w:r>
        <w:rPr>
          <w:rFonts w:hint="eastAsia" w:ascii="仿宋_GB2312" w:hAnsi="ˎ̥" w:eastAsia="仿宋_GB2312"/>
          <w:sz w:val="32"/>
          <w:szCs w:val="32"/>
        </w:rPr>
        <w:t>%。决算数小于预算数的主要原因：</w:t>
      </w:r>
      <w:r>
        <w:rPr>
          <w:rFonts w:hint="default" w:ascii="仿宋_GB2312" w:hAnsi="ˎ̥" w:eastAsia="仿宋_GB2312" w:cs="仿宋_GB2312"/>
          <w:sz w:val="32"/>
          <w:szCs w:val="32"/>
        </w:rPr>
        <w:t>一是</w:t>
      </w:r>
      <w:r>
        <w:rPr>
          <w:rFonts w:hint="eastAsia" w:ascii="仿宋_GB2312" w:hAnsi="ˎ̥" w:eastAsia="仿宋_GB2312" w:cs="仿宋_GB2312"/>
          <w:sz w:val="32"/>
          <w:szCs w:val="32"/>
          <w:lang w:val="en-US" w:eastAsia="zh-CN"/>
        </w:rPr>
        <w:t>人员经费减少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0.00</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3,409.02</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49.11</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年度单位决算报表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万元，年末公务用车保有量</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万元，国内公务接待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万元，国（境）外公务接待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ascii="仿宋_GB2312" w:hAnsi="ˎ̥" w:eastAsia="仿宋_GB2312"/>
          <w:sz w:val="32"/>
          <w:szCs w:val="32"/>
        </w:rPr>
        <w:t>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eastAsia" w:ascii="仿宋_GB2312" w:eastAsia="仿宋_GB2312"/>
          <w:color w:val="FF0000"/>
          <w:sz w:val="32"/>
          <w:szCs w:val="32"/>
          <w:lang w:val="en-US" w:eastAsia="zh-CN"/>
        </w:rPr>
        <w:t>00</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0</w:t>
      </w:r>
      <w:r>
        <w:rPr>
          <w:rFonts w:hint="eastAsia" w:ascii="仿宋_GB2312" w:eastAsia="仿宋_GB2312"/>
          <w:sz w:val="32"/>
          <w:szCs w:val="32"/>
          <w:lang w:val="en-US" w:eastAsia="zh-CN"/>
        </w:rPr>
        <w:t>%</w:t>
      </w:r>
      <w:r>
        <w:rPr>
          <w:rFonts w:hint="eastAsia" w:ascii="仿宋_GB2312" w:eastAsia="仿宋_GB2312"/>
          <w:sz w:val="32"/>
          <w:szCs w:val="32"/>
        </w:rPr>
        <w:t>。</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sz w:val="32"/>
          <w:szCs w:val="32"/>
          <w:lang w:val="en-US" w:eastAsia="zh-CN" w:bidi="ar"/>
        </w:rPr>
        <w:t>0</w:t>
      </w:r>
      <w:r>
        <w:rPr>
          <w:rFonts w:hint="eastAsia" w:ascii="仿宋_GB2312" w:eastAsia="仿宋_GB2312"/>
          <w:sz w:val="32"/>
          <w:szCs w:val="32"/>
          <w:lang w:bidi="ar"/>
        </w:rPr>
        <w:t>个政府性基金预算项目开展绩效自评，共涉及资金</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万元，占政府性基金预算项目支出总额的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 xml:space="preserve">个国有资本经营预算项目开展绩效自评，共涉及资金 </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万元，占国有资本经营预算项目支出总额的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bidi="ar"/>
        </w:rPr>
      </w:pPr>
      <w:r>
        <w:rPr>
          <w:rFonts w:hint="eastAsia" w:ascii="仿宋_GB2312" w:eastAsia="仿宋_GB2312"/>
          <w:sz w:val="32"/>
          <w:szCs w:val="32"/>
        </w:rPr>
        <w:t>共组织对“</w:t>
      </w:r>
      <w:r>
        <w:rPr>
          <w:rFonts w:hint="eastAsia" w:ascii="仿宋_GB2312" w:eastAsia="仿宋_GB2312"/>
          <w:color w:val="FF0000"/>
          <w:sz w:val="32"/>
          <w:szCs w:val="32"/>
          <w:lang w:val="en-US" w:eastAsia="zh-CN"/>
        </w:rPr>
        <w:t>0</w:t>
      </w:r>
      <w:r>
        <w:rPr>
          <w:rFonts w:hint="eastAsia" w:ascii="仿宋_GB2312" w:eastAsia="仿宋_GB2312"/>
          <w:sz w:val="32"/>
          <w:szCs w:val="32"/>
        </w:rPr>
        <w:t>个项目开展了</w:t>
      </w:r>
      <w:r>
        <w:rPr>
          <w:rFonts w:hint="eastAsia" w:ascii="仿宋_GB2312" w:eastAsia="仿宋_GB2312"/>
          <w:sz w:val="32"/>
          <w:szCs w:val="32"/>
          <w:lang w:eastAsia="zh-CN"/>
        </w:rPr>
        <w:t>单位</w:t>
      </w:r>
      <w:r>
        <w:rPr>
          <w:rFonts w:hint="eastAsia" w:ascii="仿宋_GB2312" w:eastAsia="仿宋_GB2312"/>
          <w:sz w:val="32"/>
          <w:szCs w:val="32"/>
        </w:rPr>
        <w:t>评价，</w:t>
      </w:r>
      <w:r>
        <w:rPr>
          <w:rFonts w:hint="eastAsia" w:ascii="仿宋_GB2312" w:eastAsia="仿宋_GB2312"/>
          <w:sz w:val="32"/>
          <w:szCs w:val="32"/>
          <w:lang w:bidi="ar"/>
        </w:rPr>
        <w:t>涉及一般公共预算支出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万元，政府性基金预算支出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万元，国有资本经营预算支出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（预算</w:t>
      </w:r>
      <w:r>
        <w:rPr>
          <w:rFonts w:hint="eastAsia" w:ascii="仿宋_GB2312" w:eastAsia="仿宋_GB2312"/>
          <w:sz w:val="32"/>
          <w:szCs w:val="32"/>
          <w:lang w:eastAsia="zh-CN"/>
        </w:rPr>
        <w:t>单位</w:t>
      </w:r>
      <w:r>
        <w:rPr>
          <w:rFonts w:hint="eastAsia" w:ascii="仿宋_GB2312" w:eastAsia="仿宋_GB2312"/>
          <w:sz w:val="32"/>
          <w:szCs w:val="32"/>
        </w:rPr>
        <w:t>如有，请对预算绩效评价情况进行简单说明；没有，则简要说明本年没有进行相关工作及理由。</w:t>
      </w:r>
      <w:r>
        <w:rPr>
          <w:rFonts w:hint="eastAsia" w:ascii="仿宋_GB2312" w:eastAsia="仿宋_GB2312"/>
          <w:sz w:val="32"/>
          <w:szCs w:val="32"/>
          <w:lang w:eastAsia="zh-CN"/>
        </w:rPr>
        <w:t>单位</w:t>
      </w:r>
      <w:r>
        <w:rPr>
          <w:rFonts w:hint="eastAsia" w:ascii="仿宋_GB2312" w:eastAsia="仿宋_GB2312"/>
          <w:sz w:val="32"/>
          <w:szCs w:val="32"/>
        </w:rPr>
        <w:t>所属单位不需填写此项）。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w:t>
      </w:r>
      <w:r>
        <w:rPr>
          <w:rFonts w:hint="eastAsia" w:ascii="楷体" w:hAnsi="楷体" w:eastAsia="楷体" w:cs="楷体"/>
          <w:bCs/>
          <w:sz w:val="32"/>
          <w:szCs w:val="32"/>
          <w:lang w:eastAsia="zh-CN"/>
        </w:rPr>
        <w:t>单位</w:t>
      </w:r>
      <w:r>
        <w:rPr>
          <w:rFonts w:hint="eastAsia" w:ascii="楷体" w:hAnsi="楷体" w:eastAsia="楷体" w:cs="楷体"/>
          <w:bCs/>
          <w:sz w:val="32"/>
          <w:szCs w:val="32"/>
        </w:rPr>
        <w:t>决算中项目绩效自评结果（预算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参照如下格式说明（表述应与决算内容保持一致）：我</w:t>
      </w:r>
      <w:r>
        <w:rPr>
          <w:rFonts w:hint="eastAsia" w:ascii="仿宋_GB2312" w:eastAsia="仿宋_GB2312"/>
          <w:sz w:val="32"/>
          <w:szCs w:val="32"/>
          <w:lang w:eastAsia="zh-CN"/>
        </w:rPr>
        <w:t>单位</w:t>
      </w:r>
      <w:r>
        <w:rPr>
          <w:rFonts w:hint="eastAsia" w:ascii="仿宋_GB2312" w:eastAsia="仿宋_GB2312"/>
          <w:sz w:val="32"/>
          <w:szCs w:val="32"/>
        </w:rPr>
        <w:t>在</w:t>
      </w:r>
      <w:r>
        <w:rPr>
          <w:rFonts w:hint="eastAsia" w:ascii="仿宋_GB2312" w:eastAsia="仿宋_GB2312"/>
          <w:sz w:val="32"/>
          <w:szCs w:val="32"/>
          <w:lang w:eastAsia="zh-CN"/>
        </w:rPr>
        <w:t>单位</w:t>
      </w:r>
      <w:r>
        <w:rPr>
          <w:rFonts w:hint="eastAsia" w:ascii="仿宋_GB2312" w:eastAsia="仿宋_GB2312"/>
          <w:sz w:val="32"/>
          <w:szCs w:val="32"/>
        </w:rPr>
        <w:t>决算中反映</w:t>
      </w:r>
      <w:r>
        <w:rPr>
          <w:rFonts w:hint="eastAsia" w:ascii="仿宋_GB2312" w:eastAsia="仿宋_GB2312"/>
          <w:color w:val="FF0000"/>
          <w:sz w:val="32"/>
          <w:szCs w:val="32"/>
          <w:lang w:val="en-US" w:eastAsia="zh-CN"/>
        </w:rPr>
        <w:t>0</w:t>
      </w:r>
      <w:r>
        <w:rPr>
          <w:rFonts w:hint="eastAsia" w:ascii="仿宋_GB2312" w:eastAsia="仿宋_GB2312"/>
          <w:sz w:val="32"/>
          <w:szCs w:val="32"/>
        </w:rPr>
        <w:t>个项目绩效自评结果（包括项目绩效自评表和项目绩效自评报告）。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w:t>
      </w:r>
      <w:r>
        <w:rPr>
          <w:rFonts w:hint="eastAsia" w:ascii="楷体" w:hAnsi="楷体" w:eastAsia="楷体" w:cs="楷体"/>
          <w:bCs/>
          <w:sz w:val="32"/>
          <w:szCs w:val="32"/>
          <w:lang w:eastAsia="zh-CN"/>
        </w:rPr>
        <w:t>单位</w:t>
      </w:r>
      <w:r>
        <w:rPr>
          <w:rFonts w:hint="eastAsia" w:ascii="楷体" w:hAnsi="楷体" w:eastAsia="楷体" w:cs="楷体"/>
          <w:bCs/>
          <w:sz w:val="32"/>
          <w:szCs w:val="32"/>
        </w:rPr>
        <w:t>评价结果（预算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填写，</w:t>
      </w:r>
      <w:r>
        <w:rPr>
          <w:rFonts w:hint="eastAsia" w:ascii="楷体" w:hAnsi="楷体" w:eastAsia="楷体" w:cs="楷体"/>
          <w:bCs/>
          <w:sz w:val="32"/>
          <w:szCs w:val="32"/>
          <w:lang w:eastAsia="zh-CN"/>
        </w:rPr>
        <w:t>单位</w:t>
      </w:r>
      <w:r>
        <w:rPr>
          <w:rFonts w:hint="eastAsia" w:ascii="楷体" w:hAnsi="楷体" w:eastAsia="楷体" w:cs="楷体"/>
          <w:bCs/>
          <w:sz w:val="32"/>
          <w:szCs w:val="32"/>
        </w:rPr>
        <w:t>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评价项目数量在3个以内的，至少将1个</w:t>
      </w: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评价报告向社会公开；</w:t>
      </w: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评价项目数量大于3个的，至少将2个</w:t>
      </w: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评价报告向社会公开。</w:t>
      </w:r>
      <w:r>
        <w:rPr>
          <w:rFonts w:hint="eastAsia" w:ascii="仿宋_GB2312" w:eastAsia="仿宋_GB2312"/>
          <w:sz w:val="32"/>
          <w:szCs w:val="32"/>
        </w:rPr>
        <w:t>报告框架可参照《海南省财政厅关于印发&lt;海南省项目支出绩效评价管理实施办法&gt;的通知》（琼财绩〔2020〕594号）填写。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反映财政单位组织开展的预算单位重点项目财政评价情况，如有，可将评价报告附后。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5978_WPSOffice_Level2"/>
      <w:bookmarkStart w:id="96" w:name="_Toc15262_WPSOffice_Level2"/>
      <w:bookmarkStart w:id="97" w:name="_Toc23598_WPSOffice_Level2"/>
      <w:bookmarkStart w:id="98" w:name="_Toc32639_WPSOffice_Level2"/>
      <w:bookmarkStart w:id="99" w:name="_Toc15565_WPSOffice_Level2"/>
      <w:bookmarkStart w:id="100" w:name="_Toc18325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lang w:eastAsia="zh-CN"/>
        </w:rPr>
        <w:t>单位</w:t>
      </w:r>
      <w:r>
        <w:rPr>
          <w:rFonts w:hint="eastAsia" w:ascii="仿宋_GB2312" w:hAnsi="ˎ̥" w:eastAsia="仿宋_GB2312"/>
          <w:sz w:val="32"/>
          <w:szCs w:val="32"/>
        </w:rPr>
        <w:t>机关运行经费</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万元（为</w:t>
      </w:r>
      <w:r>
        <w:rPr>
          <w:rFonts w:hint="eastAsia" w:ascii="仿宋_GB2312" w:hAnsi="ˎ̥" w:eastAsia="仿宋_GB2312"/>
          <w:sz w:val="32"/>
          <w:szCs w:val="32"/>
          <w:lang w:eastAsia="zh-CN"/>
        </w:rPr>
        <w:t>单位</w:t>
      </w:r>
      <w:r>
        <w:rPr>
          <w:rFonts w:hint="eastAsia" w:ascii="仿宋_GB2312" w:hAnsi="ˎ̥" w:eastAsia="仿宋_GB2312"/>
          <w:sz w:val="32"/>
          <w:szCs w:val="32"/>
        </w:rPr>
        <w:t>决算中行政单位和参公事业单位财政拨款基本支出中公用经费支出之和，事业单位没有机关运行经费支出），比年初预算增加（减少）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决算报表财决01-1表《财政拨款收入支出决算总表》，年初预算数-一般公共预算财政拨款-公用经费，注意</w:t>
      </w:r>
      <w:r>
        <w:rPr>
          <w:rFonts w:hint="eastAsia" w:ascii="仿宋_GB2312" w:hAnsi="ˎ̥" w:eastAsia="仿宋_GB2312"/>
          <w:sz w:val="32"/>
          <w:szCs w:val="32"/>
          <w:lang w:eastAsia="zh-CN"/>
        </w:rPr>
        <w:t>单位</w:t>
      </w:r>
      <w:r>
        <w:rPr>
          <w:rFonts w:hint="eastAsia" w:ascii="仿宋_GB2312" w:hAnsi="ˎ̥" w:eastAsia="仿宋_GB2312"/>
          <w:sz w:val="32"/>
          <w:szCs w:val="32"/>
        </w:rPr>
        <w:t>汇总公开决算时，因事业单位没有机关运行经费支出，故</w:t>
      </w:r>
      <w:r>
        <w:rPr>
          <w:rFonts w:hint="eastAsia" w:ascii="仿宋_GB2312" w:hAnsi="ˎ̥" w:eastAsia="仿宋_GB2312"/>
          <w:sz w:val="32"/>
          <w:szCs w:val="32"/>
          <w:lang w:eastAsia="zh-CN"/>
        </w:rPr>
        <w:t>单位</w:t>
      </w:r>
      <w:r>
        <w:rPr>
          <w:rFonts w:hint="eastAsia" w:ascii="仿宋_GB2312" w:hAnsi="ˎ̥" w:eastAsia="仿宋_GB2312"/>
          <w:sz w:val="32"/>
          <w:szCs w:val="32"/>
        </w:rPr>
        <w:t>汇总的机关运行经费预算数应为</w:t>
      </w:r>
      <w:r>
        <w:rPr>
          <w:rFonts w:hint="eastAsia" w:ascii="仿宋_GB2312" w:hAnsi="ˎ̥" w:eastAsia="仿宋_GB2312"/>
          <w:sz w:val="32"/>
          <w:szCs w:val="32"/>
          <w:lang w:eastAsia="zh-CN"/>
        </w:rPr>
        <w:t>单位</w:t>
      </w:r>
      <w:r>
        <w:rPr>
          <w:rFonts w:hint="eastAsia" w:ascii="仿宋_GB2312" w:hAnsi="ˎ̥" w:eastAsia="仿宋_GB2312"/>
          <w:sz w:val="32"/>
          <w:szCs w:val="32"/>
        </w:rPr>
        <w:t>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32689_WPSOffice_Level2"/>
      <w:bookmarkStart w:id="102" w:name="_Toc13084_WPSOffice_Level2"/>
      <w:bookmarkStart w:id="103" w:name="_Toc3131_WPSOffice_Level2"/>
      <w:bookmarkStart w:id="104" w:name="_Toc30383_WPSOffice_Level2"/>
      <w:bookmarkStart w:id="105" w:name="_Toc23966_WPSOffice_Level2"/>
      <w:bookmarkStart w:id="106" w:name="_Toc25333_WPSOffice_Level2"/>
      <w:r>
        <w:rPr>
          <w:rFonts w:hint="eastAsia" w:ascii="楷体" w:hAnsi="楷体" w:eastAsia="楷体" w:cs="楷体"/>
          <w:bCs/>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lang w:eastAsia="zh-CN"/>
        </w:rPr>
        <w:t>单位</w:t>
      </w:r>
      <w:r>
        <w:rPr>
          <w:rFonts w:hint="eastAsia" w:ascii="仿宋_GB2312" w:hAnsi="ˎ̥" w:eastAsia="仿宋_GB2312"/>
          <w:sz w:val="32"/>
          <w:szCs w:val="32"/>
        </w:rPr>
        <w:t>政府采购支出总额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决算报表F03表《机构运行信息表》，授予中小企业和小微企业合同金额由各</w:t>
      </w:r>
      <w:r>
        <w:rPr>
          <w:rFonts w:hint="eastAsia" w:ascii="仿宋_GB2312" w:hAnsi="ˎ̥" w:eastAsia="仿宋_GB2312"/>
          <w:sz w:val="32"/>
          <w:szCs w:val="32"/>
          <w:lang w:eastAsia="zh-CN"/>
        </w:rPr>
        <w:t>单位</w:t>
      </w:r>
      <w:r>
        <w:rPr>
          <w:rFonts w:hint="eastAsia" w:ascii="仿宋_GB2312" w:hAnsi="ˎ̥" w:eastAsia="仿宋_GB2312"/>
          <w:sz w:val="32"/>
          <w:szCs w:val="32"/>
        </w:rPr>
        <w:t>查阅本</w:t>
      </w:r>
      <w:r>
        <w:rPr>
          <w:rFonts w:hint="eastAsia" w:ascii="仿宋_GB2312" w:hAnsi="ˎ̥" w:eastAsia="仿宋_GB2312"/>
          <w:sz w:val="32"/>
          <w:szCs w:val="32"/>
          <w:lang w:eastAsia="zh-CN"/>
        </w:rPr>
        <w:t>单位</w:t>
      </w:r>
      <w:r>
        <w:rPr>
          <w:rFonts w:hint="eastAsia" w:ascii="仿宋_GB2312" w:hAnsi="ˎ̥" w:eastAsia="仿宋_GB2312"/>
          <w:sz w:val="32"/>
          <w:szCs w:val="32"/>
        </w:rPr>
        <w:t>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6016_WPSOffice_Level2"/>
      <w:bookmarkStart w:id="108" w:name="_Toc527_WPSOffice_Level2"/>
      <w:bookmarkStart w:id="109" w:name="_Toc15129_WPSOffice_Level2"/>
      <w:bookmarkStart w:id="110" w:name="_Toc19989_WPSOffice_Level2"/>
      <w:bookmarkStart w:id="111" w:name="_Toc10902_WPSOffice_Level2"/>
      <w:bookmarkStart w:id="112" w:name="_Toc29584_WPSOffice_Level2"/>
      <w:r>
        <w:rPr>
          <w:rFonts w:hint="eastAsia" w:ascii="楷体" w:hAnsi="楷体" w:eastAsia="楷体" w:cs="楷体"/>
          <w:bCs/>
          <w:sz w:val="32"/>
          <w:szCs w:val="32"/>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w:t>
      </w:r>
      <w:r>
        <w:rPr>
          <w:rFonts w:hint="eastAsia" w:ascii="仿宋_GB2312" w:hAnsi="ˎ̥" w:eastAsia="仿宋_GB2312"/>
          <w:bCs/>
          <w:sz w:val="32"/>
          <w:szCs w:val="32"/>
          <w:lang w:eastAsia="zh-CN"/>
        </w:rPr>
        <w:t>单位</w:t>
      </w:r>
      <w:r>
        <w:rPr>
          <w:rFonts w:hint="eastAsia" w:ascii="仿宋_GB2312" w:hAnsi="ˎ̥" w:eastAsia="仿宋_GB2312"/>
          <w:bCs/>
          <w:sz w:val="32"/>
          <w:szCs w:val="32"/>
        </w:rPr>
        <w:t>拥有</w:t>
      </w:r>
      <w:r>
        <w:rPr>
          <w:rFonts w:hint="eastAsia" w:ascii="仿宋_GB2312" w:hAnsi="ˎ̥" w:eastAsia="仿宋_GB2312"/>
          <w:sz w:val="32"/>
          <w:szCs w:val="32"/>
        </w:rPr>
        <w:t>房屋面积</w:t>
      </w:r>
      <w:r>
        <w:rPr>
          <w:rFonts w:ascii="Times New Roman" w:hAnsi="ˎ̥" w:cs="Times New Roman"/>
          <w:sz w:val="32"/>
          <w:szCs w:val="32"/>
          <w:shd w:val="clear" w:color="auto" w:fill="FFFFFF"/>
        </w:rPr>
        <w:t>14537</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w:t>
      </w:r>
      <w:r>
        <w:rPr>
          <w:rFonts w:hint="eastAsia" w:ascii="仿宋_GB2312" w:hAnsi="ˎ̥" w:eastAsia="仿宋_GB2312"/>
          <w:sz w:val="32"/>
          <w:szCs w:val="32"/>
          <w:lang w:eastAsia="zh-CN"/>
        </w:rPr>
        <w:t>单位</w:t>
      </w:r>
      <w:r>
        <w:rPr>
          <w:rFonts w:hint="eastAsia" w:ascii="仿宋_GB2312" w:hAnsi="ˎ̥" w:eastAsia="仿宋_GB2312"/>
          <w:sz w:val="32"/>
          <w:szCs w:val="32"/>
        </w:rPr>
        <w:t>共有车辆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3" w:name="_Toc15425_WPSOffice_Level1"/>
      <w:bookmarkStart w:id="114" w:name="_Toc17580_WPSOffice_Level1"/>
      <w:bookmarkStart w:id="115" w:name="_Toc8874_WPSOffice_Level1"/>
      <w:bookmarkStart w:id="116" w:name="_Toc11039_WPSOffice_Level1"/>
      <w:bookmarkStart w:id="117" w:name="_Toc4398_WPSOffice_Level1"/>
      <w:bookmarkStart w:id="118" w:name="_Toc880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w:t>
      </w:r>
      <w:r>
        <w:rPr>
          <w:rFonts w:hint="eastAsia" w:ascii="仿宋_GB2312" w:hAnsi="ˎ̥" w:eastAsia="仿宋_GB2312"/>
          <w:sz w:val="32"/>
          <w:szCs w:val="32"/>
          <w:lang w:eastAsia="zh-CN"/>
        </w:rPr>
        <w:t>单位</w:t>
      </w:r>
      <w:r>
        <w:rPr>
          <w:rFonts w:hint="eastAsia" w:ascii="仿宋_GB2312" w:hAnsi="ˎ̥" w:eastAsia="仿宋_GB2312"/>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w:t>
      </w:r>
      <w:r>
        <w:rPr>
          <w:rFonts w:hint="eastAsia" w:ascii="仿宋_GB2312" w:hAnsi="ˎ̥" w:eastAsia="仿宋_GB2312"/>
          <w:sz w:val="32"/>
          <w:szCs w:val="32"/>
          <w:lang w:eastAsia="zh-CN"/>
        </w:rPr>
        <w:t>单位</w:t>
      </w:r>
      <w:r>
        <w:rPr>
          <w:rFonts w:hint="eastAsia" w:ascii="仿宋_GB2312" w:hAnsi="ˎ̥" w:eastAsia="仿宋_GB2312"/>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FangSong_GB2312">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5C39BEC7"/>
    <w:multiLevelType w:val="singleLevel"/>
    <w:tmpl w:val="5C39BEC7"/>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E232C43"/>
    <w:rsid w:val="0FC80124"/>
    <w:rsid w:val="136F98C7"/>
    <w:rsid w:val="17427E68"/>
    <w:rsid w:val="1755065F"/>
    <w:rsid w:val="1AFC29C9"/>
    <w:rsid w:val="1CA52F2E"/>
    <w:rsid w:val="1E3630B9"/>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5FC85DCD"/>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7196</Words>
  <Characters>8116</Characters>
  <Lines>67</Lines>
  <Paragraphs>18</Paragraphs>
  <TotalTime>0</TotalTime>
  <ScaleCrop>false</ScaleCrop>
  <LinksUpToDate>false</LinksUpToDate>
  <CharactersWithSpaces>8202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2025-10-27T03:00:20Z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eyJoZGlkIjoiOWRmNjY3NWRjNmYyYjAzYTRjM2ZmYzIwN2FlODgwMzYiLCJ1c2VySWQiOiI0MTAzNTM4MTgifQ==</vt:lpwstr>
  </property>
</Properties>
</file>