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rPr>
        <w:t>屯昌县南吕镇南吕中心小学2024年度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lang w:val="en-US" w:eastAsia="zh-CN"/>
        </w:rPr>
        <w:t>单位</w:t>
      </w:r>
      <w:bookmarkStart w:id="119" w:name="_GoBack"/>
      <w:bookmarkEnd w:id="119"/>
      <w:r>
        <w:rPr>
          <w:rFonts w:hint="eastAsia" w:ascii="方正小标宋_GBK" w:hAnsi="方正小标宋_GBK" w:eastAsia="方正小标宋_GBK" w:cs="方正小标宋_GBK"/>
          <w:b w:val="0"/>
          <w:bCs w:val="0"/>
          <w:color w:val="auto"/>
          <w:sz w:val="44"/>
          <w:szCs w:val="44"/>
        </w:rPr>
        <w:t>决算公开报告</w:t>
      </w:r>
    </w:p>
    <w:p>
      <w:pPr>
        <w:spacing w:line="578" w:lineRule="exact"/>
        <w:jc w:val="center"/>
        <w:rPr>
          <w:rFonts w:hint="eastAsia" w:ascii="黑体" w:hAnsi="ˎ̥" w:eastAsia="黑体"/>
          <w:b/>
          <w:color w:val="auto"/>
          <w:sz w:val="32"/>
          <w:szCs w:val="32"/>
        </w:rPr>
      </w:pPr>
    </w:p>
    <w:p>
      <w:pPr>
        <w:spacing w:line="578" w:lineRule="exact"/>
        <w:jc w:val="center"/>
        <w:rPr>
          <w:rFonts w:hint="eastAsia" w:ascii="黑体" w:hAnsi="黑体" w:eastAsia="黑体" w:cs="黑体"/>
          <w:color w:val="auto"/>
          <w:sz w:val="44"/>
          <w:szCs w:val="44"/>
        </w:rPr>
      </w:pPr>
      <w:bookmarkStart w:id="0" w:name="_Toc11440_WPSOffice_Type2"/>
      <w:r>
        <w:rPr>
          <w:rFonts w:hint="eastAsia" w:ascii="黑体" w:hAnsi="黑体" w:eastAsia="黑体" w:cs="黑体"/>
          <w:color w:val="auto"/>
          <w:sz w:val="44"/>
          <w:szCs w:val="44"/>
        </w:rPr>
        <w:t>目  录</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_Toc1704_WPSOffice_Level1 </w:instrText>
      </w:r>
      <w:r>
        <w:rPr>
          <w:color w:val="auto"/>
          <w:sz w:val="32"/>
          <w:szCs w:val="32"/>
        </w:rPr>
        <w:fldChar w:fldCharType="separate"/>
      </w:r>
      <w:r>
        <w:rPr>
          <w:rFonts w:hint="eastAsia" w:ascii="黑体" w:hAnsi="ˎ̥" w:eastAsia="黑体"/>
          <w:color w:val="auto"/>
          <w:sz w:val="32"/>
          <w:szCs w:val="32"/>
        </w:rPr>
        <w:t>第一部分 基本情况</w:t>
      </w:r>
      <w:r>
        <w:rPr>
          <w:color w:val="auto"/>
          <w:sz w:val="32"/>
          <w:szCs w:val="32"/>
        </w:rPr>
        <w:tab/>
      </w:r>
      <w:r>
        <w:rPr>
          <w:color w:val="auto"/>
          <w:sz w:val="32"/>
          <w:szCs w:val="32"/>
        </w:rPr>
        <w:fldChar w:fldCharType="end"/>
      </w:r>
      <w:r>
        <w:rPr>
          <w:rFonts w:hint="eastAsia"/>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_Toc20274_WPSOffice_Level2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一、单位职责</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_Toc4833_WPSOffice_Level2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二、机构设置</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_Toc28253_WPSOffice_Level1 </w:instrText>
      </w:r>
      <w:r>
        <w:rPr>
          <w:color w:val="auto"/>
          <w:sz w:val="32"/>
          <w:szCs w:val="32"/>
        </w:rPr>
        <w:fldChar w:fldCharType="separate"/>
      </w: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决算公开表</w:t>
      </w:r>
      <w:r>
        <w:rPr>
          <w:color w:val="auto"/>
          <w:sz w:val="32"/>
          <w:szCs w:val="32"/>
        </w:rPr>
        <w:tab/>
      </w:r>
      <w:r>
        <w:rPr>
          <w:color w:val="auto"/>
          <w:sz w:val="32"/>
          <w:szCs w:val="32"/>
        </w:rPr>
        <w:fldChar w:fldCharType="end"/>
      </w:r>
      <w:r>
        <w:rPr>
          <w:rFonts w:hint="eastAsia"/>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_Toc27590_WPSOffice_Level1 </w:instrText>
      </w:r>
      <w:r>
        <w:rPr>
          <w:color w:val="auto"/>
          <w:sz w:val="32"/>
          <w:szCs w:val="32"/>
        </w:rPr>
        <w:fldChar w:fldCharType="separate"/>
      </w:r>
      <w:r>
        <w:rPr>
          <w:rFonts w:hint="eastAsia" w:ascii="黑体" w:hAnsi="黑体" w:eastAsia="黑体" w:cs="黑体"/>
          <w:color w:val="auto"/>
          <w:sz w:val="32"/>
          <w:szCs w:val="32"/>
        </w:rPr>
        <w:t>第三部分</w:t>
      </w:r>
      <w:r>
        <w:rPr>
          <w:rFonts w:hint="eastAsia"/>
          <w:color w:val="auto"/>
          <w:sz w:val="32"/>
          <w:szCs w:val="32"/>
        </w:rPr>
        <w:t xml:space="preserve">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决算情况说明</w:t>
      </w:r>
      <w:r>
        <w:rPr>
          <w:color w:val="auto"/>
          <w:sz w:val="32"/>
          <w:szCs w:val="32"/>
        </w:rPr>
        <w:tab/>
      </w:r>
      <w:r>
        <w:rPr>
          <w:color w:val="auto"/>
          <w:sz w:val="32"/>
          <w:szCs w:val="32"/>
        </w:rPr>
        <w:fldChar w:fldCharType="end"/>
      </w:r>
      <w:r>
        <w:rPr>
          <w:rFonts w:hint="eastAsia"/>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_Toc21737_WPSOffice_Level2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一、收入支出总体情况说明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二、收入决算情况说明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三、支出决算情况说明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四、财政拨款收入支出决算</w:t>
      </w:r>
      <w:r>
        <w:rPr>
          <w:rFonts w:hint="eastAsia" w:ascii="仿宋" w:hAnsi="仿宋" w:eastAsia="仿宋" w:cs="仿宋"/>
          <w:bCs/>
          <w:color w:val="auto"/>
          <w:sz w:val="32"/>
          <w:szCs w:val="32"/>
          <w:lang w:val="en-US" w:eastAsia="zh-CN"/>
        </w:rPr>
        <w:t>总体</w:t>
      </w:r>
      <w:r>
        <w:rPr>
          <w:rFonts w:hint="eastAsia" w:ascii="仿宋" w:hAnsi="仿宋" w:eastAsia="仿宋" w:cs="仿宋"/>
          <w:bCs/>
          <w:color w:val="auto"/>
          <w:sz w:val="32"/>
          <w:szCs w:val="32"/>
        </w:rPr>
        <w:t>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五、一般公共预算财政拨款支出决算情况说明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5</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六、一般公共预算财政拨款基本支出决算情况说明</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ab/>
      </w:r>
      <w:r>
        <w:rPr>
          <w:rFonts w:hint="eastAsia" w:ascii="仿宋" w:hAnsi="仿宋" w:eastAsia="仿宋" w:cs="仿宋"/>
          <w:color w:val="auto"/>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政府性基金预算财政拨款支出决算情况说明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国有资本经营预算财政拨款支出决算情况说明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8</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九、财政拨款“三公”经费支出决算情况说明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9</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十、预算绩效情况说明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11</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十一、其他重要事项情况说明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13</w:t>
      </w:r>
    </w:p>
    <w:p>
      <w:pPr>
        <w:pStyle w:val="15"/>
        <w:tabs>
          <w:tab w:val="right" w:leader="dot" w:pos="8306"/>
        </w:tabs>
        <w:spacing w:line="578" w:lineRule="exact"/>
        <w:rPr>
          <w:rFonts w:hint="eastAsia" w:ascii="黑体" w:hAnsi="ˎ̥"/>
          <w:b/>
          <w:color w:val="auto"/>
          <w:sz w:val="32"/>
          <w:szCs w:val="32"/>
        </w:rPr>
      </w:pPr>
      <w:r>
        <w:rPr>
          <w:color w:val="auto"/>
          <w:sz w:val="32"/>
          <w:szCs w:val="32"/>
        </w:rPr>
        <w:fldChar w:fldCharType="begin"/>
      </w:r>
      <w:r>
        <w:rPr>
          <w:color w:val="auto"/>
          <w:sz w:val="32"/>
          <w:szCs w:val="32"/>
        </w:rPr>
        <w:instrText xml:space="preserve"> HYPERLINK \l _Toc15425_WPSOffice_Level1 </w:instrText>
      </w:r>
      <w:r>
        <w:rPr>
          <w:color w:val="auto"/>
          <w:sz w:val="32"/>
          <w:szCs w:val="32"/>
        </w:rPr>
        <w:fldChar w:fldCharType="separate"/>
      </w:r>
      <w:r>
        <w:rPr>
          <w:rFonts w:hint="eastAsia" w:ascii="黑体" w:hAnsi="ˎ̥" w:eastAsia="黑体"/>
          <w:color w:val="auto"/>
          <w:sz w:val="32"/>
          <w:szCs w:val="32"/>
        </w:rPr>
        <w:t>第四部分  名词解释</w:t>
      </w:r>
      <w:r>
        <w:rPr>
          <w:color w:val="auto"/>
          <w:sz w:val="32"/>
          <w:szCs w:val="32"/>
        </w:rPr>
        <w:tab/>
      </w:r>
      <w:bookmarkStart w:id="1" w:name="_Toc15425_WPSOffice_Level1Page"/>
      <w:r>
        <w:rPr>
          <w:color w:val="auto"/>
          <w:sz w:val="32"/>
          <w:szCs w:val="32"/>
        </w:rPr>
        <w:t>1</w:t>
      </w:r>
      <w:bookmarkEnd w:id="1"/>
      <w:r>
        <w:rPr>
          <w:color w:val="auto"/>
          <w:sz w:val="32"/>
          <w:szCs w:val="32"/>
        </w:rPr>
        <w:fldChar w:fldCharType="end"/>
      </w:r>
      <w:bookmarkEnd w:id="0"/>
      <w:r>
        <w:rPr>
          <w:rFonts w:hint="eastAsia"/>
          <w:color w:val="auto"/>
          <w:sz w:val="32"/>
          <w:szCs w:val="32"/>
        </w:rPr>
        <w:t>5</w:t>
      </w:r>
    </w:p>
    <w:p>
      <w:pPr>
        <w:spacing w:line="578" w:lineRule="exact"/>
        <w:jc w:val="both"/>
        <w:rPr>
          <w:rFonts w:hint="eastAsia" w:ascii="黑体" w:hAnsi="ˎ̥" w:eastAsia="黑体"/>
          <w:color w:val="auto"/>
          <w:sz w:val="32"/>
          <w:szCs w:val="32"/>
        </w:rPr>
      </w:pPr>
      <w:bookmarkStart w:id="2" w:name="_Toc10720_WPSOffice_Level1"/>
      <w:bookmarkStart w:id="3" w:name="_Toc1704_WPSOffice_Level1"/>
      <w:bookmarkStart w:id="4" w:name="_Toc23465_WPSOffice_Level1"/>
      <w:bookmarkStart w:id="5" w:name="_Toc32433_WPSOffice_Level1"/>
      <w:bookmarkStart w:id="6" w:name="_Toc10049_WPSOffice_Level1"/>
      <w:bookmarkStart w:id="7" w:name="_Toc22941_WPSOffice_Level1"/>
      <w:bookmarkStart w:id="8" w:name="_Toc24238_WPSOffice_Level2"/>
      <w:bookmarkStart w:id="9" w:name="_Toc20274_WPSOffice_Level2"/>
      <w:bookmarkStart w:id="10" w:name="_Toc20205_WPSOffice_Level2"/>
      <w:bookmarkStart w:id="11" w:name="_Toc32622_WPSOffice_Level2"/>
      <w:bookmarkStart w:id="12" w:name="_Toc26580_WPSOffice_Level2"/>
      <w:bookmarkStart w:id="13" w:name="_Toc14159_WPSOffice_Level2"/>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第一部分  </w:t>
      </w:r>
      <w:bookmarkEnd w:id="2"/>
      <w:bookmarkEnd w:id="3"/>
      <w:bookmarkEnd w:id="4"/>
      <w:bookmarkEnd w:id="5"/>
      <w:bookmarkEnd w:id="6"/>
      <w:bookmarkEnd w:id="7"/>
      <w:r>
        <w:rPr>
          <w:rFonts w:hint="eastAsia" w:ascii="黑体" w:hAnsi="ˎ̥" w:eastAsia="黑体"/>
          <w:color w:val="auto"/>
          <w:sz w:val="32"/>
          <w:szCs w:val="32"/>
        </w:rPr>
        <w:t>基本情况</w:t>
      </w:r>
    </w:p>
    <w:p>
      <w:pPr>
        <w:spacing w:line="578" w:lineRule="exact"/>
        <w:ind w:firstLine="640" w:firstLineChars="200"/>
        <w:rPr>
          <w:rFonts w:hint="eastAsia" w:ascii="楷体" w:hAnsi="楷体" w:eastAsia="楷体" w:cs="楷体"/>
          <w:color w:val="auto"/>
          <w:sz w:val="32"/>
          <w:szCs w:val="32"/>
        </w:rPr>
      </w:pPr>
    </w:p>
    <w:bookmarkEnd w:id="8"/>
    <w:p>
      <w:pPr>
        <w:numPr>
          <w:ilvl w:val="0"/>
          <w:numId w:val="2"/>
        </w:numPr>
        <w:spacing w:line="578"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lang w:eastAsia="zh-CN"/>
        </w:rPr>
        <w:t>单位</w:t>
      </w:r>
      <w:r>
        <w:rPr>
          <w:rFonts w:hint="eastAsia" w:ascii="黑体" w:hAnsi="黑体" w:eastAsia="黑体" w:cs="黑体"/>
          <w:color w:val="auto"/>
          <w:sz w:val="32"/>
          <w:szCs w:val="32"/>
        </w:rPr>
        <w:t>职责</w:t>
      </w:r>
      <w:bookmarkEnd w:id="9"/>
      <w:bookmarkEnd w:id="10"/>
      <w:bookmarkEnd w:id="11"/>
      <w:bookmarkEnd w:id="12"/>
      <w:bookmarkEnd w:id="13"/>
    </w:p>
    <w:p>
      <w:pPr>
        <w:numPr>
          <w:ilvl w:val="0"/>
          <w:numId w:val="0"/>
        </w:numPr>
        <w:spacing w:line="578" w:lineRule="exact"/>
        <w:ind w:firstLine="560" w:firstLineChars="200"/>
        <w:rPr>
          <w:rFonts w:hint="eastAsia" w:ascii="黑体" w:hAnsi="黑体" w:eastAsia="黑体" w:cs="黑体"/>
          <w:color w:val="auto"/>
          <w:sz w:val="32"/>
          <w:szCs w:val="32"/>
        </w:rPr>
      </w:pPr>
      <w:r>
        <w:rPr>
          <w:rFonts w:hint="eastAsia" w:ascii="宋体" w:hAnsi="宋体" w:eastAsia="宋体" w:cs="宋体"/>
          <w:color w:val="auto"/>
          <w:kern w:val="0"/>
          <w:sz w:val="28"/>
          <w:szCs w:val="28"/>
        </w:rPr>
        <w:t>屯昌县南吕镇南吕中心小学是一所乡镇中心小学。其主要职责：实施全镇适龄儿童的义务教育，促进基础教育发展。</w:t>
      </w:r>
    </w:p>
    <w:p>
      <w:pPr>
        <w:spacing w:line="578" w:lineRule="exact"/>
        <w:ind w:firstLine="640" w:firstLineChars="200"/>
        <w:rPr>
          <w:rFonts w:hint="eastAsia" w:ascii="黑体" w:hAnsi="黑体" w:eastAsia="黑体" w:cs="黑体"/>
          <w:color w:val="auto"/>
          <w:sz w:val="32"/>
          <w:szCs w:val="32"/>
        </w:rPr>
      </w:pPr>
      <w:bookmarkStart w:id="14" w:name="_Toc17796_WPSOffice_Level2"/>
      <w:bookmarkStart w:id="15" w:name="_Toc24474_WPSOffice_Level2"/>
      <w:bookmarkStart w:id="16" w:name="_Toc24059_WPSOffice_Level2"/>
      <w:bookmarkStart w:id="17" w:name="_Toc6572_WPSOffice_Level2"/>
      <w:bookmarkStart w:id="18" w:name="_Toc4833_WPSOffice_Level2"/>
      <w:r>
        <w:rPr>
          <w:rFonts w:hint="eastAsia" w:ascii="黑体" w:hAnsi="黑体" w:eastAsia="黑体" w:cs="黑体"/>
          <w:color w:val="auto"/>
          <w:sz w:val="32"/>
          <w:szCs w:val="32"/>
        </w:rPr>
        <w:t>二、机构设置</w:t>
      </w:r>
      <w:bookmarkEnd w:id="14"/>
      <w:bookmarkEnd w:id="15"/>
      <w:bookmarkEnd w:id="16"/>
      <w:bookmarkEnd w:id="17"/>
      <w:bookmarkEnd w:id="18"/>
    </w:p>
    <w:p>
      <w:pPr>
        <w:keepNext w:val="0"/>
        <w:keepLines w:val="0"/>
        <w:widowControl/>
        <w:suppressLineNumbers w:val="0"/>
        <w:spacing w:before="0" w:beforeAutospacing="1" w:after="0" w:afterAutospacing="1"/>
        <w:ind w:left="0" w:right="0" w:firstLine="560" w:firstLineChars="200"/>
        <w:rPr>
          <w:rFonts w:hint="eastAsia" w:ascii="黑体" w:hAnsi="ˎ̥" w:eastAsia="黑体"/>
          <w:color w:val="auto"/>
          <w:sz w:val="32"/>
          <w:szCs w:val="32"/>
        </w:rPr>
      </w:pPr>
      <w:bookmarkStart w:id="19" w:name="_Toc15521_WPSOffice_Level1"/>
      <w:bookmarkStart w:id="20" w:name="_Toc8164_WPSOffice_Level1"/>
      <w:bookmarkStart w:id="21" w:name="_Toc6234_WPSOffice_Level1"/>
      <w:bookmarkStart w:id="22" w:name="_Toc30690_WPSOffice_Level1"/>
      <w:bookmarkStart w:id="23" w:name="_Toc30451_WPSOffice_Level1"/>
      <w:bookmarkStart w:id="24" w:name="_Toc28253_WPSOffice_Level1"/>
      <w:bookmarkStart w:id="25" w:name="_Toc32695_WPSOffice_Level2"/>
      <w:bookmarkStart w:id="26" w:name="_Toc32472_WPSOffice_Level2"/>
      <w:bookmarkStart w:id="27" w:name="_Toc4029_WPSOffice_Level2"/>
      <w:bookmarkStart w:id="28" w:name="_Toc8867_WPSOffice_Level2"/>
      <w:bookmarkStart w:id="29" w:name="_Toc6211_WPSOffice_Level2"/>
      <w:bookmarkStart w:id="30" w:name="_Toc11518_WPSOffice_Level2"/>
      <w:r>
        <w:rPr>
          <w:rFonts w:hint="eastAsia" w:ascii="宋体" w:hAnsi="宋体" w:eastAsia="宋体" w:cs="宋体"/>
          <w:color w:val="auto"/>
          <w:kern w:val="0"/>
          <w:sz w:val="28"/>
          <w:szCs w:val="28"/>
        </w:rPr>
        <w:t>屯昌县南吕镇南吕中心小学管辖区内共有9所村完全小学。</w:t>
      </w:r>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color w:val="auto"/>
          <w:sz w:val="32"/>
          <w:szCs w:val="32"/>
        </w:rPr>
      </w:pPr>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color w:val="auto"/>
          <w:sz w:val="32"/>
          <w:szCs w:val="32"/>
        </w:rPr>
      </w:pPr>
      <w:bookmarkStart w:id="31" w:name="_Toc25608_WPSOffice_Level2"/>
      <w:bookmarkStart w:id="32" w:name="_Toc26621_WPSOffice_Level2"/>
      <w:bookmarkStart w:id="33" w:name="_Toc28622_WPSOffice_Level2"/>
      <w:bookmarkStart w:id="34" w:name="_Toc14349_WPSOffice_Level2"/>
      <w:bookmarkStart w:id="35" w:name="_Toc30334_WPSOffice_Level2"/>
      <w:bookmarkStart w:id="36" w:name="_Toc23139_WPSOffice_Level2"/>
      <w:r>
        <w:rPr>
          <w:rFonts w:hint="eastAsia" w:ascii="黑体" w:hAnsi="黑体" w:eastAsia="黑体" w:cs="黑体"/>
          <w:color w:val="auto"/>
          <w:sz w:val="32"/>
          <w:szCs w:val="32"/>
        </w:rPr>
        <w:t>二、收入决算公开表</w:t>
      </w:r>
      <w:bookmarkEnd w:id="31"/>
      <w:bookmarkEnd w:id="32"/>
      <w:bookmarkEnd w:id="33"/>
      <w:bookmarkEnd w:id="34"/>
      <w:bookmarkEnd w:id="35"/>
      <w:bookmarkEnd w:id="36"/>
      <w:bookmarkStart w:id="37" w:name="_Toc13854_WPSOffice_Level2"/>
      <w:bookmarkStart w:id="38" w:name="_Toc17858_WPSOffice_Level2"/>
      <w:bookmarkStart w:id="39" w:name="_Toc14658_WPSOffice_Level2"/>
      <w:bookmarkStart w:id="40" w:name="_Toc17626_WPSOffice_Level2"/>
      <w:bookmarkStart w:id="41" w:name="_Toc3262_WPSOffice_Level2"/>
      <w:bookmarkStart w:id="42" w:name="_Toc5489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三、支出决算公开表</w:t>
      </w:r>
      <w:bookmarkEnd w:id="37"/>
      <w:bookmarkEnd w:id="38"/>
      <w:bookmarkEnd w:id="39"/>
      <w:bookmarkEnd w:id="40"/>
      <w:bookmarkEnd w:id="41"/>
      <w:bookmarkEnd w:id="42"/>
      <w:bookmarkStart w:id="43" w:name="_Toc13701_WPSOffice_Level2"/>
      <w:bookmarkStart w:id="44" w:name="_Toc4265_WPSOffice_Level2"/>
      <w:bookmarkStart w:id="45" w:name="_Toc23493_WPSOffice_Level2"/>
      <w:bookmarkStart w:id="46" w:name="_Toc23591_WPSOffice_Level2"/>
      <w:bookmarkStart w:id="47" w:name="_Toc21415_WPSOffice_Level2"/>
      <w:bookmarkStart w:id="48" w:name="_Toc7988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color w:val="auto"/>
          <w:sz w:val="32"/>
          <w:szCs w:val="32"/>
        </w:rPr>
      </w:pPr>
      <w:bookmarkStart w:id="49" w:name="_Toc7879_WPSOffice_Level2"/>
      <w:bookmarkStart w:id="50" w:name="_Toc25166_WPSOffice_Level2"/>
      <w:bookmarkStart w:id="51" w:name="_Toc23829_WPSOffice_Level2"/>
      <w:bookmarkStart w:id="52" w:name="_Toc22783_WPSOffice_Level2"/>
      <w:bookmarkStart w:id="53" w:name="_Toc13516_WPSOffice_Level2"/>
      <w:bookmarkStart w:id="54" w:name="_Toc2158_WPSOffice_Level2"/>
      <w:r>
        <w:rPr>
          <w:rFonts w:hint="eastAsia" w:ascii="黑体" w:hAnsi="黑体" w:eastAsia="黑体" w:cs="黑体"/>
          <w:color w:val="auto"/>
          <w:sz w:val="32"/>
          <w:szCs w:val="32"/>
        </w:rPr>
        <w:t>五、一般公共预算财政拨款收入支出决算</w:t>
      </w:r>
      <w:bookmarkEnd w:id="49"/>
      <w:bookmarkEnd w:id="50"/>
      <w:bookmarkEnd w:id="51"/>
      <w:bookmarkEnd w:id="52"/>
      <w:r>
        <w:rPr>
          <w:rFonts w:hint="eastAsia" w:ascii="黑体" w:hAnsi="黑体" w:eastAsia="黑体" w:cs="黑体"/>
          <w:color w:val="auto"/>
          <w:sz w:val="32"/>
          <w:szCs w:val="32"/>
        </w:rPr>
        <w:t>公开表</w:t>
      </w:r>
      <w:bookmarkEnd w:id="53"/>
      <w:bookmarkEnd w:id="54"/>
      <w:bookmarkStart w:id="55" w:name="_Toc8373_WPSOffice_Level2"/>
      <w:bookmarkStart w:id="56" w:name="_Toc25362_WPSOffice_Level2"/>
      <w:bookmarkStart w:id="57" w:name="_Toc17833_WPSOffice_Level2"/>
      <w:bookmarkStart w:id="58" w:name="_Toc2632_WPSOffice_Level2"/>
      <w:bookmarkStart w:id="59" w:name="_Toc5343_WPSOffice_Level2"/>
      <w:bookmarkStart w:id="60" w:name="_Toc17283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bookmarkStart w:id="61" w:name="_Toc13345_WPSOffice_Level2"/>
      <w:bookmarkStart w:id="62" w:name="_Toc11799_WPSOffice_Level2"/>
      <w:bookmarkStart w:id="63" w:name="_Toc1533_WPSOffice_Level2"/>
      <w:bookmarkStart w:id="64" w:name="_Toc21310_WPSOffice_Level2"/>
      <w:bookmarkStart w:id="65" w:name="_Toc6020_WPSOffice_Level2"/>
      <w:bookmarkStart w:id="66" w:name="_Toc5594_WPSOffice_Level2"/>
      <w:r>
        <w:rPr>
          <w:rFonts w:hint="eastAsia" w:ascii="黑体" w:hAnsi="黑体" w:eastAsia="黑体" w:cs="黑体"/>
          <w:color w:val="auto"/>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r>
        <w:rPr>
          <w:rFonts w:hint="eastAsia" w:ascii="黑体" w:hAnsi="黑体" w:eastAsia="黑体" w:cs="黑体"/>
          <w:color w:val="auto"/>
          <w:sz w:val="32"/>
          <w:szCs w:val="32"/>
        </w:rPr>
        <w:t>八、国有资本经营预算财政拨款收入支出决算公开表</w:t>
      </w:r>
    </w:p>
    <w:p>
      <w:pPr>
        <w:spacing w:line="578" w:lineRule="exact"/>
        <w:ind w:firstLine="640"/>
        <w:rPr>
          <w:rFonts w:hint="eastAsia" w:ascii="黑体" w:hAnsi="黑体" w:eastAsia="黑体" w:cs="黑体"/>
          <w:color w:val="auto"/>
          <w:sz w:val="32"/>
          <w:szCs w:val="32"/>
        </w:rPr>
      </w:pPr>
      <w:bookmarkStart w:id="67" w:name="_Toc1820_WPSOffice_Level2"/>
      <w:bookmarkStart w:id="68" w:name="_Toc9377_WPSOffice_Level2"/>
      <w:bookmarkStart w:id="69" w:name="_Toc29886_WPSOffice_Level2"/>
      <w:bookmarkStart w:id="70" w:name="_Toc19961_WPSOffice_Level2"/>
      <w:r>
        <w:rPr>
          <w:rFonts w:hint="eastAsia" w:ascii="黑体" w:hAnsi="黑体" w:eastAsia="黑体" w:cs="黑体"/>
          <w:color w:val="auto"/>
          <w:sz w:val="32"/>
          <w:szCs w:val="32"/>
        </w:rPr>
        <w:t>九、财政拨款“三公”经费支出决算</w:t>
      </w:r>
      <w:bookmarkEnd w:id="67"/>
      <w:bookmarkEnd w:id="68"/>
      <w:bookmarkEnd w:id="69"/>
      <w:bookmarkEnd w:id="70"/>
      <w:r>
        <w:rPr>
          <w:rFonts w:hint="eastAsia" w:ascii="黑体" w:hAnsi="黑体" w:eastAsia="黑体" w:cs="黑体"/>
          <w:color w:val="auto"/>
          <w:sz w:val="32"/>
          <w:szCs w:val="32"/>
        </w:rPr>
        <w:t>公开表</w:t>
      </w:r>
    </w:p>
    <w:p>
      <w:pPr>
        <w:spacing w:line="578" w:lineRule="exact"/>
        <w:ind w:firstLine="640"/>
        <w:rPr>
          <w:rFonts w:hint="eastAsia" w:ascii="仿宋" w:hAnsi="仿宋" w:eastAsia="仿宋" w:cs="仿宋"/>
          <w:color w:val="auto"/>
          <w:w w:val="100"/>
          <w:sz w:val="32"/>
          <w:szCs w:val="32"/>
        </w:rPr>
      </w:pPr>
      <w:r>
        <w:rPr>
          <w:rFonts w:hint="eastAsia" w:ascii="仿宋" w:hAnsi="仿宋" w:eastAsia="仿宋" w:cs="仿宋"/>
          <w:color w:val="auto"/>
          <w:w w:val="100"/>
          <w:sz w:val="32"/>
          <w:szCs w:val="32"/>
        </w:rPr>
        <w:t xml:space="preserve">以上报表见附件1。   </w:t>
      </w:r>
    </w:p>
    <w:p>
      <w:pPr>
        <w:spacing w:line="578" w:lineRule="exact"/>
        <w:ind w:firstLine="640"/>
        <w:rPr>
          <w:rFonts w:hint="eastAsia" w:ascii="仿宋" w:hAnsi="仿宋" w:eastAsia="仿宋" w:cs="仿宋"/>
          <w:color w:val="auto"/>
          <w:w w:val="100"/>
          <w:sz w:val="32"/>
          <w:szCs w:val="32"/>
        </w:rPr>
      </w:pPr>
    </w:p>
    <w:p>
      <w:pPr>
        <w:spacing w:line="578" w:lineRule="exact"/>
        <w:rPr>
          <w:rFonts w:hint="eastAsia" w:ascii="黑体" w:hAnsi="黑体" w:eastAsia="黑体" w:cs="黑体"/>
          <w:color w:val="auto"/>
          <w:sz w:val="32"/>
          <w:szCs w:val="32"/>
        </w:rPr>
      </w:pPr>
    </w:p>
    <w:p>
      <w:pPr>
        <w:spacing w:line="578" w:lineRule="exact"/>
        <w:jc w:val="center"/>
        <w:rPr>
          <w:rFonts w:hint="eastAsia" w:ascii="黑体" w:hAnsi="ˎ̥" w:eastAsia="黑体"/>
          <w:color w:val="auto"/>
          <w:sz w:val="32"/>
          <w:szCs w:val="32"/>
        </w:rPr>
      </w:pPr>
      <w:bookmarkStart w:id="71" w:name="_Toc16686_WPSOffice_Level1"/>
      <w:bookmarkStart w:id="72" w:name="_Toc27590_WPSOffice_Level1"/>
      <w:bookmarkStart w:id="73" w:name="_Toc4402_WPSOffice_Level1"/>
      <w:bookmarkStart w:id="74" w:name="_Toc31264_WPSOffice_Level1"/>
      <w:bookmarkStart w:id="75" w:name="_Toc28629_WPSOffice_Level1"/>
      <w:bookmarkStart w:id="76" w:name="_Toc29683_WPSOffice_Level1"/>
      <w:r>
        <w:rPr>
          <w:rFonts w:hint="eastAsia" w:ascii="黑体" w:hAnsi="ˎ̥" w:eastAsia="黑体"/>
          <w:color w:val="auto"/>
          <w:sz w:val="32"/>
          <w:szCs w:val="32"/>
        </w:rPr>
        <w:t xml:space="preserve">第三部分  </w:t>
      </w:r>
      <w:r>
        <w:rPr>
          <w:rFonts w:hint="default" w:ascii="黑体" w:hAnsi="ˎ̥" w:eastAsia="黑体"/>
          <w:color w:val="auto"/>
          <w:sz w:val="32"/>
          <w:szCs w:val="32"/>
          <w:lang w:val="en-US"/>
        </w:rPr>
        <w:t>2024</w:t>
      </w:r>
      <w:r>
        <w:rPr>
          <w:rFonts w:hint="eastAsia" w:ascii="黑体" w:hAnsi="ˎ̥" w:eastAsia="黑体"/>
          <w:color w:val="auto"/>
          <w:sz w:val="32"/>
          <w:szCs w:val="32"/>
        </w:rPr>
        <w:t>年度</w:t>
      </w:r>
      <w:r>
        <w:rPr>
          <w:rFonts w:hint="eastAsia" w:ascii="黑体" w:hAnsi="ˎ̥" w:eastAsia="黑体"/>
          <w:color w:val="auto"/>
          <w:sz w:val="32"/>
          <w:szCs w:val="32"/>
          <w:lang w:eastAsia="zh-CN"/>
        </w:rPr>
        <w:t>单位</w:t>
      </w:r>
      <w:r>
        <w:rPr>
          <w:rFonts w:hint="eastAsia" w:ascii="黑体" w:hAnsi="ˎ̥" w:eastAsia="黑体"/>
          <w:color w:val="auto"/>
          <w:sz w:val="32"/>
          <w:szCs w:val="32"/>
        </w:rPr>
        <w:t>决算情况说明</w:t>
      </w:r>
      <w:bookmarkEnd w:id="71"/>
      <w:bookmarkEnd w:id="72"/>
      <w:bookmarkEnd w:id="73"/>
      <w:bookmarkEnd w:id="74"/>
      <w:bookmarkEnd w:id="75"/>
      <w:bookmarkEnd w:id="76"/>
    </w:p>
    <w:p>
      <w:pPr>
        <w:spacing w:line="578" w:lineRule="exact"/>
        <w:jc w:val="center"/>
        <w:rPr>
          <w:rFonts w:hint="eastAsia" w:ascii="黑体" w:hAnsi="ˎ̥" w:eastAsia="黑体"/>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黑体" w:hAnsi="黑体" w:eastAsia="黑体" w:cs="黑体"/>
          <w:bCs/>
          <w:color w:val="auto"/>
          <w:sz w:val="32"/>
          <w:szCs w:val="32"/>
        </w:rPr>
        <w:t>一、收入支出总体情况说明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eastAsia="zh-CN"/>
        </w:rPr>
        <w:t>3,301.39</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eastAsia="zh-CN"/>
        </w:rPr>
        <w:t>3,301.39</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年度相比，收入、支出总计各增加</w:t>
      </w:r>
      <w:r>
        <w:rPr>
          <w:rFonts w:hint="eastAsia" w:ascii="仿宋_GB2312" w:hAnsi="ˎ̥" w:eastAsia="仿宋_GB2312"/>
          <w:color w:val="auto"/>
          <w:sz w:val="32"/>
          <w:szCs w:val="32"/>
          <w:lang w:val="en-US" w:eastAsia="zh-CN"/>
        </w:rPr>
        <w:t>41.95</w:t>
      </w:r>
      <w:r>
        <w:rPr>
          <w:rFonts w:hint="eastAsia" w:ascii="仿宋_GB2312" w:hAnsi="ˎ̥" w:eastAsia="仿宋_GB2312"/>
          <w:color w:val="auto"/>
          <w:sz w:val="32"/>
          <w:szCs w:val="32"/>
        </w:rPr>
        <w:t>万元，增长</w:t>
      </w:r>
      <w:r>
        <w:rPr>
          <w:rFonts w:hint="eastAsia" w:ascii="仿宋_GB2312" w:hAnsi="ˎ̥" w:eastAsia="仿宋_GB2312"/>
          <w:color w:val="auto"/>
          <w:sz w:val="32"/>
          <w:szCs w:val="32"/>
          <w:lang w:val="en-US" w:eastAsia="zh-CN"/>
        </w:rPr>
        <w:t>1.29</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val="en-US" w:eastAsia="zh-CN"/>
        </w:rPr>
        <w:t>人员薪资增加。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3,278.20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23.18</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课后服务收费、</w:t>
      </w:r>
      <w:r>
        <w:rPr>
          <w:rFonts w:hint="default" w:ascii="仿宋_GB2312" w:hAnsi="ˎ̥" w:eastAsia="仿宋_GB2312" w:cs="仿宋_GB2312"/>
          <w:color w:val="auto"/>
          <w:kern w:val="0"/>
          <w:sz w:val="32"/>
          <w:szCs w:val="32"/>
          <w:shd w:val="clear" w:fill="FFFFFF"/>
        </w:rPr>
        <w:t>非税收入（学前班）</w:t>
      </w:r>
      <w:r>
        <w:rPr>
          <w:rFonts w:hint="eastAsia" w:ascii="仿宋_GB2312" w:hAnsi="ˎ̥" w:eastAsia="仿宋_GB2312" w:cs="仿宋_GB2312"/>
          <w:color w:val="auto"/>
          <w:kern w:val="0"/>
          <w:sz w:val="32"/>
          <w:szCs w:val="32"/>
          <w:shd w:val="clear" w:fill="FFFFFF"/>
          <w:lang w:val="en-US" w:eastAsia="zh-CN"/>
        </w:rPr>
        <w:t>等</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3,290.12</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11.27</w:t>
      </w:r>
      <w:r>
        <w:rPr>
          <w:rFonts w:hint="eastAsia" w:ascii="仿宋_GB2312" w:hAnsi="ˎ̥" w:eastAsia="仿宋_GB2312"/>
          <w:color w:val="auto"/>
          <w:sz w:val="32"/>
          <w:szCs w:val="32"/>
        </w:rPr>
        <w:t>万元，主要是</w:t>
      </w:r>
      <w:r>
        <w:rPr>
          <w:rFonts w:hint="eastAsia" w:ascii="仿宋_GB2312" w:hAnsi="ˎ̥" w:eastAsia="仿宋_GB2312"/>
          <w:color w:val="auto"/>
          <w:sz w:val="32"/>
          <w:szCs w:val="32"/>
          <w:lang w:val="en-US" w:eastAsia="zh-CN"/>
        </w:rPr>
        <w:t>课后服务收费、</w:t>
      </w:r>
      <w:r>
        <w:rPr>
          <w:rFonts w:hint="default" w:ascii="仿宋_GB2312" w:hAnsi="ˎ̥" w:eastAsia="仿宋_GB2312" w:cs="仿宋_GB2312"/>
          <w:color w:val="auto"/>
          <w:kern w:val="0"/>
          <w:sz w:val="32"/>
          <w:szCs w:val="32"/>
          <w:shd w:val="clear" w:fill="FFFFFF"/>
        </w:rPr>
        <w:t>非税收入（学前班）</w:t>
      </w:r>
      <w:r>
        <w:rPr>
          <w:rFonts w:hint="eastAsia" w:ascii="仿宋_GB2312" w:hAnsi="ˎ̥" w:eastAsia="仿宋_GB2312" w:cs="仿宋_GB2312"/>
          <w:color w:val="auto"/>
          <w:kern w:val="0"/>
          <w:sz w:val="32"/>
          <w:szCs w:val="32"/>
          <w:shd w:val="clear" w:fill="FFFFFF"/>
          <w:lang w:val="en-US" w:eastAsia="zh-CN"/>
        </w:rPr>
        <w:t>等</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年度相关决算数据可取自附件财决公开01、02</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03</w:t>
      </w:r>
      <w:r>
        <w:rPr>
          <w:rFonts w:hint="eastAsia" w:ascii="仿宋_GB2312" w:hAnsi="ˎ̥" w:eastAsia="仿宋_GB2312"/>
          <w:color w:val="auto"/>
          <w:sz w:val="32"/>
          <w:szCs w:val="32"/>
        </w:rPr>
        <w:t>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年度相关决算数据可取自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决算报表财决01表《收入支出决算总表》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3,278.20</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3,222.67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98.31</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55.53</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1.69</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（注</w:t>
      </w:r>
      <w:r>
        <w:rPr>
          <w:rFonts w:ascii="仿宋_GB2312" w:hAnsi="ˎ̥" w:eastAsia="仿宋_GB2312"/>
          <w:color w:val="auto"/>
          <w:sz w:val="32"/>
          <w:szCs w:val="32"/>
        </w:rPr>
        <w:t>：</w:t>
      </w:r>
      <w:r>
        <w:rPr>
          <w:rFonts w:hint="eastAsia" w:ascii="仿宋_GB2312" w:hAnsi="ˎ̥" w:eastAsia="仿宋_GB2312"/>
          <w:color w:val="auto"/>
          <w:sz w:val="32"/>
          <w:szCs w:val="32"/>
        </w:rPr>
        <w:t>上述各项收入数可取自财决公开02表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3,290.12</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2,893.64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87.95</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396.48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12.05</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上述各项支出数可取自财决公开03表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3,222.67</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3,222.67</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年度相比，财政拨款收入减少</w:t>
      </w:r>
      <w:r>
        <w:rPr>
          <w:rFonts w:hint="eastAsia" w:ascii="仿宋_GB2312" w:hAnsi="ˎ̥" w:eastAsia="仿宋_GB2312"/>
          <w:color w:val="auto"/>
          <w:sz w:val="32"/>
          <w:szCs w:val="32"/>
          <w:lang w:val="en-US" w:eastAsia="zh-CN"/>
        </w:rPr>
        <w:t>36.77</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1.13</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val="en-US" w:eastAsia="zh-CN"/>
        </w:rPr>
        <w:t>人员减少</w:t>
      </w:r>
      <w:r>
        <w:rPr>
          <w:rFonts w:hint="eastAsia" w:ascii="仿宋_GB2312" w:hAnsi="ˎ̥" w:eastAsia="仿宋_GB2312"/>
          <w:color w:val="auto"/>
          <w:sz w:val="32"/>
          <w:szCs w:val="32"/>
        </w:rPr>
        <w:t>。支出增加减少</w:t>
      </w:r>
      <w:r>
        <w:rPr>
          <w:rFonts w:hint="eastAsia" w:ascii="仿宋_GB2312" w:hAnsi="ˎ̥" w:eastAsia="仿宋_GB2312"/>
          <w:color w:val="auto"/>
          <w:sz w:val="32"/>
          <w:szCs w:val="32"/>
          <w:lang w:val="en-US" w:eastAsia="zh-CN"/>
        </w:rPr>
        <w:t>36.77</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1.13</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val="en-US" w:eastAsia="zh-CN"/>
        </w:rPr>
        <w:t>人员减少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年度决算相关数据可取自财决公开04表。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年度决算相关数据可取自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决算报表财决01-1表《财政拨款收入支出决算总表》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7" w:name="_Toc13694_WPSOffice_Level2"/>
      <w:bookmarkStart w:id="78" w:name="_Toc19665_WPSOffice_Level2"/>
      <w:bookmarkStart w:id="79" w:name="_Toc17398_WPSOffice_Level2"/>
      <w:bookmarkStart w:id="80" w:name="_Toc21737_WPSOffice_Level2"/>
      <w:bookmarkStart w:id="81" w:name="_Toc23005_WPSOffice_Level2"/>
      <w:bookmarkStart w:id="82" w:name="_Toc9989_WPSOffice_Level2"/>
      <w:r>
        <w:rPr>
          <w:rFonts w:hint="eastAsia" w:ascii="楷体" w:hAnsi="楷体" w:eastAsia="楷体" w:cs="楷体"/>
          <w:color w:val="auto"/>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3,222.67</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97.62</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年度相比，一般公共预算财政拨款支出减少</w:t>
      </w:r>
      <w:r>
        <w:rPr>
          <w:rFonts w:hint="eastAsia" w:ascii="仿宋_GB2312" w:hAnsi="ˎ̥" w:eastAsia="仿宋_GB2312"/>
          <w:color w:val="auto"/>
          <w:sz w:val="32"/>
          <w:szCs w:val="32"/>
          <w:lang w:val="en-US" w:eastAsia="zh-CN"/>
        </w:rPr>
        <w:t>36.77</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1.13</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val="en-US" w:eastAsia="zh-CN"/>
        </w:rPr>
        <w:t>人员减少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3" w:name="_Toc27767_WPSOffice_Level2"/>
      <w:bookmarkStart w:id="84" w:name="_Toc2711_WPSOffice_Level2"/>
      <w:bookmarkStart w:id="85" w:name="_Toc23864_WPSOffice_Level2"/>
      <w:bookmarkStart w:id="86" w:name="_Toc19535_WPSOffice_Level2"/>
      <w:bookmarkStart w:id="87" w:name="_Toc19075_WPSOffice_Level2"/>
      <w:bookmarkStart w:id="88" w:name="_Toc18793_WPSOffice_Level2"/>
      <w:r>
        <w:rPr>
          <w:rFonts w:hint="eastAsia" w:ascii="楷体" w:hAnsi="楷体" w:eastAsia="楷体" w:cs="楷体"/>
          <w:color w:val="auto"/>
          <w:sz w:val="32"/>
          <w:szCs w:val="32"/>
        </w:rPr>
        <w:t>（二）一般公共预算财政拨款支出决算结构情况</w:t>
      </w:r>
      <w:bookmarkEnd w:id="83"/>
      <w:bookmarkEnd w:id="84"/>
      <w:bookmarkEnd w:id="85"/>
      <w:bookmarkEnd w:id="86"/>
      <w:bookmarkEnd w:id="87"/>
      <w:bookmarkEnd w:id="8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3,222.67</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教育支出（类）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2229.90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69.19</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438.27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13.60</w:t>
      </w:r>
      <w:r>
        <w:rPr>
          <w:rFonts w:hint="eastAsia" w:ascii="仿宋_GB2312" w:hAnsi="ˎ̥" w:eastAsia="仿宋_GB2312"/>
          <w:color w:val="auto"/>
          <w:sz w:val="32"/>
          <w:szCs w:val="32"/>
        </w:rPr>
        <w:t>%；</w:t>
      </w:r>
      <w:r>
        <w:rPr>
          <w:rFonts w:hint="eastAsia" w:ascii="仿宋_GB2312" w:hAnsi="ˎ̥" w:eastAsia="仿宋_GB2312"/>
          <w:b/>
          <w:color w:val="auto"/>
          <w:sz w:val="32"/>
          <w:szCs w:val="32"/>
        </w:rPr>
        <w:t>卫生健康支出（类）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351.38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10.90</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202.72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6.29</w:t>
      </w:r>
      <w:r>
        <w:rPr>
          <w:rFonts w:hint="eastAsia" w:ascii="仿宋_GB2312" w:hAnsi="ˎ̥" w:eastAsia="仿宋_GB2312"/>
          <w:color w:val="auto"/>
          <w:sz w:val="32"/>
          <w:szCs w:val="32"/>
        </w:rPr>
        <w:t>%；</w:t>
      </w:r>
      <w:r>
        <w:rPr>
          <w:rFonts w:hint="eastAsia" w:ascii="仿宋_GB2312" w:hAnsi="ˎ̥" w:eastAsia="仿宋_GB2312"/>
          <w:b/>
          <w:color w:val="auto"/>
          <w:sz w:val="32"/>
          <w:szCs w:val="32"/>
        </w:rPr>
        <w:t>一般公共服务支出（类）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0.41</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0.02</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9" w:name="_Toc25136_WPSOffice_Level2"/>
      <w:bookmarkStart w:id="90" w:name="_Toc22318_WPSOffice_Level2"/>
      <w:bookmarkStart w:id="91" w:name="_Toc9502_WPSOffice_Level2"/>
      <w:bookmarkStart w:id="92" w:name="_Toc21701_WPSOffice_Level2"/>
      <w:bookmarkStart w:id="93" w:name="_Toc29364_WPSOffice_Level2"/>
      <w:bookmarkStart w:id="94" w:name="_Toc15415_WPSOffice_Level2"/>
      <w:r>
        <w:rPr>
          <w:rFonts w:hint="eastAsia" w:ascii="楷体" w:hAnsi="楷体" w:eastAsia="楷体" w:cs="楷体"/>
          <w:color w:val="auto"/>
          <w:sz w:val="32"/>
          <w:szCs w:val="32"/>
        </w:rPr>
        <w:t>（三）一般公共预算财政拨款支出决算具体情况</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3060.64</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3,222.67</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105.29</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default" w:ascii="仿宋_GB2312" w:hAnsi="ˎ̥" w:eastAsia="仿宋_GB2312" w:cs="仿宋_GB2312"/>
          <w:b/>
          <w:bCs/>
          <w:color w:val="auto"/>
          <w:kern w:val="0"/>
          <w:sz w:val="32"/>
          <w:szCs w:val="32"/>
          <w:shd w:val="clear" w:fill="FFFFFF"/>
        </w:rPr>
        <w:t>教育支出（类）普通教育（款）学前教育（项）</w:t>
      </w:r>
      <w:r>
        <w:rPr>
          <w:rFonts w:hint="eastAsia" w:ascii="仿宋_GB2312" w:hAnsi="ˎ̥" w:eastAsia="仿宋_GB2312"/>
          <w:b/>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0.70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1.43</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204.29</w:t>
      </w:r>
      <w:r>
        <w:rPr>
          <w:rFonts w:hint="eastAsia" w:ascii="仿宋_GB2312" w:hAnsi="ˎ̥" w:eastAsia="仿宋_GB2312"/>
          <w:color w:val="auto"/>
          <w:sz w:val="32"/>
          <w:szCs w:val="32"/>
        </w:rPr>
        <w:t>%。决算数大于预算数的主要原因：</w:t>
      </w:r>
      <w:r>
        <w:rPr>
          <w:rFonts w:hint="eastAsia" w:ascii="仿宋_GB2312" w:hAnsi="ˎ̥" w:eastAsia="仿宋_GB2312"/>
          <w:color w:val="auto"/>
          <w:sz w:val="32"/>
          <w:szCs w:val="32"/>
          <w:lang w:val="en-US" w:eastAsia="zh-CN"/>
        </w:rPr>
        <w:t>学前班收支增加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2</w:t>
      </w:r>
      <w:r>
        <w:rPr>
          <w:rFonts w:hint="eastAsia" w:ascii="仿宋_GB2312" w:hAnsi="ˎ̥" w:eastAsia="仿宋_GB2312"/>
          <w:color w:val="auto"/>
          <w:sz w:val="32"/>
          <w:szCs w:val="32"/>
        </w:rPr>
        <w:t>.</w:t>
      </w:r>
      <w:r>
        <w:rPr>
          <w:rFonts w:hint="default" w:ascii="仿宋_GB2312" w:hAnsi="ˎ̥" w:eastAsia="仿宋_GB2312" w:cs="仿宋_GB2312"/>
          <w:b/>
          <w:bCs/>
          <w:color w:val="auto"/>
          <w:kern w:val="0"/>
          <w:sz w:val="32"/>
          <w:szCs w:val="32"/>
          <w:shd w:val="clear" w:fill="FFFFFF"/>
        </w:rPr>
        <w:t>教育支出（类）普通教育（款）小学教育（项）</w:t>
      </w:r>
      <w:r>
        <w:rPr>
          <w:rFonts w:hint="eastAsia" w:ascii="仿宋_GB2312" w:hAnsi="ˎ̥" w:eastAsia="仿宋_GB2312"/>
          <w:b/>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2030.09</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2228.47</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109.77</w:t>
      </w:r>
      <w:r>
        <w:rPr>
          <w:rFonts w:hint="eastAsia" w:ascii="仿宋_GB2312" w:hAnsi="ˎ̥" w:eastAsia="仿宋_GB2312"/>
          <w:color w:val="auto"/>
          <w:sz w:val="32"/>
          <w:szCs w:val="32"/>
        </w:rPr>
        <w:t>%。决算数大于预算数的主要原因：</w:t>
      </w:r>
      <w:r>
        <w:rPr>
          <w:rFonts w:hint="eastAsia" w:ascii="仿宋_GB2312" w:hAnsi="ˎ̥" w:eastAsia="仿宋_GB2312"/>
          <w:color w:val="auto"/>
          <w:sz w:val="32"/>
          <w:szCs w:val="32"/>
          <w:lang w:val="en-US" w:eastAsia="zh-CN"/>
        </w:rPr>
        <w:t>人员薪资增加</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3</w:t>
      </w:r>
      <w:r>
        <w:rPr>
          <w:rFonts w:hint="eastAsia" w:ascii="仿宋_GB2312" w:hAnsi="ˎ̥" w:eastAsia="仿宋_GB2312"/>
          <w:color w:val="auto"/>
          <w:sz w:val="32"/>
          <w:szCs w:val="32"/>
        </w:rPr>
        <w:t>.</w:t>
      </w:r>
      <w:r>
        <w:rPr>
          <w:rFonts w:hint="default" w:ascii="仿宋_GB2312" w:hAnsi="ˎ̥" w:eastAsia="仿宋_GB2312" w:cs="仿宋_GB2312"/>
          <w:b/>
          <w:bCs/>
          <w:color w:val="auto"/>
          <w:kern w:val="0"/>
          <w:sz w:val="32"/>
          <w:szCs w:val="32"/>
          <w:shd w:val="clear" w:fill="FFFFFF"/>
        </w:rPr>
        <w:t>社会保障和就业支出（类）行政事业单位养老支出（款） 机关事业单位基本养老保险缴费支出（项）</w:t>
      </w:r>
      <w:r>
        <w:rPr>
          <w:rFonts w:hint="eastAsia" w:ascii="仿宋_GB2312" w:hAnsi="ˎ̥" w:eastAsia="仿宋_GB2312"/>
          <w:b/>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265.07</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241.97</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91.28</w:t>
      </w:r>
      <w:r>
        <w:rPr>
          <w:rFonts w:hint="eastAsia" w:ascii="仿宋_GB2312" w:hAnsi="ˎ̥" w:eastAsia="仿宋_GB2312"/>
          <w:color w:val="auto"/>
          <w:sz w:val="32"/>
          <w:szCs w:val="32"/>
        </w:rPr>
        <w:t>%。决算数小于预算数的主要原因：</w:t>
      </w:r>
      <w:r>
        <w:rPr>
          <w:rFonts w:hint="eastAsia" w:ascii="仿宋_GB2312" w:hAnsi="ˎ̥" w:eastAsia="仿宋_GB2312"/>
          <w:color w:val="auto"/>
          <w:sz w:val="32"/>
          <w:szCs w:val="32"/>
          <w:lang w:val="en-US" w:eastAsia="zh-CN"/>
        </w:rPr>
        <w:t>人员减少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w:t>
      </w:r>
      <w:r>
        <w:rPr>
          <w:rFonts w:hint="default" w:ascii="仿宋_GB2312" w:hAnsi="ˎ̥" w:eastAsia="仿宋_GB2312" w:cs="仿宋_GB2312"/>
          <w:b/>
          <w:bCs/>
          <w:color w:val="auto"/>
          <w:kern w:val="0"/>
          <w:sz w:val="32"/>
          <w:szCs w:val="32"/>
          <w:shd w:val="clear" w:fill="FFFFFF"/>
        </w:rPr>
        <w:t>社会保障和就业支出（类）行政事业单位养老支出（款） 机关事业单位职业年金缴费支出（项）</w:t>
      </w:r>
      <w:r>
        <w:rPr>
          <w:rFonts w:hint="eastAsia" w:ascii="仿宋_GB2312" w:hAnsi="ˎ̥" w:eastAsia="仿宋_GB2312"/>
          <w:b/>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132.54</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167.38</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126.29</w:t>
      </w:r>
      <w:r>
        <w:rPr>
          <w:rFonts w:hint="eastAsia" w:ascii="仿宋_GB2312" w:hAnsi="ˎ̥" w:eastAsia="仿宋_GB2312"/>
          <w:color w:val="auto"/>
          <w:sz w:val="32"/>
          <w:szCs w:val="32"/>
        </w:rPr>
        <w:t>%。决算数大于小于预算数的主要原因：</w:t>
      </w:r>
      <w:r>
        <w:rPr>
          <w:rFonts w:hint="eastAsia" w:ascii="仿宋_GB2312" w:hAnsi="ˎ̥" w:eastAsia="仿宋_GB2312"/>
          <w:color w:val="auto"/>
          <w:sz w:val="32"/>
          <w:szCs w:val="32"/>
          <w:lang w:val="en-US" w:eastAsia="zh-CN"/>
        </w:rPr>
        <w:t>退休人员虚账记实</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5</w:t>
      </w:r>
      <w:r>
        <w:rPr>
          <w:rFonts w:hint="eastAsia" w:ascii="仿宋_GB2312" w:hAnsi="ˎ̥" w:eastAsia="仿宋_GB2312"/>
          <w:color w:val="auto"/>
          <w:sz w:val="32"/>
          <w:szCs w:val="32"/>
        </w:rPr>
        <w:t>.</w:t>
      </w:r>
      <w:r>
        <w:rPr>
          <w:rFonts w:hint="default" w:ascii="仿宋_GB2312" w:hAnsi="ˎ̥" w:eastAsia="仿宋_GB2312" w:cs="仿宋_GB2312"/>
          <w:b/>
          <w:bCs/>
          <w:color w:val="auto"/>
          <w:kern w:val="0"/>
          <w:sz w:val="32"/>
          <w:szCs w:val="32"/>
          <w:shd w:val="clear" w:fill="FFFFFF"/>
        </w:rPr>
        <w:t>卫生健康支出（类）行政事业单位医疗（款） 机关事业单位医疗（项）</w:t>
      </w:r>
      <w:r>
        <w:rPr>
          <w:rFonts w:hint="eastAsia" w:ascii="仿宋_GB2312" w:hAnsi="ˎ̥" w:eastAsia="仿宋_GB2312"/>
          <w:b/>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123.67</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99.11</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80.14</w:t>
      </w:r>
      <w:r>
        <w:rPr>
          <w:rFonts w:hint="eastAsia" w:ascii="仿宋_GB2312" w:hAnsi="ˎ̥" w:eastAsia="仿宋_GB2312"/>
          <w:color w:val="auto"/>
          <w:sz w:val="32"/>
          <w:szCs w:val="32"/>
        </w:rPr>
        <w:t>%。决算数小于预算数的主要原因：</w:t>
      </w:r>
      <w:r>
        <w:rPr>
          <w:rFonts w:hint="eastAsia" w:ascii="仿宋_GB2312" w:hAnsi="ˎ̥" w:eastAsia="仿宋_GB2312"/>
          <w:color w:val="auto"/>
          <w:sz w:val="32"/>
          <w:szCs w:val="32"/>
          <w:lang w:val="en-US" w:eastAsia="zh-CN"/>
        </w:rPr>
        <w:t>人员减少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6</w:t>
      </w:r>
      <w:r>
        <w:rPr>
          <w:rFonts w:hint="eastAsia" w:ascii="仿宋_GB2312" w:hAnsi="ˎ̥" w:eastAsia="仿宋_GB2312"/>
          <w:color w:val="auto"/>
          <w:sz w:val="32"/>
          <w:szCs w:val="32"/>
        </w:rPr>
        <w:t>.</w:t>
      </w:r>
      <w:r>
        <w:rPr>
          <w:rFonts w:hint="default" w:ascii="仿宋_GB2312" w:hAnsi="ˎ̥" w:eastAsia="仿宋_GB2312" w:cs="仿宋_GB2312"/>
          <w:b/>
          <w:bCs/>
          <w:color w:val="auto"/>
          <w:kern w:val="0"/>
          <w:sz w:val="32"/>
          <w:szCs w:val="32"/>
          <w:shd w:val="clear" w:fill="FFFFFF"/>
        </w:rPr>
        <w:t>卫生健康支出（类）行政事业单位医疗（款） 公务员医疗补助（项）</w:t>
      </w:r>
      <w:r>
        <w:rPr>
          <w:rFonts w:hint="eastAsia" w:ascii="仿宋_GB2312" w:hAnsi="ˎ̥" w:eastAsia="仿宋_GB2312"/>
          <w:b/>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252.48</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244.05</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96.66</w:t>
      </w:r>
      <w:r>
        <w:rPr>
          <w:rFonts w:hint="eastAsia" w:ascii="仿宋_GB2312" w:hAnsi="ˎ̥" w:eastAsia="仿宋_GB2312"/>
          <w:color w:val="auto"/>
          <w:sz w:val="32"/>
          <w:szCs w:val="32"/>
        </w:rPr>
        <w:t>%。决算数小于预算数的主要原因：</w:t>
      </w:r>
      <w:r>
        <w:rPr>
          <w:rFonts w:hint="eastAsia" w:ascii="仿宋_GB2312" w:hAnsi="ˎ̥" w:eastAsia="仿宋_GB2312"/>
          <w:color w:val="auto"/>
          <w:sz w:val="32"/>
          <w:szCs w:val="32"/>
          <w:lang w:val="en-US" w:eastAsia="zh-CN"/>
        </w:rPr>
        <w:t>人员减少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lang w:val="en-US" w:eastAsia="zh-CN"/>
        </w:rPr>
        <w:t>7</w:t>
      </w:r>
      <w:r>
        <w:rPr>
          <w:rFonts w:hint="eastAsia" w:ascii="仿宋_GB2312" w:hAnsi="ˎ̥" w:eastAsia="仿宋_GB2312"/>
          <w:color w:val="auto"/>
          <w:sz w:val="32"/>
          <w:szCs w:val="32"/>
        </w:rPr>
        <w:t>.</w:t>
      </w:r>
      <w:r>
        <w:rPr>
          <w:rFonts w:hint="default" w:ascii="仿宋_GB2312" w:hAnsi="ˎ̥" w:eastAsia="仿宋_GB2312" w:cs="仿宋_GB2312"/>
          <w:b/>
          <w:bCs/>
          <w:color w:val="auto"/>
          <w:kern w:val="0"/>
          <w:sz w:val="32"/>
          <w:szCs w:val="32"/>
          <w:shd w:val="clear" w:fill="FFFFFF"/>
        </w:rPr>
        <w:t>住房保障支出（类）住房改革支出（款） 住房公积金（项）</w:t>
      </w:r>
      <w:r>
        <w:rPr>
          <w:rFonts w:hint="eastAsia" w:ascii="仿宋_GB2312" w:hAnsi="ˎ̥" w:eastAsia="仿宋_GB2312"/>
          <w:b/>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227.93</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202.72</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88.93</w:t>
      </w:r>
      <w:r>
        <w:rPr>
          <w:rFonts w:hint="eastAsia" w:ascii="仿宋_GB2312" w:hAnsi="ˎ̥" w:eastAsia="仿宋_GB2312"/>
          <w:color w:val="auto"/>
          <w:sz w:val="32"/>
          <w:szCs w:val="32"/>
        </w:rPr>
        <w:t>%。决算数小于预算数的主要原因：</w:t>
      </w:r>
      <w:r>
        <w:rPr>
          <w:rFonts w:hint="eastAsia" w:ascii="仿宋_GB2312" w:hAnsi="ˎ̥" w:eastAsia="仿宋_GB2312"/>
          <w:color w:val="auto"/>
          <w:sz w:val="32"/>
          <w:szCs w:val="32"/>
          <w:lang w:val="en-US" w:eastAsia="zh-CN"/>
        </w:rPr>
        <w:t>人员减少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本部分支出决算数可取自财决公开05表，年初预算数可取自各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单位年初预算大本，根据实际支出涉及的支出功能分类项级科目填列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rPr>
        <w:t>0.00</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2,854.20</w:t>
      </w:r>
      <w:r>
        <w:rPr>
          <w:rFonts w:hint="eastAsia" w:ascii="仿宋_GB2312" w:hAnsi="ˎ̥" w:eastAsia="仿宋_GB2312"/>
          <w:color w:val="auto"/>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39.45</w:t>
      </w:r>
      <w:r>
        <w:rPr>
          <w:rFonts w:hint="eastAsia" w:ascii="仿宋_GB2312" w:hAnsi="ˎ̥" w:eastAsia="仿宋_GB2312"/>
          <w:color w:val="auto"/>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auto"/>
          <w:sz w:val="32"/>
          <w:szCs w:val="32"/>
          <w:lang w:val="en-US" w:eastAsia="zh-CN"/>
        </w:rPr>
        <w:t>购</w:t>
      </w:r>
      <w:r>
        <w:rPr>
          <w:rFonts w:hint="eastAsia" w:ascii="仿宋_GB2312" w:hAnsi="ˎ̥" w:eastAsia="仿宋_GB2312"/>
          <w:color w:val="auto"/>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w:t>
      </w:r>
      <w:r>
        <w:rPr>
          <w:rFonts w:hint="eastAsia" w:ascii="仿宋_GB2312" w:hAnsi="ˎ̥" w:eastAsia="仿宋_GB2312"/>
          <w:color w:val="auto"/>
          <w:sz w:val="32"/>
          <w:szCs w:val="32"/>
          <w:lang w:val="en-US" w:eastAsia="zh-CN"/>
        </w:rPr>
        <w:t>数据</w:t>
      </w:r>
      <w:r>
        <w:rPr>
          <w:rFonts w:hint="eastAsia" w:ascii="仿宋_GB2312" w:hAnsi="ˎ̥" w:eastAsia="仿宋_GB2312"/>
          <w:color w:val="auto"/>
          <w:sz w:val="32"/>
          <w:szCs w:val="32"/>
        </w:rPr>
        <w:t>可取自财决公开06表，各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单位实际支出涉及的支出功能分类项级科目填列，本部分</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决算相关数据取自财决公开07表；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lang w:val="en-US" w:eastAsia="zh-CN"/>
        </w:rPr>
        <w:t>年度单位决算报表</w:t>
      </w:r>
      <w:r>
        <w:rPr>
          <w:rFonts w:hint="eastAsia" w:ascii="仿宋_GB2312" w:hAnsi="ˎ̥" w:eastAsia="仿宋_GB2312"/>
          <w:color w:val="auto"/>
          <w:sz w:val="32"/>
          <w:szCs w:val="32"/>
        </w:rPr>
        <w:t>财决09表《政府性基金预算财政拨款收入支出决算表》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单位实际支出涉及的支出功能分类类级科目填列</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根据各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单位实际支出涉及的支出功能分类项级科目填列，本部分</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w:t>
      </w:r>
      <w:r>
        <w:rPr>
          <w:rFonts w:hint="eastAsia" w:ascii="仿宋_GB2312" w:hAnsi="ˎ̥" w:eastAsia="仿宋_GB2312"/>
          <w:color w:val="auto"/>
          <w:sz w:val="32"/>
          <w:szCs w:val="32"/>
          <w:lang w:val="en-US" w:eastAsia="zh-CN"/>
        </w:rPr>
        <w:t>度</w:t>
      </w:r>
      <w:r>
        <w:rPr>
          <w:rFonts w:hint="eastAsia" w:ascii="仿宋_GB2312" w:hAnsi="ˎ̥" w:eastAsia="仿宋_GB2312"/>
          <w:color w:val="auto"/>
          <w:sz w:val="32"/>
          <w:szCs w:val="32"/>
        </w:rPr>
        <w:t>决算相关数据取自财决公开08表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年度“三公”经费预算数、决算数可取自财决公开09表，出国团组数、出国人次，公务用车购置数、公务用车保有量，接待团组数、接待人次可取自</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年度相关</w:t>
      </w:r>
      <w:r>
        <w:rPr>
          <w:rFonts w:ascii="仿宋_GB2312" w:hAnsi="ˎ̥" w:eastAsia="仿宋_GB2312"/>
          <w:color w:val="auto"/>
          <w:sz w:val="32"/>
          <w:szCs w:val="32"/>
        </w:rPr>
        <w:t>数据</w:t>
      </w:r>
      <w:r>
        <w:rPr>
          <w:rFonts w:hint="eastAsia" w:ascii="仿宋_GB2312" w:hAnsi="ˎ̥" w:eastAsia="仿宋_GB2312"/>
          <w:color w:val="auto"/>
          <w:sz w:val="32"/>
          <w:szCs w:val="32"/>
        </w:rPr>
        <w:t>可取自</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ascii="仿宋_GB2312" w:hAnsi="ˎ̥" w:eastAsia="仿宋_GB2312"/>
          <w:color w:val="auto"/>
          <w:sz w:val="32"/>
          <w:szCs w:val="32"/>
        </w:rPr>
        <w:t>决算报表</w:t>
      </w:r>
      <w:r>
        <w:rPr>
          <w:rFonts w:hint="eastAsia" w:ascii="仿宋_GB2312" w:hAnsi="ˎ̥" w:eastAsia="仿宋_GB2312"/>
          <w:color w:val="auto"/>
          <w:sz w:val="32"/>
          <w:szCs w:val="32"/>
        </w:rPr>
        <w:t>F03表《机构</w:t>
      </w:r>
      <w:r>
        <w:rPr>
          <w:rFonts w:ascii="仿宋_GB2312" w:hAnsi="ˎ̥" w:eastAsia="仿宋_GB2312"/>
          <w:color w:val="auto"/>
          <w:sz w:val="32"/>
          <w:szCs w:val="32"/>
        </w:rPr>
        <w:t>运行信息表》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根据财政预算绩效管理要求，可按照如下格式说明：根据预算管理要求，我</w:t>
      </w:r>
      <w:r>
        <w:rPr>
          <w:rFonts w:hint="eastAsia" w:ascii="仿宋_GB2312" w:eastAsia="仿宋_GB2312"/>
          <w:color w:val="auto"/>
          <w:sz w:val="32"/>
          <w:szCs w:val="32"/>
          <w:lang w:eastAsia="zh-CN"/>
        </w:rPr>
        <w:t>单位</w:t>
      </w:r>
      <w:r>
        <w:rPr>
          <w:rFonts w:hint="eastAsia" w:ascii="仿宋_GB2312" w:eastAsia="仿宋_GB2312"/>
          <w:color w:val="auto"/>
          <w:sz w:val="32"/>
          <w:szCs w:val="32"/>
        </w:rPr>
        <w:t>（单位）组织对</w:t>
      </w:r>
      <w:r>
        <w:rPr>
          <w:rFonts w:hint="default" w:ascii="仿宋_GB2312" w:eastAsia="仿宋_GB2312"/>
          <w:color w:val="auto"/>
          <w:sz w:val="32"/>
          <w:szCs w:val="32"/>
          <w:lang w:val="en-US"/>
        </w:rPr>
        <w:t>2024</w:t>
      </w:r>
      <w:r>
        <w:rPr>
          <w:rFonts w:hint="eastAsia" w:ascii="仿宋_GB2312" w:eastAsia="仿宋_GB2312"/>
          <w:color w:val="auto"/>
          <w:sz w:val="32"/>
          <w:szCs w:val="32"/>
        </w:rPr>
        <w:t>年度一般公共预算项目支出全面开展绩效自评</w:t>
      </w:r>
      <w:r>
        <w:rPr>
          <w:rFonts w:hint="default" w:ascii="仿宋_GB2312" w:eastAsia="仿宋_GB2312"/>
          <w:color w:val="auto"/>
          <w:sz w:val="32"/>
          <w:szCs w:val="32"/>
          <w:lang w:val="en-US"/>
        </w:rPr>
        <w:t>,</w:t>
      </w:r>
      <w:r>
        <w:rPr>
          <w:rFonts w:hint="eastAsia" w:ascii="仿宋_GB2312" w:eastAsia="仿宋_GB2312"/>
          <w:color w:val="auto"/>
          <w:sz w:val="32"/>
          <w:szCs w:val="32"/>
          <w:lang w:val="en-US" w:eastAsia="zh-CN"/>
        </w:rPr>
        <w:t>共涉及资金3129.93万元，占一般公共预算项目支出总额的102.26%</w:t>
      </w:r>
      <w:r>
        <w:rPr>
          <w:rFonts w:hint="eastAsia" w:ascii="仿宋_GB2312" w:eastAsia="仿宋_GB2312"/>
          <w:color w:val="auto"/>
          <w:sz w:val="32"/>
          <w:szCs w:val="32"/>
        </w:rPr>
        <w:t>。</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个政府性基金预算项目开展绩效自评，共涉及资金</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万元，占政府性基金预算项目支出总额的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 xml:space="preserve">个国有资本经营预算项目开展绩效自评，共涉及资金 </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万元，占国有资本经营预算项目支出总额的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共组织对</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个项目开展了</w:t>
      </w:r>
      <w:r>
        <w:rPr>
          <w:rFonts w:hint="eastAsia" w:ascii="仿宋_GB2312" w:eastAsia="仿宋_GB2312"/>
          <w:color w:val="auto"/>
          <w:sz w:val="32"/>
          <w:szCs w:val="32"/>
          <w:lang w:eastAsia="zh-CN"/>
        </w:rPr>
        <w:t>单位</w:t>
      </w:r>
      <w:r>
        <w:rPr>
          <w:rFonts w:hint="eastAsia" w:ascii="仿宋_GB2312" w:eastAsia="仿宋_GB2312"/>
          <w:color w:val="auto"/>
          <w:sz w:val="32"/>
          <w:szCs w:val="32"/>
        </w:rPr>
        <w:t>评价，</w:t>
      </w:r>
      <w:r>
        <w:rPr>
          <w:rFonts w:hint="eastAsia" w:ascii="仿宋_GB2312" w:eastAsia="仿宋_GB2312"/>
          <w:color w:val="auto"/>
          <w:sz w:val="32"/>
          <w:szCs w:val="32"/>
          <w:lang w:bidi="ar"/>
        </w:rPr>
        <w:t>涉及一般公共预算支出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万元，政府性基金预算支出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万元，国有资本经营预算支出</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w:t>
      </w:r>
      <w:r>
        <w:rPr>
          <w:rFonts w:hint="eastAsia" w:ascii="仿宋_GB2312"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bCs/>
          <w:color w:val="auto"/>
          <w:sz w:val="32"/>
          <w:szCs w:val="32"/>
        </w:rPr>
      </w:pPr>
      <w:r>
        <w:rPr>
          <w:rFonts w:hint="eastAsia" w:ascii="楷体" w:hAnsi="楷体" w:eastAsia="楷体" w:cs="楷体"/>
          <w:bCs/>
          <w:color w:val="auto"/>
          <w:sz w:val="32"/>
          <w:szCs w:val="32"/>
        </w:rPr>
        <w:t>（二）</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决算中项目绩效自评结果（预算</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（三）</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评价结果（预算</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填写，</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hAnsi="仿宋_GB2312" w:eastAsia="仿宋_GB2312" w:cs="仿宋_GB2312"/>
          <w:color w:val="auto"/>
          <w:kern w:val="0"/>
          <w:sz w:val="32"/>
          <w:szCs w:val="32"/>
          <w:lang w:eastAsia="zh-CN" w:bidi="ar"/>
        </w:rPr>
        <w:t>单位</w:t>
      </w:r>
      <w:r>
        <w:rPr>
          <w:rFonts w:hint="eastAsia" w:ascii="仿宋_GB2312" w:hAnsi="仿宋_GB2312" w:eastAsia="仿宋_GB2312" w:cs="仿宋_GB2312"/>
          <w:color w:val="auto"/>
          <w:kern w:val="0"/>
          <w:sz w:val="32"/>
          <w:szCs w:val="32"/>
          <w:lang w:bidi="ar"/>
        </w:rPr>
        <w:t>评价项目数量在3个以内的，至少将1个</w:t>
      </w:r>
      <w:r>
        <w:rPr>
          <w:rFonts w:hint="eastAsia" w:ascii="仿宋_GB2312" w:hAnsi="仿宋_GB2312" w:eastAsia="仿宋_GB2312" w:cs="仿宋_GB2312"/>
          <w:color w:val="auto"/>
          <w:kern w:val="0"/>
          <w:sz w:val="32"/>
          <w:szCs w:val="32"/>
          <w:lang w:eastAsia="zh-CN" w:bidi="ar"/>
        </w:rPr>
        <w:t>单位</w:t>
      </w:r>
      <w:r>
        <w:rPr>
          <w:rFonts w:hint="eastAsia" w:ascii="仿宋_GB2312" w:hAnsi="仿宋_GB2312" w:eastAsia="仿宋_GB2312" w:cs="仿宋_GB2312"/>
          <w:color w:val="auto"/>
          <w:kern w:val="0"/>
          <w:sz w:val="32"/>
          <w:szCs w:val="32"/>
          <w:lang w:bidi="ar"/>
        </w:rPr>
        <w:t>评价报告向社会公开；</w:t>
      </w:r>
      <w:r>
        <w:rPr>
          <w:rFonts w:hint="eastAsia" w:ascii="仿宋_GB2312" w:hAnsi="仿宋_GB2312" w:eastAsia="仿宋_GB2312" w:cs="仿宋_GB2312"/>
          <w:color w:val="auto"/>
          <w:kern w:val="0"/>
          <w:sz w:val="32"/>
          <w:szCs w:val="32"/>
          <w:lang w:eastAsia="zh-CN" w:bidi="ar"/>
        </w:rPr>
        <w:t>单位</w:t>
      </w:r>
      <w:r>
        <w:rPr>
          <w:rFonts w:hint="eastAsia" w:ascii="仿宋_GB2312" w:hAnsi="仿宋_GB2312" w:eastAsia="仿宋_GB2312" w:cs="仿宋_GB2312"/>
          <w:color w:val="auto"/>
          <w:kern w:val="0"/>
          <w:sz w:val="32"/>
          <w:szCs w:val="32"/>
          <w:lang w:bidi="ar"/>
        </w:rPr>
        <w:t>评价项目数量大于3个的，至少将2个</w:t>
      </w:r>
      <w:r>
        <w:rPr>
          <w:rFonts w:hint="eastAsia" w:ascii="仿宋_GB2312" w:hAnsi="仿宋_GB2312" w:eastAsia="仿宋_GB2312" w:cs="仿宋_GB2312"/>
          <w:color w:val="auto"/>
          <w:kern w:val="0"/>
          <w:sz w:val="32"/>
          <w:szCs w:val="32"/>
          <w:lang w:eastAsia="zh-CN" w:bidi="ar"/>
        </w:rPr>
        <w:t>单位</w:t>
      </w:r>
      <w:r>
        <w:rPr>
          <w:rFonts w:hint="eastAsia" w:ascii="仿宋_GB2312" w:hAnsi="仿宋_GB2312" w:eastAsia="仿宋_GB2312" w:cs="仿宋_GB2312"/>
          <w:color w:val="auto"/>
          <w:kern w:val="0"/>
          <w:sz w:val="32"/>
          <w:szCs w:val="32"/>
          <w:lang w:bidi="ar"/>
        </w:rPr>
        <w:t>评价报告向社会公开。</w:t>
      </w:r>
      <w:r>
        <w:rPr>
          <w:rFonts w:hint="eastAsia" w:ascii="仿宋_GB2312" w:eastAsia="仿宋_GB2312"/>
          <w:color w:val="auto"/>
          <w:sz w:val="32"/>
          <w:szCs w:val="32"/>
        </w:rPr>
        <w:t>报告框架可参照《海南省财政厅关于印发&lt;海南省项目支出绩效评价管理实施办法&gt;的通知》（琼财绩〔2020〕594号）填写。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zh-CN"/>
        </w:rPr>
        <w:t>反映财政单位组织开展的预算单位（单位）重点项目财政评价情况，如有，可将评价报告附后。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95" w:name="_Toc23598_WPSOffice_Level2"/>
      <w:bookmarkStart w:id="96" w:name="_Toc15262_WPSOffice_Level2"/>
      <w:bookmarkStart w:id="97" w:name="_Toc15565_WPSOffice_Level2"/>
      <w:bookmarkStart w:id="98" w:name="_Toc32639_WPSOffice_Level2"/>
      <w:bookmarkStart w:id="99" w:name="_Toc18325_WPSOffice_Level2"/>
      <w:bookmarkStart w:id="100" w:name="_Toc5978_WPSOffice_Level2"/>
      <w:r>
        <w:rPr>
          <w:rFonts w:hint="eastAsia" w:ascii="楷体" w:hAnsi="楷体" w:eastAsia="楷体" w:cs="楷体"/>
          <w:bCs/>
          <w:color w:val="auto"/>
          <w:sz w:val="32"/>
          <w:szCs w:val="32"/>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年度机关运行经费</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万元（为</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决算中行政单位和参公事业单位财政拨款基本支出中公用经费支出之和，事业单位没有机关运行经费支出），比年初预算增加（减少）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与2023年度相比，机关运行经费</w:t>
      </w:r>
      <w:r>
        <w:rPr>
          <w:rFonts w:hint="eastAsia" w:ascii="仿宋_GB2312" w:hAnsi="ˎ̥" w:eastAsia="仿宋_GB2312"/>
          <w:color w:val="auto"/>
          <w:sz w:val="32"/>
          <w:szCs w:val="32"/>
        </w:rPr>
        <w:t>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增长（下降）0%。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机关运行经费预算数可取自</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决算报表财决01-1表《财政拨款收入支出决算总表》，年初预算数-一般公共预算财政拨款-公用经费，注意</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汇总公开决算时，因事业单位没有机关运行经费支出，故</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汇总的机关运行经费预算数应为</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所属的各行政单位或参公单位的汇总数；决算数可取自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1" w:name="_Toc25333_WPSOffice_Level2"/>
      <w:bookmarkStart w:id="102" w:name="_Toc13084_WPSOffice_Level2"/>
      <w:bookmarkStart w:id="103" w:name="_Toc3131_WPSOffice_Level2"/>
      <w:bookmarkStart w:id="104" w:name="_Toc30383_WPSOffice_Level2"/>
      <w:bookmarkStart w:id="105" w:name="_Toc23966_WPSOffice_Level2"/>
      <w:bookmarkStart w:id="106" w:name="_Toc32689_WPSOffice_Level2"/>
      <w:r>
        <w:rPr>
          <w:rFonts w:hint="eastAsia" w:ascii="楷体" w:hAnsi="楷体" w:eastAsia="楷体" w:cs="楷体"/>
          <w:bCs/>
          <w:color w:val="auto"/>
          <w:sz w:val="32"/>
          <w:szCs w:val="32"/>
        </w:rPr>
        <w:t>（二）政府采购支出情况</w:t>
      </w:r>
      <w:bookmarkEnd w:id="101"/>
      <w:bookmarkEnd w:id="102"/>
      <w:bookmarkEnd w:id="103"/>
      <w:bookmarkEnd w:id="104"/>
      <w:bookmarkEnd w:id="105"/>
      <w:bookmarkEnd w:id="10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年度政府采购支出总额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上述政府采购支出相关</w:t>
      </w:r>
      <w:r>
        <w:rPr>
          <w:rFonts w:hint="eastAsia" w:ascii="仿宋_GB2312" w:hAnsi="ˎ̥" w:eastAsia="仿宋_GB2312"/>
          <w:color w:val="auto"/>
          <w:sz w:val="32"/>
          <w:szCs w:val="32"/>
          <w:lang w:val="en-US" w:eastAsia="zh-CN"/>
        </w:rPr>
        <w:t>数据</w:t>
      </w:r>
      <w:r>
        <w:rPr>
          <w:rFonts w:hint="eastAsia" w:ascii="仿宋_GB2312" w:hAnsi="ˎ̥" w:eastAsia="仿宋_GB2312"/>
          <w:color w:val="auto"/>
          <w:sz w:val="32"/>
          <w:szCs w:val="32"/>
        </w:rPr>
        <w:t>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决算报表F03表《机构运行信息表》，授予中小企业和小微企业合同金额由各</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查阅本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7" w:name="_Toc6016_WPSOffice_Level2"/>
      <w:bookmarkStart w:id="108" w:name="_Toc15129_WPSOffice_Level2"/>
      <w:bookmarkStart w:id="109" w:name="_Toc19989_WPSOffice_Level2"/>
      <w:bookmarkStart w:id="110" w:name="_Toc527_WPSOffice_Level2"/>
      <w:bookmarkStart w:id="111" w:name="_Toc29584_WPSOffice_Level2"/>
      <w:bookmarkStart w:id="112" w:name="_Toc10902_WPSOffice_Level2"/>
      <w:r>
        <w:rPr>
          <w:rFonts w:hint="eastAsia" w:ascii="楷体" w:hAnsi="楷体" w:eastAsia="楷体" w:cs="楷体"/>
          <w:bCs/>
          <w:color w:val="auto"/>
          <w:sz w:val="32"/>
          <w:szCs w:val="32"/>
        </w:rPr>
        <w:t>（三）国有资产占用情况</w:t>
      </w:r>
      <w:bookmarkEnd w:id="107"/>
      <w:bookmarkEnd w:id="108"/>
      <w:bookmarkEnd w:id="109"/>
      <w:bookmarkEnd w:id="110"/>
      <w:bookmarkEnd w:id="111"/>
      <w:bookmarkEnd w:id="11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w:t>
      </w:r>
      <w:r>
        <w:rPr>
          <w:rFonts w:hint="eastAsia" w:ascii="仿宋_GB2312" w:hAnsi="ˎ̥" w:eastAsia="仿宋_GB2312"/>
          <w:bCs/>
          <w:color w:val="auto"/>
          <w:sz w:val="32"/>
          <w:szCs w:val="32"/>
          <w:lang w:eastAsia="zh-CN"/>
        </w:rPr>
        <w:t>单位</w:t>
      </w:r>
      <w:r>
        <w:rPr>
          <w:rFonts w:hint="eastAsia" w:ascii="仿宋_GB2312" w:hAnsi="ˎ̥" w:eastAsia="仿宋_GB2312"/>
          <w:bCs/>
          <w:color w:val="auto"/>
          <w:sz w:val="32"/>
          <w:szCs w:val="32"/>
        </w:rPr>
        <w:t>拥有</w:t>
      </w:r>
      <w:r>
        <w:rPr>
          <w:rFonts w:hint="eastAsia" w:ascii="仿宋_GB2312" w:hAnsi="ˎ̥" w:eastAsia="仿宋_GB2312"/>
          <w:color w:val="auto"/>
          <w:sz w:val="32"/>
          <w:szCs w:val="32"/>
        </w:rPr>
        <w:t>房屋面积</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平方米</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辆，其中，副部（省）级及以上领导用车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辆、主要负责人用车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辆、机要通信用车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辆、应急保障用车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辆、执法执勤用车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辆、特种专业技术用车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辆、离退休干部服务用车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辆、其他用车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r>
        <w:rPr>
          <w:rFonts w:hint="eastAsia" w:ascii="仿宋_GB2312" w:hAnsi="ˎ̥" w:eastAsia="仿宋_GB2312"/>
          <w:color w:val="auto"/>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上述国有资产占用情况相关数</w:t>
      </w:r>
      <w:r>
        <w:rPr>
          <w:rFonts w:hint="eastAsia" w:ascii="仿宋_GB2312" w:hAnsi="ˎ̥" w:eastAsia="仿宋_GB2312"/>
          <w:color w:val="auto"/>
          <w:sz w:val="32"/>
          <w:szCs w:val="32"/>
          <w:lang w:val="en-US" w:eastAsia="zh-CN"/>
        </w:rPr>
        <w:t>据</w:t>
      </w:r>
      <w:r>
        <w:rPr>
          <w:rFonts w:hint="eastAsia" w:ascii="仿宋_GB2312" w:hAnsi="ˎ̥" w:eastAsia="仿宋_GB2312"/>
          <w:color w:val="auto"/>
          <w:sz w:val="32"/>
          <w:szCs w:val="32"/>
        </w:rPr>
        <w:t>取自</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决算F0</w:t>
      </w:r>
      <w:r>
        <w:rPr>
          <w:rFonts w:hint="default" w:ascii="仿宋_GB2312" w:hAnsi="ˎ̥" w:eastAsia="仿宋_GB2312"/>
          <w:color w:val="auto"/>
          <w:sz w:val="32"/>
          <w:szCs w:val="32"/>
          <w:lang w:val="en-US"/>
        </w:rPr>
        <w:t>2</w:t>
      </w:r>
      <w:r>
        <w:rPr>
          <w:rFonts w:hint="eastAsia" w:ascii="仿宋_GB2312" w:hAnsi="ˎ̥" w:eastAsia="仿宋_GB2312"/>
          <w:color w:val="auto"/>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bookmarkStart w:id="113" w:name="_Toc11039_WPSOffice_Level1"/>
      <w:bookmarkStart w:id="114" w:name="_Toc4398_WPSOffice_Level1"/>
      <w:bookmarkStart w:id="115" w:name="_Toc8808_WPSOffice_Level1"/>
      <w:bookmarkStart w:id="116" w:name="_Toc15425_WPSOffice_Level1"/>
      <w:bookmarkStart w:id="117" w:name="_Toc17580_WPSOffice_Level1"/>
      <w:bookmarkStart w:id="118" w:name="_Toc8874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r>
        <w:rPr>
          <w:rFonts w:hint="eastAsia" w:ascii="黑体" w:hAnsi="ˎ̥" w:eastAsia="黑体"/>
          <w:color w:val="auto"/>
          <w:sz w:val="32"/>
          <w:szCs w:val="32"/>
        </w:rPr>
        <w:t>第四部分  名词解释</w:t>
      </w:r>
      <w:bookmarkEnd w:id="113"/>
      <w:bookmarkEnd w:id="114"/>
      <w:bookmarkEnd w:id="115"/>
      <w:bookmarkEnd w:id="116"/>
      <w:bookmarkEnd w:id="117"/>
      <w:bookmarkEnd w:id="118"/>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十六、</w:t>
      </w:r>
      <w:r>
        <w:rPr>
          <w:rFonts w:ascii="仿宋_GB2312" w:hAnsi="ˎ̥" w:eastAsia="仿宋_GB2312"/>
          <w:color w:val="auto"/>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auto"/>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支出功能分类的名词解释，各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单位根据实际支出情况填列，可参阅财政部印发的《</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年政府收支分类科目》</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43AC2853"/>
    <w:multiLevelType w:val="singleLevel"/>
    <w:tmpl w:val="43AC2853"/>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5F43C80"/>
    <w:rsid w:val="073360BD"/>
    <w:rsid w:val="079D4E3C"/>
    <w:rsid w:val="09201287"/>
    <w:rsid w:val="09A17C26"/>
    <w:rsid w:val="0FB70637"/>
    <w:rsid w:val="0FC80124"/>
    <w:rsid w:val="136F98C7"/>
    <w:rsid w:val="17427E68"/>
    <w:rsid w:val="1755065F"/>
    <w:rsid w:val="1AFC29C9"/>
    <w:rsid w:val="1CA52F2E"/>
    <w:rsid w:val="1E3630B9"/>
    <w:rsid w:val="26EEC2B5"/>
    <w:rsid w:val="2702741C"/>
    <w:rsid w:val="29472309"/>
    <w:rsid w:val="2B406E77"/>
    <w:rsid w:val="2C2A0C43"/>
    <w:rsid w:val="2D1E73A5"/>
    <w:rsid w:val="32717154"/>
    <w:rsid w:val="34B63260"/>
    <w:rsid w:val="371C71B3"/>
    <w:rsid w:val="37FDA7E2"/>
    <w:rsid w:val="3A314D88"/>
    <w:rsid w:val="3A746883"/>
    <w:rsid w:val="3CA15DE9"/>
    <w:rsid w:val="3FE61EE5"/>
    <w:rsid w:val="406508EE"/>
    <w:rsid w:val="408D6263"/>
    <w:rsid w:val="41B40CEE"/>
    <w:rsid w:val="48317291"/>
    <w:rsid w:val="485F7024"/>
    <w:rsid w:val="48E70666"/>
    <w:rsid w:val="4C6877E5"/>
    <w:rsid w:val="4D6A468D"/>
    <w:rsid w:val="4EA86137"/>
    <w:rsid w:val="56CA7FD0"/>
    <w:rsid w:val="575745AC"/>
    <w:rsid w:val="57FA38D1"/>
    <w:rsid w:val="5BFD2783"/>
    <w:rsid w:val="5F7D3333"/>
    <w:rsid w:val="5F823359"/>
    <w:rsid w:val="60720869"/>
    <w:rsid w:val="61385890"/>
    <w:rsid w:val="687436E1"/>
    <w:rsid w:val="6DA45C50"/>
    <w:rsid w:val="6E9A7825"/>
    <w:rsid w:val="6F670F9B"/>
    <w:rsid w:val="737450E0"/>
    <w:rsid w:val="74054476"/>
    <w:rsid w:val="742F38C4"/>
    <w:rsid w:val="748D4578"/>
    <w:rsid w:val="74AB66DC"/>
    <w:rsid w:val="74C4154C"/>
    <w:rsid w:val="75956FFF"/>
    <w:rsid w:val="77AA2D01"/>
    <w:rsid w:val="7A612055"/>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6198</Words>
  <Characters>6845</Characters>
  <Lines>67</Lines>
  <Paragraphs>18</Paragraphs>
  <TotalTime>19</TotalTime>
  <ScaleCrop>false</ScaleCrop>
  <LinksUpToDate>false</LinksUpToDate>
  <CharactersWithSpaces>6914</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2025-10-27T01:21:18Z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eyJoZGlkIjoiYzA0ZDc1NzhjM2JjZjRkZDJhMmFlYmNkYjVkNzZkMjIiLCJ1c2VySWQiOiIxMjM1MDMzNjcxIn0=</vt:lpwstr>
  </property>
</Properties>
</file>