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720" w:lineRule="exact"/>
        <w:jc w:val="center"/>
        <w:textAlignment w:val="auto"/>
        <w:outlineLvl w:val="0"/>
        <w:rPr>
          <w:rFonts w:hint="eastAsia" w:ascii="方正小标宋_GBK" w:hAnsi="方正小标宋_GBK" w:eastAsia="方正小标宋_GBK" w:cs="方正小标宋_GBK"/>
          <w:b w:val="0"/>
          <w:bCs w:val="0"/>
          <w:sz w:val="44"/>
          <w:szCs w:val="44"/>
        </w:rPr>
      </w:pPr>
      <w:bookmarkStart w:id="0" w:name="_Toc22554"/>
      <w:r>
        <w:rPr>
          <w:rFonts w:hint="eastAsia" w:ascii="方正小标宋_GBK" w:hAnsi="方正小标宋_GBK" w:eastAsia="方正小标宋_GBK" w:cs="方正小标宋_GBK"/>
          <w:b w:val="0"/>
          <w:bCs w:val="0"/>
          <w:sz w:val="44"/>
          <w:szCs w:val="44"/>
        </w:rPr>
        <w:t>屯昌县南吕镇南吕中学2024年度</w:t>
      </w:r>
    </w:p>
    <w:p>
      <w:pPr>
        <w:keepNext w:val="0"/>
        <w:keepLines w:val="0"/>
        <w:pageBreakBefore w:val="0"/>
        <w:widowControl w:val="0"/>
        <w:kinsoku/>
        <w:wordWrap/>
        <w:overflowPunct/>
        <w:topLinePunct w:val="0"/>
        <w:autoSpaceDE/>
        <w:autoSpaceDN/>
        <w:bidi w:val="0"/>
        <w:adjustRightInd/>
        <w:snapToGrid/>
        <w:spacing w:line="720" w:lineRule="exact"/>
        <w:jc w:val="center"/>
        <w:textAlignment w:val="auto"/>
        <w:outlineLvl w:val="0"/>
        <w:rPr>
          <w:rFonts w:hint="eastAsia" w:ascii="方正小标宋_GBK" w:hAnsi="方正小标宋_GBK" w:eastAsia="方正小标宋_GBK" w:cs="方正小标宋_GBK"/>
          <w:b w:val="0"/>
          <w:bCs w:val="0"/>
          <w:sz w:val="44"/>
          <w:szCs w:val="44"/>
        </w:rPr>
      </w:pPr>
      <w:r>
        <w:rPr>
          <w:rFonts w:hint="eastAsia" w:ascii="方正小标宋_GBK" w:hAnsi="方正小标宋_GBK" w:eastAsia="方正小标宋_GBK" w:cs="方正小标宋_GBK"/>
          <w:b w:val="0"/>
          <w:bCs w:val="0"/>
          <w:sz w:val="44"/>
          <w:szCs w:val="44"/>
          <w:lang w:eastAsia="zh-CN"/>
        </w:rPr>
        <w:t>单位</w:t>
      </w:r>
      <w:r>
        <w:rPr>
          <w:rFonts w:hint="eastAsia" w:ascii="方正小标宋_GBK" w:hAnsi="方正小标宋_GBK" w:eastAsia="方正小标宋_GBK" w:cs="方正小标宋_GBK"/>
          <w:b w:val="0"/>
          <w:bCs w:val="0"/>
          <w:sz w:val="44"/>
          <w:szCs w:val="44"/>
        </w:rPr>
        <w:t>决算公开报告</w:t>
      </w:r>
      <w:bookmarkEnd w:id="0"/>
    </w:p>
    <w:sdt>
      <w:sdtPr>
        <w:rPr>
          <w:rFonts w:ascii="宋体" w:hAnsi="宋体" w:eastAsia="宋体" w:cs="Times New Roman"/>
          <w:kern w:val="2"/>
          <w:sz w:val="21"/>
          <w:szCs w:val="24"/>
          <w:lang w:val="en-US" w:eastAsia="zh-CN" w:bidi="ar-SA"/>
        </w:rPr>
        <w:id w:val="147476751"/>
        <w15:color w:val="DBDBDB"/>
        <w:docPartObj>
          <w:docPartGallery w:val="Table of Contents"/>
          <w:docPartUnique/>
        </w:docPartObj>
      </w:sdtPr>
      <w:sdtEndPr>
        <w:rPr>
          <w:rFonts w:hint="eastAsia" w:ascii="黑体" w:hAnsi="ˎ̥" w:eastAsia="黑体" w:cs="Times New Roman"/>
          <w:b/>
          <w:kern w:val="2"/>
          <w:sz w:val="21"/>
          <w:szCs w:val="32"/>
          <w:lang w:val="en-US" w:eastAsia="zh-CN" w:bidi="ar-SA"/>
        </w:rPr>
      </w:sdtEndPr>
      <w:sdtContent>
        <w:p>
          <w:pPr>
            <w:spacing w:before="0" w:beforeLines="0" w:after="0" w:afterLines="0" w:line="240" w:lineRule="auto"/>
            <w:ind w:left="0" w:leftChars="0" w:right="0" w:rightChars="0" w:firstLine="0" w:firstLineChars="0"/>
            <w:jc w:val="center"/>
            <w:rPr>
              <w:rFonts w:ascii="宋体" w:hAnsi="宋体" w:eastAsia="宋体" w:cs="Times New Roman"/>
              <w:kern w:val="2"/>
              <w:sz w:val="21"/>
              <w:szCs w:val="24"/>
              <w:lang w:val="en-US" w:eastAsia="zh-CN" w:bidi="ar-SA"/>
            </w:rPr>
          </w:pPr>
          <w:bookmarkStart w:id="1" w:name="_Toc10049_WPSOffice_Level1"/>
          <w:bookmarkStart w:id="2" w:name="_Toc22941_WPSOffice_Level1"/>
          <w:bookmarkStart w:id="3" w:name="_Toc10720_WPSOffice_Level1"/>
          <w:bookmarkStart w:id="4" w:name="_Toc23465_WPSOffice_Level1"/>
          <w:bookmarkStart w:id="5" w:name="_Toc32433_WPSOffice_Level1"/>
          <w:bookmarkStart w:id="6" w:name="_Toc24238_WPSOffice_Level2"/>
          <w:bookmarkStart w:id="7" w:name="_Toc14159_WPSOffice_Level2"/>
          <w:bookmarkStart w:id="8" w:name="_Toc32622_WPSOffice_Level2"/>
          <w:bookmarkStart w:id="9" w:name="_Toc26580_WPSOffice_Level2"/>
          <w:bookmarkStart w:id="10" w:name="_Toc20205_WPSOffice_Level2"/>
        </w:p>
        <w:p>
          <w:pPr>
            <w:spacing w:before="0" w:beforeLines="0" w:after="0" w:afterLines="0" w:line="240" w:lineRule="auto"/>
            <w:ind w:left="0" w:leftChars="0" w:right="0" w:rightChars="0" w:firstLine="0" w:firstLineChars="0"/>
            <w:jc w:val="center"/>
            <w:rPr>
              <w:rFonts w:hint="eastAsia" w:ascii="黑体" w:hAnsi="黑体" w:eastAsia="黑体" w:cs="黑体"/>
              <w:sz w:val="32"/>
              <w:szCs w:val="32"/>
            </w:rPr>
          </w:pPr>
          <w:r>
            <w:rPr>
              <w:rFonts w:hint="eastAsia" w:ascii="黑体" w:hAnsi="黑体" w:eastAsia="黑体" w:cs="黑体"/>
              <w:sz w:val="32"/>
              <w:szCs w:val="32"/>
            </w:rPr>
            <w:t>目录</w:t>
          </w:r>
        </w:p>
        <w:p>
          <w:pPr>
            <w:pStyle w:val="15"/>
            <w:tabs>
              <w:tab w:val="right" w:leader="dot" w:pos="8845"/>
            </w:tabs>
            <w:rPr>
              <w:b/>
            </w:rPr>
          </w:pPr>
          <w:r>
            <w:rPr>
              <w:rFonts w:hint="eastAsia" w:ascii="黑体" w:hAnsi="ˎ̥" w:eastAsia="黑体"/>
              <w:sz w:val="32"/>
              <w:szCs w:val="32"/>
            </w:rPr>
            <w:fldChar w:fldCharType="begin"/>
          </w:r>
          <w:r>
            <w:rPr>
              <w:rFonts w:hint="eastAsia" w:ascii="黑体" w:hAnsi="ˎ̥" w:eastAsia="黑体"/>
              <w:sz w:val="32"/>
              <w:szCs w:val="32"/>
            </w:rPr>
            <w:instrText xml:space="preserve">TOC \o "1-2" \h \u </w:instrText>
          </w:r>
          <w:r>
            <w:rPr>
              <w:rFonts w:hint="eastAsia" w:ascii="黑体" w:hAnsi="ˎ̥" w:eastAsia="黑体"/>
              <w:sz w:val="32"/>
              <w:szCs w:val="32"/>
            </w:rPr>
            <w:fldChar w:fldCharType="separate"/>
          </w:r>
          <w:r>
            <w:rPr>
              <w:rFonts w:hint="eastAsia" w:ascii="黑体" w:hAnsi="ˎ̥" w:eastAsia="黑体"/>
              <w:b/>
              <w:szCs w:val="32"/>
            </w:rPr>
            <w:fldChar w:fldCharType="begin"/>
          </w:r>
          <w:r>
            <w:rPr>
              <w:rFonts w:hint="eastAsia" w:ascii="黑体" w:hAnsi="ˎ̥" w:eastAsia="黑体"/>
              <w:b/>
              <w:szCs w:val="32"/>
            </w:rPr>
            <w:instrText xml:space="preserve"> HYPERLINK \l _Toc22554 </w:instrText>
          </w:r>
          <w:r>
            <w:rPr>
              <w:rFonts w:hint="eastAsia" w:ascii="黑体" w:hAnsi="ˎ̥" w:eastAsia="黑体"/>
              <w:b/>
              <w:szCs w:val="32"/>
            </w:rPr>
            <w:fldChar w:fldCharType="separate"/>
          </w:r>
          <w:r>
            <w:rPr>
              <w:rFonts w:hint="eastAsia" w:asciiTheme="majorEastAsia" w:hAnsiTheme="majorEastAsia" w:eastAsiaTheme="majorEastAsia" w:cstheme="majorEastAsia"/>
              <w:b/>
              <w:bCs/>
              <w:szCs w:val="44"/>
            </w:rPr>
            <w:t>屯昌县南吕镇南吕中学2024年度</w:t>
          </w:r>
          <w:r>
            <w:rPr>
              <w:rFonts w:hint="eastAsia" w:asciiTheme="majorEastAsia" w:hAnsiTheme="majorEastAsia" w:eastAsiaTheme="majorEastAsia" w:cstheme="majorEastAsia"/>
              <w:b/>
              <w:bCs/>
              <w:szCs w:val="44"/>
              <w:lang w:eastAsia="zh-CN"/>
            </w:rPr>
            <w:t>单位</w:t>
          </w:r>
          <w:r>
            <w:rPr>
              <w:rFonts w:hint="eastAsia" w:asciiTheme="majorEastAsia" w:hAnsiTheme="majorEastAsia" w:eastAsiaTheme="majorEastAsia" w:cstheme="majorEastAsia"/>
              <w:b/>
              <w:bCs/>
              <w:szCs w:val="44"/>
            </w:rPr>
            <w:t>决算公开报告</w:t>
          </w:r>
          <w:r>
            <w:rPr>
              <w:b/>
            </w:rPr>
            <w:tab/>
          </w:r>
          <w:r>
            <w:rPr>
              <w:b/>
            </w:rPr>
            <w:fldChar w:fldCharType="begin"/>
          </w:r>
          <w:r>
            <w:rPr>
              <w:b/>
            </w:rPr>
            <w:instrText xml:space="preserve"> PAGEREF _Toc22554 \h </w:instrText>
          </w:r>
          <w:r>
            <w:rPr>
              <w:b/>
            </w:rPr>
            <w:fldChar w:fldCharType="separate"/>
          </w:r>
          <w:r>
            <w:rPr>
              <w:b/>
            </w:rPr>
            <w:t>1</w:t>
          </w:r>
          <w:r>
            <w:rPr>
              <w:b/>
            </w:rPr>
            <w:fldChar w:fldCharType="end"/>
          </w:r>
          <w:r>
            <w:rPr>
              <w:rFonts w:hint="eastAsia" w:ascii="黑体" w:hAnsi="ˎ̥" w:eastAsia="黑体"/>
              <w:b/>
              <w:szCs w:val="32"/>
            </w:rPr>
            <w:fldChar w:fldCharType="end"/>
          </w:r>
        </w:p>
        <w:p>
          <w:pPr>
            <w:pStyle w:val="15"/>
            <w:tabs>
              <w:tab w:val="right" w:leader="dot" w:pos="8845"/>
            </w:tabs>
            <w:rPr>
              <w:b/>
            </w:rPr>
          </w:pPr>
          <w:r>
            <w:rPr>
              <w:rFonts w:hint="eastAsia" w:ascii="黑体" w:hAnsi="ˎ̥" w:eastAsia="黑体"/>
              <w:b/>
              <w:szCs w:val="32"/>
            </w:rPr>
            <w:fldChar w:fldCharType="begin"/>
          </w:r>
          <w:r>
            <w:rPr>
              <w:rFonts w:hint="eastAsia" w:ascii="黑体" w:hAnsi="ˎ̥" w:eastAsia="黑体"/>
              <w:b/>
              <w:szCs w:val="32"/>
            </w:rPr>
            <w:instrText xml:space="preserve"> HYPERLINK \l _Toc27748 </w:instrText>
          </w:r>
          <w:r>
            <w:rPr>
              <w:rFonts w:hint="eastAsia" w:ascii="黑体" w:hAnsi="ˎ̥" w:eastAsia="黑体"/>
              <w:b/>
              <w:szCs w:val="32"/>
            </w:rPr>
            <w:fldChar w:fldCharType="separate"/>
          </w:r>
          <w:r>
            <w:rPr>
              <w:rFonts w:hint="eastAsia" w:ascii="黑体" w:hAnsi="ˎ̥" w:eastAsia="黑体"/>
              <w:b/>
              <w:szCs w:val="32"/>
            </w:rPr>
            <w:t>第一部分  基本情况</w:t>
          </w:r>
          <w:r>
            <w:rPr>
              <w:b/>
            </w:rPr>
            <w:tab/>
          </w:r>
          <w:r>
            <w:rPr>
              <w:b/>
            </w:rPr>
            <w:fldChar w:fldCharType="begin"/>
          </w:r>
          <w:r>
            <w:rPr>
              <w:b/>
            </w:rPr>
            <w:instrText xml:space="preserve"> PAGEREF _Toc27748 \h </w:instrText>
          </w:r>
          <w:r>
            <w:rPr>
              <w:b/>
            </w:rPr>
            <w:fldChar w:fldCharType="separate"/>
          </w:r>
          <w:r>
            <w:rPr>
              <w:b/>
            </w:rPr>
            <w:t>1</w:t>
          </w:r>
          <w:r>
            <w:rPr>
              <w:b/>
            </w:rPr>
            <w:fldChar w:fldCharType="end"/>
          </w:r>
          <w:r>
            <w:rPr>
              <w:rFonts w:hint="eastAsia" w:ascii="黑体" w:hAnsi="ˎ̥" w:eastAsia="黑体"/>
              <w:b/>
              <w:szCs w:val="32"/>
            </w:rPr>
            <w:fldChar w:fldCharType="end"/>
          </w:r>
        </w:p>
        <w:p>
          <w:pPr>
            <w:pStyle w:val="16"/>
            <w:tabs>
              <w:tab w:val="right" w:leader="dot" w:pos="8845"/>
            </w:tabs>
          </w:pPr>
          <w:r>
            <w:rPr>
              <w:rFonts w:hint="eastAsia" w:ascii="黑体" w:hAnsi="ˎ̥" w:eastAsia="黑体"/>
              <w:szCs w:val="32"/>
            </w:rPr>
            <w:fldChar w:fldCharType="begin"/>
          </w:r>
          <w:r>
            <w:rPr>
              <w:rFonts w:hint="eastAsia" w:ascii="黑体" w:hAnsi="ˎ̥" w:eastAsia="黑体"/>
              <w:szCs w:val="32"/>
            </w:rPr>
            <w:instrText xml:space="preserve"> HYPERLINK \l _Toc28628 </w:instrText>
          </w:r>
          <w:r>
            <w:rPr>
              <w:rFonts w:hint="eastAsia" w:ascii="黑体" w:hAnsi="ˎ̥" w:eastAsia="黑体"/>
              <w:szCs w:val="32"/>
            </w:rPr>
            <w:fldChar w:fldCharType="separate"/>
          </w:r>
          <w:r>
            <w:rPr>
              <w:rFonts w:hint="eastAsia" w:ascii="黑体" w:hAnsi="黑体" w:eastAsia="黑体" w:cs="黑体"/>
              <w:szCs w:val="32"/>
            </w:rPr>
            <w:t xml:space="preserve">一、 </w:t>
          </w:r>
          <w:r>
            <w:rPr>
              <w:rFonts w:hint="eastAsia" w:ascii="黑体" w:hAnsi="黑体" w:eastAsia="黑体" w:cs="黑体"/>
              <w:szCs w:val="32"/>
              <w:lang w:eastAsia="zh-CN"/>
            </w:rPr>
            <w:t>单位</w:t>
          </w:r>
          <w:r>
            <w:rPr>
              <w:rFonts w:hint="eastAsia" w:ascii="黑体" w:hAnsi="黑体" w:eastAsia="黑体" w:cs="黑体"/>
              <w:szCs w:val="32"/>
            </w:rPr>
            <w:t>职责</w:t>
          </w:r>
          <w:r>
            <w:tab/>
          </w:r>
          <w:r>
            <w:fldChar w:fldCharType="begin"/>
          </w:r>
          <w:r>
            <w:instrText xml:space="preserve"> PAGEREF _Toc28628 \h </w:instrText>
          </w:r>
          <w:r>
            <w:fldChar w:fldCharType="separate"/>
          </w:r>
          <w:r>
            <w:t>1</w:t>
          </w:r>
          <w:r>
            <w:fldChar w:fldCharType="end"/>
          </w:r>
          <w:r>
            <w:rPr>
              <w:rFonts w:hint="eastAsia" w:ascii="黑体" w:hAnsi="ˎ̥" w:eastAsia="黑体"/>
              <w:szCs w:val="32"/>
            </w:rPr>
            <w:fldChar w:fldCharType="end"/>
          </w:r>
        </w:p>
        <w:p>
          <w:pPr>
            <w:pStyle w:val="16"/>
            <w:tabs>
              <w:tab w:val="right" w:leader="dot" w:pos="8845"/>
            </w:tabs>
          </w:pPr>
          <w:r>
            <w:rPr>
              <w:rFonts w:hint="eastAsia" w:ascii="黑体" w:hAnsi="ˎ̥" w:eastAsia="黑体"/>
              <w:szCs w:val="32"/>
            </w:rPr>
            <w:fldChar w:fldCharType="begin"/>
          </w:r>
          <w:r>
            <w:rPr>
              <w:rFonts w:hint="eastAsia" w:ascii="黑体" w:hAnsi="ˎ̥" w:eastAsia="黑体"/>
              <w:szCs w:val="32"/>
            </w:rPr>
            <w:instrText xml:space="preserve"> HYPERLINK \l _Toc32395 </w:instrText>
          </w:r>
          <w:r>
            <w:rPr>
              <w:rFonts w:hint="eastAsia" w:ascii="黑体" w:hAnsi="ˎ̥" w:eastAsia="黑体"/>
              <w:szCs w:val="32"/>
            </w:rPr>
            <w:fldChar w:fldCharType="separate"/>
          </w:r>
          <w:r>
            <w:rPr>
              <w:rFonts w:hint="eastAsia" w:ascii="黑体" w:hAnsi="黑体" w:eastAsia="黑体" w:cs="黑体"/>
              <w:szCs w:val="32"/>
            </w:rPr>
            <w:t>二、 机构设置</w:t>
          </w:r>
          <w:r>
            <w:tab/>
          </w:r>
          <w:r>
            <w:fldChar w:fldCharType="begin"/>
          </w:r>
          <w:r>
            <w:instrText xml:space="preserve"> PAGEREF _Toc32395 \h </w:instrText>
          </w:r>
          <w:r>
            <w:fldChar w:fldCharType="separate"/>
          </w:r>
          <w:r>
            <w:t>2</w:t>
          </w:r>
          <w:r>
            <w:fldChar w:fldCharType="end"/>
          </w:r>
          <w:r>
            <w:rPr>
              <w:rFonts w:hint="eastAsia" w:ascii="黑体" w:hAnsi="ˎ̥" w:eastAsia="黑体"/>
              <w:szCs w:val="32"/>
            </w:rPr>
            <w:fldChar w:fldCharType="end"/>
          </w:r>
        </w:p>
        <w:p>
          <w:pPr>
            <w:pStyle w:val="15"/>
            <w:tabs>
              <w:tab w:val="right" w:leader="dot" w:pos="8845"/>
            </w:tabs>
            <w:rPr>
              <w:b/>
            </w:rPr>
          </w:pPr>
          <w:r>
            <w:rPr>
              <w:rFonts w:hint="eastAsia" w:ascii="黑体" w:hAnsi="ˎ̥" w:eastAsia="黑体"/>
              <w:b/>
              <w:szCs w:val="32"/>
            </w:rPr>
            <w:fldChar w:fldCharType="begin"/>
          </w:r>
          <w:r>
            <w:rPr>
              <w:rFonts w:hint="eastAsia" w:ascii="黑体" w:hAnsi="ˎ̥" w:eastAsia="黑体"/>
              <w:b/>
              <w:szCs w:val="32"/>
            </w:rPr>
            <w:instrText xml:space="preserve"> HYPERLINK \l _Toc14723 </w:instrText>
          </w:r>
          <w:r>
            <w:rPr>
              <w:rFonts w:hint="eastAsia" w:ascii="黑体" w:hAnsi="ˎ̥" w:eastAsia="黑体"/>
              <w:b/>
              <w:szCs w:val="32"/>
            </w:rPr>
            <w:fldChar w:fldCharType="separate"/>
          </w:r>
          <w:r>
            <w:rPr>
              <w:rFonts w:hint="eastAsia" w:ascii="黑体" w:hAnsi="ˎ̥" w:eastAsia="黑体"/>
              <w:b/>
              <w:szCs w:val="32"/>
            </w:rPr>
            <w:t xml:space="preserve">第二部分  </w:t>
          </w:r>
          <w:r>
            <w:rPr>
              <w:rFonts w:hint="default" w:ascii="黑体" w:hAnsi="ˎ̥" w:eastAsia="黑体"/>
              <w:b/>
              <w:szCs w:val="32"/>
              <w:lang w:val="en-US"/>
            </w:rPr>
            <w:t>2024</w:t>
          </w:r>
          <w:r>
            <w:rPr>
              <w:rFonts w:hint="eastAsia" w:ascii="黑体" w:hAnsi="ˎ̥" w:eastAsia="黑体"/>
              <w:b/>
              <w:szCs w:val="32"/>
            </w:rPr>
            <w:t>年度</w:t>
          </w:r>
          <w:r>
            <w:rPr>
              <w:rFonts w:hint="eastAsia" w:ascii="黑体" w:hAnsi="ˎ̥" w:eastAsia="黑体"/>
              <w:b/>
              <w:szCs w:val="32"/>
              <w:lang w:eastAsia="zh-CN"/>
            </w:rPr>
            <w:t>单位</w:t>
          </w:r>
          <w:r>
            <w:rPr>
              <w:rFonts w:hint="eastAsia" w:ascii="黑体" w:hAnsi="ˎ̥" w:eastAsia="黑体"/>
              <w:b/>
              <w:szCs w:val="32"/>
            </w:rPr>
            <w:t>决算公开报表</w:t>
          </w:r>
          <w:r>
            <w:rPr>
              <w:b/>
            </w:rPr>
            <w:tab/>
          </w:r>
          <w:r>
            <w:rPr>
              <w:b/>
            </w:rPr>
            <w:fldChar w:fldCharType="begin"/>
          </w:r>
          <w:r>
            <w:rPr>
              <w:b/>
            </w:rPr>
            <w:instrText xml:space="preserve"> PAGEREF _Toc14723 \h </w:instrText>
          </w:r>
          <w:r>
            <w:rPr>
              <w:b/>
            </w:rPr>
            <w:fldChar w:fldCharType="separate"/>
          </w:r>
          <w:r>
            <w:rPr>
              <w:b/>
            </w:rPr>
            <w:t>2</w:t>
          </w:r>
          <w:r>
            <w:rPr>
              <w:b/>
            </w:rPr>
            <w:fldChar w:fldCharType="end"/>
          </w:r>
          <w:r>
            <w:rPr>
              <w:rFonts w:hint="eastAsia" w:ascii="黑体" w:hAnsi="ˎ̥" w:eastAsia="黑体"/>
              <w:b/>
              <w:szCs w:val="32"/>
            </w:rPr>
            <w:fldChar w:fldCharType="end"/>
          </w:r>
        </w:p>
        <w:p>
          <w:pPr>
            <w:pStyle w:val="15"/>
            <w:tabs>
              <w:tab w:val="right" w:leader="dot" w:pos="8845"/>
            </w:tabs>
            <w:rPr>
              <w:b/>
            </w:rPr>
          </w:pPr>
          <w:r>
            <w:rPr>
              <w:rFonts w:hint="eastAsia" w:ascii="黑体" w:hAnsi="ˎ̥" w:eastAsia="黑体"/>
              <w:b/>
              <w:szCs w:val="32"/>
            </w:rPr>
            <w:fldChar w:fldCharType="begin"/>
          </w:r>
          <w:r>
            <w:rPr>
              <w:rFonts w:hint="eastAsia" w:ascii="黑体" w:hAnsi="ˎ̥" w:eastAsia="黑体"/>
              <w:b/>
              <w:szCs w:val="32"/>
            </w:rPr>
            <w:instrText xml:space="preserve"> HYPERLINK \l _Toc31927 </w:instrText>
          </w:r>
          <w:r>
            <w:rPr>
              <w:rFonts w:hint="eastAsia" w:ascii="黑体" w:hAnsi="ˎ̥" w:eastAsia="黑体"/>
              <w:b/>
              <w:szCs w:val="32"/>
            </w:rPr>
            <w:fldChar w:fldCharType="separate"/>
          </w:r>
          <w:r>
            <w:rPr>
              <w:rFonts w:hint="eastAsia" w:ascii="黑体" w:hAnsi="ˎ̥" w:eastAsia="黑体"/>
              <w:b/>
              <w:szCs w:val="32"/>
            </w:rPr>
            <w:t xml:space="preserve">第三部分  </w:t>
          </w:r>
          <w:r>
            <w:rPr>
              <w:rFonts w:hint="default" w:ascii="黑体" w:hAnsi="ˎ̥" w:eastAsia="黑体"/>
              <w:b/>
              <w:szCs w:val="32"/>
              <w:lang w:val="en-US"/>
            </w:rPr>
            <w:t>2024</w:t>
          </w:r>
          <w:r>
            <w:rPr>
              <w:rFonts w:hint="eastAsia" w:ascii="黑体" w:hAnsi="ˎ̥" w:eastAsia="黑体"/>
              <w:b/>
              <w:szCs w:val="32"/>
            </w:rPr>
            <w:t>年度</w:t>
          </w:r>
          <w:r>
            <w:rPr>
              <w:rFonts w:hint="eastAsia" w:ascii="黑体" w:hAnsi="ˎ̥" w:eastAsia="黑体"/>
              <w:b/>
              <w:szCs w:val="32"/>
              <w:lang w:eastAsia="zh-CN"/>
            </w:rPr>
            <w:t>单位</w:t>
          </w:r>
          <w:r>
            <w:rPr>
              <w:rFonts w:hint="eastAsia" w:ascii="黑体" w:hAnsi="ˎ̥" w:eastAsia="黑体"/>
              <w:b/>
              <w:szCs w:val="32"/>
            </w:rPr>
            <w:t>决算情况说明</w:t>
          </w:r>
          <w:r>
            <w:rPr>
              <w:b/>
            </w:rPr>
            <w:tab/>
          </w:r>
          <w:r>
            <w:rPr>
              <w:b/>
            </w:rPr>
            <w:fldChar w:fldCharType="begin"/>
          </w:r>
          <w:r>
            <w:rPr>
              <w:b/>
            </w:rPr>
            <w:instrText xml:space="preserve"> PAGEREF _Toc31927 \h </w:instrText>
          </w:r>
          <w:r>
            <w:rPr>
              <w:b/>
            </w:rPr>
            <w:fldChar w:fldCharType="separate"/>
          </w:r>
          <w:r>
            <w:rPr>
              <w:b/>
            </w:rPr>
            <w:t>3</w:t>
          </w:r>
          <w:r>
            <w:rPr>
              <w:b/>
            </w:rPr>
            <w:fldChar w:fldCharType="end"/>
          </w:r>
          <w:r>
            <w:rPr>
              <w:rFonts w:hint="eastAsia" w:ascii="黑体" w:hAnsi="ˎ̥" w:eastAsia="黑体"/>
              <w:b/>
              <w:szCs w:val="32"/>
            </w:rPr>
            <w:fldChar w:fldCharType="end"/>
          </w:r>
        </w:p>
        <w:p>
          <w:pPr>
            <w:pStyle w:val="16"/>
            <w:tabs>
              <w:tab w:val="right" w:leader="dot" w:pos="8845"/>
            </w:tabs>
          </w:pPr>
          <w:r>
            <w:rPr>
              <w:rFonts w:hint="eastAsia" w:ascii="黑体" w:hAnsi="ˎ̥" w:eastAsia="黑体"/>
              <w:szCs w:val="32"/>
            </w:rPr>
            <w:fldChar w:fldCharType="begin"/>
          </w:r>
          <w:r>
            <w:rPr>
              <w:rFonts w:hint="eastAsia" w:ascii="黑体" w:hAnsi="ˎ̥" w:eastAsia="黑体"/>
              <w:szCs w:val="32"/>
            </w:rPr>
            <w:instrText xml:space="preserve"> HYPERLINK \l _Toc6770 </w:instrText>
          </w:r>
          <w:r>
            <w:rPr>
              <w:rFonts w:hint="eastAsia" w:ascii="黑体" w:hAnsi="ˎ̥" w:eastAsia="黑体"/>
              <w:szCs w:val="32"/>
            </w:rPr>
            <w:fldChar w:fldCharType="separate"/>
          </w:r>
          <w:r>
            <w:rPr>
              <w:rFonts w:hint="eastAsia" w:ascii="楷体" w:hAnsi="楷体" w:eastAsia="楷体" w:cs="楷体"/>
              <w:szCs w:val="32"/>
            </w:rPr>
            <w:t>（一</w:t>
          </w:r>
          <w:r>
            <w:rPr>
              <w:rFonts w:ascii="楷体" w:hAnsi="楷体" w:eastAsia="楷体" w:cs="楷体"/>
              <w:szCs w:val="32"/>
            </w:rPr>
            <w:t>）</w:t>
          </w:r>
          <w:r>
            <w:rPr>
              <w:rFonts w:hint="eastAsia" w:ascii="楷体" w:hAnsi="楷体" w:eastAsia="楷体" w:cs="楷体"/>
              <w:szCs w:val="32"/>
            </w:rPr>
            <w:t>收入</w:t>
          </w:r>
          <w:r>
            <w:rPr>
              <w:rFonts w:ascii="楷体" w:hAnsi="楷体" w:eastAsia="楷体" w:cs="楷体"/>
              <w:szCs w:val="32"/>
            </w:rPr>
            <w:t>总计</w:t>
          </w:r>
          <w:r>
            <w:rPr>
              <w:rFonts w:hint="eastAsia" w:ascii="楷体" w:hAnsi="楷体" w:eastAsia="楷体" w:cs="楷体"/>
              <w:szCs w:val="32"/>
            </w:rPr>
            <w:t>主要</w:t>
          </w:r>
          <w:r>
            <w:rPr>
              <w:rFonts w:ascii="楷体" w:hAnsi="楷体" w:eastAsia="楷体" w:cs="楷体"/>
              <w:szCs w:val="32"/>
            </w:rPr>
            <w:t>构成</w:t>
          </w:r>
          <w:r>
            <w:tab/>
          </w:r>
          <w:r>
            <w:fldChar w:fldCharType="begin"/>
          </w:r>
          <w:r>
            <w:instrText xml:space="preserve"> PAGEREF _Toc6770 \h </w:instrText>
          </w:r>
          <w:r>
            <w:fldChar w:fldCharType="separate"/>
          </w:r>
          <w:r>
            <w:t>3</w:t>
          </w:r>
          <w:r>
            <w:fldChar w:fldCharType="end"/>
          </w:r>
          <w:r>
            <w:rPr>
              <w:rFonts w:hint="eastAsia" w:ascii="黑体" w:hAnsi="ˎ̥" w:eastAsia="黑体"/>
              <w:szCs w:val="32"/>
            </w:rPr>
            <w:fldChar w:fldCharType="end"/>
          </w:r>
        </w:p>
        <w:p>
          <w:pPr>
            <w:pStyle w:val="16"/>
            <w:tabs>
              <w:tab w:val="right" w:leader="dot" w:pos="8845"/>
            </w:tabs>
          </w:pPr>
          <w:r>
            <w:rPr>
              <w:rFonts w:hint="eastAsia" w:ascii="黑体" w:hAnsi="ˎ̥" w:eastAsia="黑体"/>
              <w:szCs w:val="32"/>
            </w:rPr>
            <w:fldChar w:fldCharType="begin"/>
          </w:r>
          <w:r>
            <w:rPr>
              <w:rFonts w:hint="eastAsia" w:ascii="黑体" w:hAnsi="ˎ̥" w:eastAsia="黑体"/>
              <w:szCs w:val="32"/>
            </w:rPr>
            <w:instrText xml:space="preserve"> HYPERLINK \l _Toc41 </w:instrText>
          </w:r>
          <w:r>
            <w:rPr>
              <w:rFonts w:hint="eastAsia" w:ascii="黑体" w:hAnsi="ˎ̥" w:eastAsia="黑体"/>
              <w:szCs w:val="32"/>
            </w:rPr>
            <w:fldChar w:fldCharType="separate"/>
          </w:r>
          <w:r>
            <w:rPr>
              <w:rFonts w:hint="eastAsia" w:ascii="楷体" w:hAnsi="楷体" w:eastAsia="楷体" w:cs="楷体"/>
              <w:szCs w:val="32"/>
            </w:rPr>
            <w:t>（二</w:t>
          </w:r>
          <w:r>
            <w:rPr>
              <w:rFonts w:ascii="楷体" w:hAnsi="楷体" w:eastAsia="楷体" w:cs="楷体"/>
              <w:szCs w:val="32"/>
            </w:rPr>
            <w:t>）</w:t>
          </w:r>
          <w:r>
            <w:rPr>
              <w:rFonts w:hint="eastAsia" w:ascii="楷体" w:hAnsi="楷体" w:eastAsia="楷体" w:cs="楷体"/>
              <w:szCs w:val="32"/>
            </w:rPr>
            <w:t>支出</w:t>
          </w:r>
          <w:r>
            <w:rPr>
              <w:rFonts w:ascii="楷体" w:hAnsi="楷体" w:eastAsia="楷体" w:cs="楷体"/>
              <w:szCs w:val="32"/>
            </w:rPr>
            <w:t>总计</w:t>
          </w:r>
          <w:r>
            <w:rPr>
              <w:rFonts w:hint="eastAsia" w:ascii="楷体" w:hAnsi="楷体" w:eastAsia="楷体" w:cs="楷体"/>
              <w:szCs w:val="32"/>
            </w:rPr>
            <w:t>主要</w:t>
          </w:r>
          <w:r>
            <w:rPr>
              <w:rFonts w:ascii="楷体" w:hAnsi="楷体" w:eastAsia="楷体" w:cs="楷体"/>
              <w:szCs w:val="32"/>
            </w:rPr>
            <w:t>构成</w:t>
          </w:r>
          <w:r>
            <w:tab/>
          </w:r>
          <w:r>
            <w:fldChar w:fldCharType="begin"/>
          </w:r>
          <w:r>
            <w:instrText xml:space="preserve"> PAGEREF _Toc41 \h </w:instrText>
          </w:r>
          <w:r>
            <w:fldChar w:fldCharType="separate"/>
          </w:r>
          <w:r>
            <w:t>3</w:t>
          </w:r>
          <w:r>
            <w:fldChar w:fldCharType="end"/>
          </w:r>
          <w:r>
            <w:rPr>
              <w:rFonts w:hint="eastAsia" w:ascii="黑体" w:hAnsi="ˎ̥" w:eastAsia="黑体"/>
              <w:szCs w:val="32"/>
            </w:rPr>
            <w:fldChar w:fldCharType="end"/>
          </w:r>
        </w:p>
        <w:p>
          <w:pPr>
            <w:pStyle w:val="16"/>
            <w:tabs>
              <w:tab w:val="right" w:leader="dot" w:pos="8845"/>
            </w:tabs>
          </w:pPr>
          <w:r>
            <w:rPr>
              <w:rFonts w:hint="eastAsia" w:ascii="黑体" w:hAnsi="ˎ̥" w:eastAsia="黑体"/>
              <w:szCs w:val="32"/>
            </w:rPr>
            <w:fldChar w:fldCharType="begin"/>
          </w:r>
          <w:r>
            <w:rPr>
              <w:rFonts w:hint="eastAsia" w:ascii="黑体" w:hAnsi="ˎ̥" w:eastAsia="黑体"/>
              <w:szCs w:val="32"/>
            </w:rPr>
            <w:instrText xml:space="preserve"> HYPERLINK \l _Toc29569 </w:instrText>
          </w:r>
          <w:r>
            <w:rPr>
              <w:rFonts w:hint="eastAsia" w:ascii="黑体" w:hAnsi="ˎ̥" w:eastAsia="黑体"/>
              <w:szCs w:val="32"/>
            </w:rPr>
            <w:fldChar w:fldCharType="separate"/>
          </w:r>
          <w:r>
            <w:rPr>
              <w:rFonts w:hint="eastAsia" w:ascii="楷体" w:hAnsi="楷体" w:eastAsia="楷体" w:cs="楷体"/>
              <w:szCs w:val="32"/>
            </w:rPr>
            <w:t>（一）一般公共预算财政拨款支出决算总体情况</w:t>
          </w:r>
          <w:r>
            <w:tab/>
          </w:r>
          <w:r>
            <w:fldChar w:fldCharType="begin"/>
          </w:r>
          <w:r>
            <w:instrText xml:space="preserve"> PAGEREF _Toc29569 \h </w:instrText>
          </w:r>
          <w:r>
            <w:fldChar w:fldCharType="separate"/>
          </w:r>
          <w:r>
            <w:t>5</w:t>
          </w:r>
          <w:r>
            <w:fldChar w:fldCharType="end"/>
          </w:r>
          <w:r>
            <w:rPr>
              <w:rFonts w:hint="eastAsia" w:ascii="黑体" w:hAnsi="ˎ̥" w:eastAsia="黑体"/>
              <w:szCs w:val="32"/>
            </w:rPr>
            <w:fldChar w:fldCharType="end"/>
          </w:r>
        </w:p>
        <w:p>
          <w:pPr>
            <w:pStyle w:val="16"/>
            <w:tabs>
              <w:tab w:val="right" w:leader="dot" w:pos="8845"/>
            </w:tabs>
          </w:pPr>
          <w:r>
            <w:rPr>
              <w:rFonts w:hint="eastAsia" w:ascii="黑体" w:hAnsi="ˎ̥" w:eastAsia="黑体"/>
              <w:szCs w:val="32"/>
            </w:rPr>
            <w:fldChar w:fldCharType="begin"/>
          </w:r>
          <w:r>
            <w:rPr>
              <w:rFonts w:hint="eastAsia" w:ascii="黑体" w:hAnsi="ˎ̥" w:eastAsia="黑体"/>
              <w:szCs w:val="32"/>
            </w:rPr>
            <w:instrText xml:space="preserve"> HYPERLINK \l _Toc18548 </w:instrText>
          </w:r>
          <w:r>
            <w:rPr>
              <w:rFonts w:hint="eastAsia" w:ascii="黑体" w:hAnsi="ˎ̥" w:eastAsia="黑体"/>
              <w:szCs w:val="32"/>
            </w:rPr>
            <w:fldChar w:fldCharType="separate"/>
          </w:r>
          <w:r>
            <w:rPr>
              <w:rFonts w:hint="eastAsia" w:ascii="楷体" w:hAnsi="楷体" w:eastAsia="楷体" w:cs="楷体"/>
              <w:szCs w:val="32"/>
            </w:rPr>
            <w:t>（二）一般公共预算财政拨款支出决算结构情况</w:t>
          </w:r>
          <w:r>
            <w:tab/>
          </w:r>
          <w:r>
            <w:fldChar w:fldCharType="begin"/>
          </w:r>
          <w:r>
            <w:instrText xml:space="preserve"> PAGEREF _Toc18548 \h </w:instrText>
          </w:r>
          <w:r>
            <w:fldChar w:fldCharType="separate"/>
          </w:r>
          <w:r>
            <w:t>5</w:t>
          </w:r>
          <w:r>
            <w:fldChar w:fldCharType="end"/>
          </w:r>
          <w:r>
            <w:rPr>
              <w:rFonts w:hint="eastAsia" w:ascii="黑体" w:hAnsi="ˎ̥" w:eastAsia="黑体"/>
              <w:szCs w:val="32"/>
            </w:rPr>
            <w:fldChar w:fldCharType="end"/>
          </w:r>
        </w:p>
        <w:p>
          <w:pPr>
            <w:pStyle w:val="16"/>
            <w:tabs>
              <w:tab w:val="right" w:leader="dot" w:pos="8845"/>
            </w:tabs>
          </w:pPr>
          <w:r>
            <w:rPr>
              <w:rFonts w:hint="eastAsia" w:ascii="黑体" w:hAnsi="ˎ̥" w:eastAsia="黑体"/>
              <w:szCs w:val="32"/>
            </w:rPr>
            <w:fldChar w:fldCharType="begin"/>
          </w:r>
          <w:r>
            <w:rPr>
              <w:rFonts w:hint="eastAsia" w:ascii="黑体" w:hAnsi="ˎ̥" w:eastAsia="黑体"/>
              <w:szCs w:val="32"/>
            </w:rPr>
            <w:instrText xml:space="preserve"> HYPERLINK \l _Toc10073 </w:instrText>
          </w:r>
          <w:r>
            <w:rPr>
              <w:rFonts w:hint="eastAsia" w:ascii="黑体" w:hAnsi="ˎ̥" w:eastAsia="黑体"/>
              <w:szCs w:val="32"/>
            </w:rPr>
            <w:fldChar w:fldCharType="separate"/>
          </w:r>
          <w:r>
            <w:rPr>
              <w:rFonts w:hint="eastAsia" w:ascii="楷体" w:hAnsi="楷体" w:eastAsia="楷体" w:cs="楷体"/>
              <w:szCs w:val="32"/>
            </w:rPr>
            <w:t>（三）一般公共预算财政拨款支出决算具体情况</w:t>
          </w:r>
          <w:r>
            <w:tab/>
          </w:r>
          <w:r>
            <w:fldChar w:fldCharType="begin"/>
          </w:r>
          <w:r>
            <w:instrText xml:space="preserve"> PAGEREF _Toc10073 \h </w:instrText>
          </w:r>
          <w:r>
            <w:fldChar w:fldCharType="separate"/>
          </w:r>
          <w:r>
            <w:t>5</w:t>
          </w:r>
          <w:r>
            <w:fldChar w:fldCharType="end"/>
          </w:r>
          <w:r>
            <w:rPr>
              <w:rFonts w:hint="eastAsia" w:ascii="黑体" w:hAnsi="ˎ̥" w:eastAsia="黑体"/>
              <w:szCs w:val="32"/>
            </w:rPr>
            <w:fldChar w:fldCharType="end"/>
          </w:r>
        </w:p>
        <w:p>
          <w:pPr>
            <w:pStyle w:val="16"/>
            <w:tabs>
              <w:tab w:val="right" w:leader="dot" w:pos="8845"/>
            </w:tabs>
          </w:pPr>
          <w:r>
            <w:rPr>
              <w:rFonts w:hint="eastAsia" w:ascii="黑体" w:hAnsi="ˎ̥" w:eastAsia="黑体"/>
              <w:szCs w:val="32"/>
            </w:rPr>
            <w:fldChar w:fldCharType="begin"/>
          </w:r>
          <w:r>
            <w:rPr>
              <w:rFonts w:hint="eastAsia" w:ascii="黑体" w:hAnsi="ˎ̥" w:eastAsia="黑体"/>
              <w:szCs w:val="32"/>
            </w:rPr>
            <w:instrText xml:space="preserve"> HYPERLINK \l _Toc29021 </w:instrText>
          </w:r>
          <w:r>
            <w:rPr>
              <w:rFonts w:hint="eastAsia" w:ascii="黑体" w:hAnsi="ˎ̥" w:eastAsia="黑体"/>
              <w:szCs w:val="32"/>
            </w:rPr>
            <w:fldChar w:fldCharType="separate"/>
          </w:r>
          <w:r>
            <w:rPr>
              <w:rFonts w:hint="eastAsia" w:ascii="楷体" w:hAnsi="楷体" w:eastAsia="楷体" w:cs="楷体"/>
              <w:szCs w:val="32"/>
            </w:rPr>
            <w:t>（一）政府性基金预算财政拨款支出决算总体情况</w:t>
          </w:r>
          <w:r>
            <w:tab/>
          </w:r>
          <w:r>
            <w:fldChar w:fldCharType="begin"/>
          </w:r>
          <w:r>
            <w:instrText xml:space="preserve"> PAGEREF _Toc29021 \h </w:instrText>
          </w:r>
          <w:r>
            <w:fldChar w:fldCharType="separate"/>
          </w:r>
          <w:r>
            <w:t>7</w:t>
          </w:r>
          <w:r>
            <w:fldChar w:fldCharType="end"/>
          </w:r>
          <w:r>
            <w:rPr>
              <w:rFonts w:hint="eastAsia" w:ascii="黑体" w:hAnsi="ˎ̥" w:eastAsia="黑体"/>
              <w:szCs w:val="32"/>
            </w:rPr>
            <w:fldChar w:fldCharType="end"/>
          </w:r>
        </w:p>
        <w:p>
          <w:pPr>
            <w:pStyle w:val="16"/>
            <w:tabs>
              <w:tab w:val="right" w:leader="dot" w:pos="8845"/>
            </w:tabs>
          </w:pPr>
          <w:r>
            <w:rPr>
              <w:rFonts w:hint="eastAsia" w:ascii="黑体" w:hAnsi="ˎ̥" w:eastAsia="黑体"/>
              <w:szCs w:val="32"/>
            </w:rPr>
            <w:fldChar w:fldCharType="begin"/>
          </w:r>
          <w:r>
            <w:rPr>
              <w:rFonts w:hint="eastAsia" w:ascii="黑体" w:hAnsi="ˎ̥" w:eastAsia="黑体"/>
              <w:szCs w:val="32"/>
            </w:rPr>
            <w:instrText xml:space="preserve"> HYPERLINK \l _Toc8041 </w:instrText>
          </w:r>
          <w:r>
            <w:rPr>
              <w:rFonts w:hint="eastAsia" w:ascii="黑体" w:hAnsi="ˎ̥" w:eastAsia="黑体"/>
              <w:szCs w:val="32"/>
            </w:rPr>
            <w:fldChar w:fldCharType="separate"/>
          </w:r>
          <w:r>
            <w:rPr>
              <w:rFonts w:hint="eastAsia" w:ascii="楷体" w:hAnsi="楷体" w:eastAsia="楷体" w:cs="楷体"/>
              <w:szCs w:val="32"/>
            </w:rPr>
            <w:t>（二）政府性基金预算财政拨款支出决算结构情况</w:t>
          </w:r>
          <w:r>
            <w:tab/>
          </w:r>
          <w:r>
            <w:fldChar w:fldCharType="begin"/>
          </w:r>
          <w:r>
            <w:instrText xml:space="preserve"> PAGEREF _Toc8041 \h </w:instrText>
          </w:r>
          <w:r>
            <w:fldChar w:fldCharType="separate"/>
          </w:r>
          <w:r>
            <w:t>8</w:t>
          </w:r>
          <w:r>
            <w:fldChar w:fldCharType="end"/>
          </w:r>
          <w:r>
            <w:rPr>
              <w:rFonts w:hint="eastAsia" w:ascii="黑体" w:hAnsi="ˎ̥" w:eastAsia="黑体"/>
              <w:szCs w:val="32"/>
            </w:rPr>
            <w:fldChar w:fldCharType="end"/>
          </w:r>
        </w:p>
        <w:p>
          <w:pPr>
            <w:pStyle w:val="16"/>
            <w:tabs>
              <w:tab w:val="right" w:leader="dot" w:pos="8845"/>
            </w:tabs>
          </w:pPr>
          <w:r>
            <w:rPr>
              <w:rFonts w:hint="eastAsia" w:ascii="黑体" w:hAnsi="ˎ̥" w:eastAsia="黑体"/>
              <w:szCs w:val="32"/>
            </w:rPr>
            <w:fldChar w:fldCharType="begin"/>
          </w:r>
          <w:r>
            <w:rPr>
              <w:rFonts w:hint="eastAsia" w:ascii="黑体" w:hAnsi="ˎ̥" w:eastAsia="黑体"/>
              <w:szCs w:val="32"/>
            </w:rPr>
            <w:instrText xml:space="preserve"> HYPERLINK \l _Toc28779 </w:instrText>
          </w:r>
          <w:r>
            <w:rPr>
              <w:rFonts w:hint="eastAsia" w:ascii="黑体" w:hAnsi="ˎ̥" w:eastAsia="黑体"/>
              <w:szCs w:val="32"/>
            </w:rPr>
            <w:fldChar w:fldCharType="separate"/>
          </w:r>
          <w:r>
            <w:rPr>
              <w:rFonts w:hint="eastAsia" w:ascii="楷体" w:hAnsi="楷体" w:eastAsia="楷体" w:cs="楷体"/>
              <w:szCs w:val="32"/>
            </w:rPr>
            <w:t>（三）政府性基金预算财政拨款支出决算具体情况</w:t>
          </w:r>
          <w:r>
            <w:tab/>
          </w:r>
          <w:r>
            <w:fldChar w:fldCharType="begin"/>
          </w:r>
          <w:r>
            <w:instrText xml:space="preserve"> PAGEREF _Toc28779 \h </w:instrText>
          </w:r>
          <w:r>
            <w:fldChar w:fldCharType="separate"/>
          </w:r>
          <w:r>
            <w:t>8</w:t>
          </w:r>
          <w:r>
            <w:fldChar w:fldCharType="end"/>
          </w:r>
          <w:r>
            <w:rPr>
              <w:rFonts w:hint="eastAsia" w:ascii="黑体" w:hAnsi="ˎ̥" w:eastAsia="黑体"/>
              <w:szCs w:val="32"/>
            </w:rPr>
            <w:fldChar w:fldCharType="end"/>
          </w:r>
        </w:p>
        <w:p>
          <w:pPr>
            <w:pStyle w:val="16"/>
            <w:tabs>
              <w:tab w:val="right" w:leader="dot" w:pos="8845"/>
            </w:tabs>
          </w:pPr>
          <w:r>
            <w:rPr>
              <w:rFonts w:hint="eastAsia" w:ascii="黑体" w:hAnsi="ˎ̥" w:eastAsia="黑体"/>
              <w:szCs w:val="32"/>
            </w:rPr>
            <w:fldChar w:fldCharType="begin"/>
          </w:r>
          <w:r>
            <w:rPr>
              <w:rFonts w:hint="eastAsia" w:ascii="黑体" w:hAnsi="ˎ̥" w:eastAsia="黑体"/>
              <w:szCs w:val="32"/>
            </w:rPr>
            <w:instrText xml:space="preserve"> HYPERLINK \l _Toc11685 </w:instrText>
          </w:r>
          <w:r>
            <w:rPr>
              <w:rFonts w:hint="eastAsia" w:ascii="黑体" w:hAnsi="ˎ̥" w:eastAsia="黑体"/>
              <w:szCs w:val="32"/>
            </w:rPr>
            <w:fldChar w:fldCharType="separate"/>
          </w:r>
          <w:r>
            <w:rPr>
              <w:rFonts w:hint="eastAsia" w:ascii="楷体" w:hAnsi="楷体" w:eastAsia="楷体" w:cs="楷体"/>
              <w:szCs w:val="32"/>
            </w:rPr>
            <w:t>（一）国有资本经营预算财政拨款支出决算总体情况</w:t>
          </w:r>
          <w:r>
            <w:tab/>
          </w:r>
          <w:r>
            <w:fldChar w:fldCharType="begin"/>
          </w:r>
          <w:r>
            <w:instrText xml:space="preserve"> PAGEREF _Toc11685 \h </w:instrText>
          </w:r>
          <w:r>
            <w:fldChar w:fldCharType="separate"/>
          </w:r>
          <w:r>
            <w:t>8</w:t>
          </w:r>
          <w:r>
            <w:fldChar w:fldCharType="end"/>
          </w:r>
          <w:r>
            <w:rPr>
              <w:rFonts w:hint="eastAsia" w:ascii="黑体" w:hAnsi="ˎ̥" w:eastAsia="黑体"/>
              <w:szCs w:val="32"/>
            </w:rPr>
            <w:fldChar w:fldCharType="end"/>
          </w:r>
        </w:p>
        <w:p>
          <w:pPr>
            <w:pStyle w:val="16"/>
            <w:tabs>
              <w:tab w:val="right" w:leader="dot" w:pos="8845"/>
            </w:tabs>
          </w:pPr>
          <w:r>
            <w:rPr>
              <w:rFonts w:hint="eastAsia" w:ascii="黑体" w:hAnsi="ˎ̥" w:eastAsia="黑体"/>
              <w:szCs w:val="32"/>
            </w:rPr>
            <w:fldChar w:fldCharType="begin"/>
          </w:r>
          <w:r>
            <w:rPr>
              <w:rFonts w:hint="eastAsia" w:ascii="黑体" w:hAnsi="ˎ̥" w:eastAsia="黑体"/>
              <w:szCs w:val="32"/>
            </w:rPr>
            <w:instrText xml:space="preserve"> HYPERLINK \l _Toc24610 </w:instrText>
          </w:r>
          <w:r>
            <w:rPr>
              <w:rFonts w:hint="eastAsia" w:ascii="黑体" w:hAnsi="ˎ̥" w:eastAsia="黑体"/>
              <w:szCs w:val="32"/>
            </w:rPr>
            <w:fldChar w:fldCharType="separate"/>
          </w:r>
          <w:r>
            <w:rPr>
              <w:rFonts w:hint="eastAsia" w:ascii="楷体" w:hAnsi="楷体" w:eastAsia="楷体" w:cs="楷体"/>
              <w:szCs w:val="32"/>
            </w:rPr>
            <w:t>（二）国有资本经营预算财政拨款支出决算结构情况</w:t>
          </w:r>
          <w:r>
            <w:tab/>
          </w:r>
          <w:r>
            <w:fldChar w:fldCharType="begin"/>
          </w:r>
          <w:r>
            <w:instrText xml:space="preserve"> PAGEREF _Toc24610 \h </w:instrText>
          </w:r>
          <w:r>
            <w:fldChar w:fldCharType="separate"/>
          </w:r>
          <w:r>
            <w:t>8</w:t>
          </w:r>
          <w:r>
            <w:fldChar w:fldCharType="end"/>
          </w:r>
          <w:r>
            <w:rPr>
              <w:rFonts w:hint="eastAsia" w:ascii="黑体" w:hAnsi="ˎ̥" w:eastAsia="黑体"/>
              <w:szCs w:val="32"/>
            </w:rPr>
            <w:fldChar w:fldCharType="end"/>
          </w:r>
        </w:p>
        <w:p>
          <w:pPr>
            <w:pStyle w:val="16"/>
            <w:tabs>
              <w:tab w:val="right" w:leader="dot" w:pos="8845"/>
            </w:tabs>
          </w:pPr>
          <w:r>
            <w:rPr>
              <w:rFonts w:hint="eastAsia" w:ascii="黑体" w:hAnsi="ˎ̥" w:eastAsia="黑体"/>
              <w:szCs w:val="32"/>
            </w:rPr>
            <w:fldChar w:fldCharType="begin"/>
          </w:r>
          <w:r>
            <w:rPr>
              <w:rFonts w:hint="eastAsia" w:ascii="黑体" w:hAnsi="ˎ̥" w:eastAsia="黑体"/>
              <w:szCs w:val="32"/>
            </w:rPr>
            <w:instrText xml:space="preserve"> HYPERLINK \l _Toc22876 </w:instrText>
          </w:r>
          <w:r>
            <w:rPr>
              <w:rFonts w:hint="eastAsia" w:ascii="黑体" w:hAnsi="ˎ̥" w:eastAsia="黑体"/>
              <w:szCs w:val="32"/>
            </w:rPr>
            <w:fldChar w:fldCharType="separate"/>
          </w:r>
          <w:r>
            <w:rPr>
              <w:rFonts w:hint="eastAsia" w:ascii="楷体" w:hAnsi="楷体" w:eastAsia="楷体" w:cs="楷体"/>
              <w:szCs w:val="32"/>
            </w:rPr>
            <w:t>（三）国有资本经营预算财政拨款支出决算具体情况</w:t>
          </w:r>
          <w:r>
            <w:tab/>
          </w:r>
          <w:r>
            <w:fldChar w:fldCharType="begin"/>
          </w:r>
          <w:r>
            <w:instrText xml:space="preserve"> PAGEREF _Toc22876 \h </w:instrText>
          </w:r>
          <w:r>
            <w:fldChar w:fldCharType="separate"/>
          </w:r>
          <w:r>
            <w:t>9</w:t>
          </w:r>
          <w:r>
            <w:fldChar w:fldCharType="end"/>
          </w:r>
          <w:r>
            <w:rPr>
              <w:rFonts w:hint="eastAsia" w:ascii="黑体" w:hAnsi="ˎ̥" w:eastAsia="黑体"/>
              <w:szCs w:val="32"/>
            </w:rPr>
            <w:fldChar w:fldCharType="end"/>
          </w:r>
        </w:p>
        <w:p>
          <w:pPr>
            <w:pStyle w:val="16"/>
            <w:tabs>
              <w:tab w:val="right" w:leader="dot" w:pos="8845"/>
            </w:tabs>
          </w:pPr>
          <w:r>
            <w:rPr>
              <w:rFonts w:hint="eastAsia" w:ascii="黑体" w:hAnsi="ˎ̥" w:eastAsia="黑体"/>
              <w:szCs w:val="32"/>
            </w:rPr>
            <w:fldChar w:fldCharType="begin"/>
          </w:r>
          <w:r>
            <w:rPr>
              <w:rFonts w:hint="eastAsia" w:ascii="黑体" w:hAnsi="ˎ̥" w:eastAsia="黑体"/>
              <w:szCs w:val="32"/>
            </w:rPr>
            <w:instrText xml:space="preserve"> HYPERLINK \l _Toc3594 </w:instrText>
          </w:r>
          <w:r>
            <w:rPr>
              <w:rFonts w:hint="eastAsia" w:ascii="黑体" w:hAnsi="ˎ̥" w:eastAsia="黑体"/>
              <w:szCs w:val="32"/>
            </w:rPr>
            <w:fldChar w:fldCharType="separate"/>
          </w:r>
          <w:r>
            <w:rPr>
              <w:rFonts w:hint="eastAsia" w:ascii="楷体" w:hAnsi="楷体" w:eastAsia="楷体" w:cs="楷体"/>
              <w:bCs/>
              <w:szCs w:val="32"/>
            </w:rPr>
            <w:t>（一）财政拨款“三公”经费支出决算总体情况说明</w:t>
          </w:r>
          <w:r>
            <w:tab/>
          </w:r>
          <w:r>
            <w:fldChar w:fldCharType="begin"/>
          </w:r>
          <w:r>
            <w:instrText xml:space="preserve"> PAGEREF _Toc3594 \h </w:instrText>
          </w:r>
          <w:r>
            <w:fldChar w:fldCharType="separate"/>
          </w:r>
          <w:r>
            <w:t>9</w:t>
          </w:r>
          <w:r>
            <w:fldChar w:fldCharType="end"/>
          </w:r>
          <w:r>
            <w:rPr>
              <w:rFonts w:hint="eastAsia" w:ascii="黑体" w:hAnsi="ˎ̥" w:eastAsia="黑体"/>
              <w:szCs w:val="32"/>
            </w:rPr>
            <w:fldChar w:fldCharType="end"/>
          </w:r>
        </w:p>
        <w:p>
          <w:pPr>
            <w:pStyle w:val="16"/>
            <w:tabs>
              <w:tab w:val="right" w:leader="dot" w:pos="8845"/>
            </w:tabs>
          </w:pPr>
          <w:r>
            <w:rPr>
              <w:rFonts w:hint="eastAsia" w:ascii="黑体" w:hAnsi="ˎ̥" w:eastAsia="黑体"/>
              <w:szCs w:val="32"/>
            </w:rPr>
            <w:fldChar w:fldCharType="begin"/>
          </w:r>
          <w:r>
            <w:rPr>
              <w:rFonts w:hint="eastAsia" w:ascii="黑体" w:hAnsi="ˎ̥" w:eastAsia="黑体"/>
              <w:szCs w:val="32"/>
            </w:rPr>
            <w:instrText xml:space="preserve"> HYPERLINK \l _Toc22434 </w:instrText>
          </w:r>
          <w:r>
            <w:rPr>
              <w:rFonts w:hint="eastAsia" w:ascii="黑体" w:hAnsi="ˎ̥" w:eastAsia="黑体"/>
              <w:szCs w:val="32"/>
            </w:rPr>
            <w:fldChar w:fldCharType="separate"/>
          </w:r>
          <w:r>
            <w:rPr>
              <w:rFonts w:hint="eastAsia" w:ascii="楷体" w:hAnsi="楷体" w:eastAsia="楷体" w:cs="楷体"/>
              <w:szCs w:val="32"/>
            </w:rPr>
            <w:t>（二）财政拨款“三公”经费支出决算具体情况说明</w:t>
          </w:r>
          <w:r>
            <w:tab/>
          </w:r>
          <w:r>
            <w:fldChar w:fldCharType="begin"/>
          </w:r>
          <w:r>
            <w:instrText xml:space="preserve"> PAGEREF _Toc22434 \h </w:instrText>
          </w:r>
          <w:r>
            <w:fldChar w:fldCharType="separate"/>
          </w:r>
          <w:r>
            <w:t>9</w:t>
          </w:r>
          <w:r>
            <w:fldChar w:fldCharType="end"/>
          </w:r>
          <w:r>
            <w:rPr>
              <w:rFonts w:hint="eastAsia" w:ascii="黑体" w:hAnsi="ˎ̥" w:eastAsia="黑体"/>
              <w:szCs w:val="32"/>
            </w:rPr>
            <w:fldChar w:fldCharType="end"/>
          </w:r>
        </w:p>
        <w:p>
          <w:pPr>
            <w:pStyle w:val="16"/>
            <w:tabs>
              <w:tab w:val="right" w:leader="dot" w:pos="8845"/>
            </w:tabs>
          </w:pPr>
          <w:r>
            <w:rPr>
              <w:rFonts w:hint="eastAsia" w:ascii="黑体" w:hAnsi="ˎ̥" w:eastAsia="黑体"/>
              <w:szCs w:val="32"/>
            </w:rPr>
            <w:fldChar w:fldCharType="begin"/>
          </w:r>
          <w:r>
            <w:rPr>
              <w:rFonts w:hint="eastAsia" w:ascii="黑体" w:hAnsi="ˎ̥" w:eastAsia="黑体"/>
              <w:szCs w:val="32"/>
            </w:rPr>
            <w:instrText xml:space="preserve"> HYPERLINK \l _Toc10728 </w:instrText>
          </w:r>
          <w:r>
            <w:rPr>
              <w:rFonts w:hint="eastAsia" w:ascii="黑体" w:hAnsi="ˎ̥" w:eastAsia="黑体"/>
              <w:szCs w:val="32"/>
            </w:rPr>
            <w:fldChar w:fldCharType="separate"/>
          </w:r>
          <w:r>
            <w:rPr>
              <w:rFonts w:hint="eastAsia" w:ascii="楷体" w:hAnsi="楷体" w:eastAsia="楷体" w:cs="楷体"/>
              <w:bCs/>
              <w:szCs w:val="32"/>
            </w:rPr>
            <w:t>（一）绩效管理工作开展情况</w:t>
          </w:r>
          <w:r>
            <w:tab/>
          </w:r>
          <w:r>
            <w:fldChar w:fldCharType="begin"/>
          </w:r>
          <w:r>
            <w:instrText xml:space="preserve"> PAGEREF _Toc10728 \h </w:instrText>
          </w:r>
          <w:r>
            <w:fldChar w:fldCharType="separate"/>
          </w:r>
          <w:r>
            <w:t>10</w:t>
          </w:r>
          <w:r>
            <w:fldChar w:fldCharType="end"/>
          </w:r>
          <w:r>
            <w:rPr>
              <w:rFonts w:hint="eastAsia" w:ascii="黑体" w:hAnsi="ˎ̥" w:eastAsia="黑体"/>
              <w:szCs w:val="32"/>
            </w:rPr>
            <w:fldChar w:fldCharType="end"/>
          </w:r>
        </w:p>
        <w:p>
          <w:pPr>
            <w:pStyle w:val="16"/>
            <w:tabs>
              <w:tab w:val="right" w:leader="dot" w:pos="8845"/>
            </w:tabs>
          </w:pPr>
          <w:r>
            <w:rPr>
              <w:rFonts w:hint="eastAsia" w:ascii="黑体" w:hAnsi="ˎ̥" w:eastAsia="黑体"/>
              <w:szCs w:val="32"/>
            </w:rPr>
            <w:fldChar w:fldCharType="begin"/>
          </w:r>
          <w:r>
            <w:rPr>
              <w:rFonts w:hint="eastAsia" w:ascii="黑体" w:hAnsi="ˎ̥" w:eastAsia="黑体"/>
              <w:szCs w:val="32"/>
            </w:rPr>
            <w:instrText xml:space="preserve"> HYPERLINK \l _Toc13340 </w:instrText>
          </w:r>
          <w:r>
            <w:rPr>
              <w:rFonts w:hint="eastAsia" w:ascii="黑体" w:hAnsi="ˎ̥" w:eastAsia="黑体"/>
              <w:szCs w:val="32"/>
            </w:rPr>
            <w:fldChar w:fldCharType="separate"/>
          </w:r>
          <w:r>
            <w:rPr>
              <w:rFonts w:hint="eastAsia" w:ascii="楷体" w:hAnsi="楷体" w:eastAsia="楷体" w:cs="楷体"/>
              <w:bCs/>
              <w:szCs w:val="32"/>
            </w:rPr>
            <w:t>（三）</w:t>
          </w:r>
          <w:r>
            <w:rPr>
              <w:rFonts w:hint="eastAsia" w:ascii="楷体" w:hAnsi="楷体" w:eastAsia="楷体" w:cs="楷体"/>
              <w:bCs/>
              <w:szCs w:val="32"/>
              <w:lang w:eastAsia="zh-CN"/>
            </w:rPr>
            <w:t>单位</w:t>
          </w:r>
          <w:r>
            <w:rPr>
              <w:rFonts w:hint="eastAsia" w:ascii="楷体" w:hAnsi="楷体" w:eastAsia="楷体" w:cs="楷体"/>
              <w:bCs/>
              <w:szCs w:val="32"/>
            </w:rPr>
            <w:t>评价结果（预算</w:t>
          </w:r>
          <w:r>
            <w:rPr>
              <w:rFonts w:hint="eastAsia" w:ascii="楷体" w:hAnsi="楷体" w:eastAsia="楷体" w:cs="楷体"/>
              <w:bCs/>
              <w:szCs w:val="32"/>
              <w:lang w:eastAsia="zh-CN"/>
            </w:rPr>
            <w:t>单位</w:t>
          </w:r>
          <w:r>
            <w:rPr>
              <w:rFonts w:hint="eastAsia" w:ascii="楷体" w:hAnsi="楷体" w:eastAsia="楷体" w:cs="楷体"/>
              <w:bCs/>
              <w:szCs w:val="32"/>
            </w:rPr>
            <w:t>填写，</w:t>
          </w:r>
          <w:r>
            <w:rPr>
              <w:rFonts w:hint="eastAsia" w:ascii="楷体" w:hAnsi="楷体" w:eastAsia="楷体" w:cs="楷体"/>
              <w:bCs/>
              <w:szCs w:val="32"/>
              <w:lang w:eastAsia="zh-CN"/>
            </w:rPr>
            <w:t>单位</w:t>
          </w:r>
          <w:r>
            <w:rPr>
              <w:rFonts w:hint="eastAsia" w:ascii="楷体" w:hAnsi="楷体" w:eastAsia="楷体" w:cs="楷体"/>
              <w:bCs/>
              <w:szCs w:val="32"/>
            </w:rPr>
            <w:t>所属单位不需填写）</w:t>
          </w:r>
          <w:r>
            <w:tab/>
          </w:r>
          <w:r>
            <w:fldChar w:fldCharType="begin"/>
          </w:r>
          <w:r>
            <w:instrText xml:space="preserve"> PAGEREF _Toc13340 \h </w:instrText>
          </w:r>
          <w:r>
            <w:fldChar w:fldCharType="separate"/>
          </w:r>
          <w:r>
            <w:t>11</w:t>
          </w:r>
          <w:r>
            <w:fldChar w:fldCharType="end"/>
          </w:r>
          <w:r>
            <w:rPr>
              <w:rFonts w:hint="eastAsia" w:ascii="黑体" w:hAnsi="ˎ̥" w:eastAsia="黑体"/>
              <w:szCs w:val="32"/>
            </w:rPr>
            <w:fldChar w:fldCharType="end"/>
          </w:r>
        </w:p>
        <w:p>
          <w:pPr>
            <w:pStyle w:val="16"/>
            <w:tabs>
              <w:tab w:val="right" w:leader="dot" w:pos="8845"/>
            </w:tabs>
          </w:pPr>
          <w:r>
            <w:rPr>
              <w:rFonts w:hint="eastAsia" w:ascii="黑体" w:hAnsi="ˎ̥" w:eastAsia="黑体"/>
              <w:szCs w:val="32"/>
            </w:rPr>
            <w:fldChar w:fldCharType="begin"/>
          </w:r>
          <w:r>
            <w:rPr>
              <w:rFonts w:hint="eastAsia" w:ascii="黑体" w:hAnsi="ˎ̥" w:eastAsia="黑体"/>
              <w:szCs w:val="32"/>
            </w:rPr>
            <w:instrText xml:space="preserve"> HYPERLINK \l _Toc10202 </w:instrText>
          </w:r>
          <w:r>
            <w:rPr>
              <w:rFonts w:hint="eastAsia" w:ascii="黑体" w:hAnsi="ˎ̥" w:eastAsia="黑体"/>
              <w:szCs w:val="32"/>
            </w:rPr>
            <w:fldChar w:fldCharType="separate"/>
          </w:r>
          <w:r>
            <w:rPr>
              <w:rFonts w:hint="eastAsia" w:ascii="楷体" w:hAnsi="楷体" w:eastAsia="楷体" w:cs="楷体"/>
              <w:bCs/>
              <w:szCs w:val="32"/>
            </w:rPr>
            <w:t>（四）财政评价结果（如有）</w:t>
          </w:r>
          <w:r>
            <w:tab/>
          </w:r>
          <w:r>
            <w:fldChar w:fldCharType="begin"/>
          </w:r>
          <w:r>
            <w:instrText xml:space="preserve"> PAGEREF _Toc10202 \h </w:instrText>
          </w:r>
          <w:r>
            <w:fldChar w:fldCharType="separate"/>
          </w:r>
          <w:r>
            <w:t>12</w:t>
          </w:r>
          <w:r>
            <w:fldChar w:fldCharType="end"/>
          </w:r>
          <w:r>
            <w:rPr>
              <w:rFonts w:hint="eastAsia" w:ascii="黑体" w:hAnsi="ˎ̥" w:eastAsia="黑体"/>
              <w:szCs w:val="32"/>
            </w:rPr>
            <w:fldChar w:fldCharType="end"/>
          </w:r>
        </w:p>
        <w:p>
          <w:pPr>
            <w:pStyle w:val="16"/>
            <w:tabs>
              <w:tab w:val="right" w:leader="dot" w:pos="8845"/>
            </w:tabs>
          </w:pPr>
          <w:r>
            <w:rPr>
              <w:rFonts w:hint="eastAsia" w:ascii="黑体" w:hAnsi="ˎ̥" w:eastAsia="黑体"/>
              <w:szCs w:val="32"/>
            </w:rPr>
            <w:fldChar w:fldCharType="begin"/>
          </w:r>
          <w:r>
            <w:rPr>
              <w:rFonts w:hint="eastAsia" w:ascii="黑体" w:hAnsi="ˎ̥" w:eastAsia="黑体"/>
              <w:szCs w:val="32"/>
            </w:rPr>
            <w:instrText xml:space="preserve"> HYPERLINK \l _Toc5436 </w:instrText>
          </w:r>
          <w:r>
            <w:rPr>
              <w:rFonts w:hint="eastAsia" w:ascii="黑体" w:hAnsi="ˎ̥" w:eastAsia="黑体"/>
              <w:szCs w:val="32"/>
            </w:rPr>
            <w:fldChar w:fldCharType="separate"/>
          </w:r>
          <w:r>
            <w:rPr>
              <w:rFonts w:hint="eastAsia" w:ascii="楷体" w:hAnsi="楷体" w:eastAsia="楷体" w:cs="楷体"/>
              <w:bCs/>
              <w:szCs w:val="32"/>
            </w:rPr>
            <w:t>（一）机关运行经费支出情况</w:t>
          </w:r>
          <w:r>
            <w:tab/>
          </w:r>
          <w:r>
            <w:fldChar w:fldCharType="begin"/>
          </w:r>
          <w:r>
            <w:instrText xml:space="preserve"> PAGEREF _Toc5436 \h </w:instrText>
          </w:r>
          <w:r>
            <w:fldChar w:fldCharType="separate"/>
          </w:r>
          <w:r>
            <w:t>12</w:t>
          </w:r>
          <w:r>
            <w:fldChar w:fldCharType="end"/>
          </w:r>
          <w:r>
            <w:rPr>
              <w:rFonts w:hint="eastAsia" w:ascii="黑体" w:hAnsi="ˎ̥" w:eastAsia="黑体"/>
              <w:szCs w:val="32"/>
            </w:rPr>
            <w:fldChar w:fldCharType="end"/>
          </w:r>
        </w:p>
        <w:p>
          <w:pPr>
            <w:pStyle w:val="16"/>
            <w:tabs>
              <w:tab w:val="right" w:leader="dot" w:pos="8845"/>
            </w:tabs>
          </w:pPr>
          <w:r>
            <w:rPr>
              <w:rFonts w:hint="eastAsia" w:ascii="黑体" w:hAnsi="ˎ̥" w:eastAsia="黑体"/>
              <w:szCs w:val="32"/>
            </w:rPr>
            <w:fldChar w:fldCharType="begin"/>
          </w:r>
          <w:r>
            <w:rPr>
              <w:rFonts w:hint="eastAsia" w:ascii="黑体" w:hAnsi="ˎ̥" w:eastAsia="黑体"/>
              <w:szCs w:val="32"/>
            </w:rPr>
            <w:instrText xml:space="preserve"> HYPERLINK \l _Toc13365 </w:instrText>
          </w:r>
          <w:r>
            <w:rPr>
              <w:rFonts w:hint="eastAsia" w:ascii="黑体" w:hAnsi="ˎ̥" w:eastAsia="黑体"/>
              <w:szCs w:val="32"/>
            </w:rPr>
            <w:fldChar w:fldCharType="separate"/>
          </w:r>
          <w:r>
            <w:rPr>
              <w:rFonts w:hint="eastAsia" w:ascii="楷体" w:hAnsi="楷体" w:eastAsia="楷体" w:cs="楷体"/>
              <w:bCs/>
              <w:szCs w:val="32"/>
            </w:rPr>
            <w:t>（二）政府采购支出情况</w:t>
          </w:r>
          <w:r>
            <w:tab/>
          </w:r>
          <w:r>
            <w:fldChar w:fldCharType="begin"/>
          </w:r>
          <w:r>
            <w:instrText xml:space="preserve"> PAGEREF _Toc13365 \h </w:instrText>
          </w:r>
          <w:r>
            <w:fldChar w:fldCharType="separate"/>
          </w:r>
          <w:r>
            <w:t>12</w:t>
          </w:r>
          <w:r>
            <w:fldChar w:fldCharType="end"/>
          </w:r>
          <w:r>
            <w:rPr>
              <w:rFonts w:hint="eastAsia" w:ascii="黑体" w:hAnsi="ˎ̥" w:eastAsia="黑体"/>
              <w:szCs w:val="32"/>
            </w:rPr>
            <w:fldChar w:fldCharType="end"/>
          </w:r>
        </w:p>
        <w:p>
          <w:pPr>
            <w:pStyle w:val="16"/>
            <w:tabs>
              <w:tab w:val="right" w:leader="dot" w:pos="8845"/>
            </w:tabs>
          </w:pPr>
          <w:r>
            <w:rPr>
              <w:rFonts w:hint="eastAsia" w:ascii="黑体" w:hAnsi="ˎ̥" w:eastAsia="黑体"/>
              <w:szCs w:val="32"/>
            </w:rPr>
            <w:fldChar w:fldCharType="begin"/>
          </w:r>
          <w:r>
            <w:rPr>
              <w:rFonts w:hint="eastAsia" w:ascii="黑体" w:hAnsi="ˎ̥" w:eastAsia="黑体"/>
              <w:szCs w:val="32"/>
            </w:rPr>
            <w:instrText xml:space="preserve"> HYPERLINK \l _Toc7967 </w:instrText>
          </w:r>
          <w:r>
            <w:rPr>
              <w:rFonts w:hint="eastAsia" w:ascii="黑体" w:hAnsi="ˎ̥" w:eastAsia="黑体"/>
              <w:szCs w:val="32"/>
            </w:rPr>
            <w:fldChar w:fldCharType="separate"/>
          </w:r>
          <w:r>
            <w:rPr>
              <w:rFonts w:hint="eastAsia" w:ascii="楷体" w:hAnsi="楷体" w:eastAsia="楷体" w:cs="楷体"/>
              <w:bCs/>
              <w:szCs w:val="32"/>
            </w:rPr>
            <w:t>（三）国有资产占用情况</w:t>
          </w:r>
          <w:r>
            <w:tab/>
          </w:r>
          <w:r>
            <w:fldChar w:fldCharType="begin"/>
          </w:r>
          <w:r>
            <w:instrText xml:space="preserve"> PAGEREF _Toc7967 \h </w:instrText>
          </w:r>
          <w:r>
            <w:fldChar w:fldCharType="separate"/>
          </w:r>
          <w:r>
            <w:t>12</w:t>
          </w:r>
          <w:r>
            <w:fldChar w:fldCharType="end"/>
          </w:r>
          <w:r>
            <w:rPr>
              <w:rFonts w:hint="eastAsia" w:ascii="黑体" w:hAnsi="ˎ̥" w:eastAsia="黑体"/>
              <w:szCs w:val="32"/>
            </w:rPr>
            <w:fldChar w:fldCharType="end"/>
          </w:r>
        </w:p>
        <w:p>
          <w:pPr>
            <w:pStyle w:val="15"/>
            <w:tabs>
              <w:tab w:val="right" w:leader="dot" w:pos="8845"/>
            </w:tabs>
            <w:rPr>
              <w:b/>
            </w:rPr>
          </w:pPr>
          <w:r>
            <w:rPr>
              <w:rFonts w:hint="eastAsia" w:ascii="黑体" w:hAnsi="ˎ̥" w:eastAsia="黑体"/>
              <w:b/>
              <w:szCs w:val="32"/>
            </w:rPr>
            <w:fldChar w:fldCharType="begin"/>
          </w:r>
          <w:r>
            <w:rPr>
              <w:rFonts w:hint="eastAsia" w:ascii="黑体" w:hAnsi="ˎ̥" w:eastAsia="黑体"/>
              <w:b/>
              <w:szCs w:val="32"/>
            </w:rPr>
            <w:instrText xml:space="preserve"> HYPERLINK \l _Toc20300 </w:instrText>
          </w:r>
          <w:r>
            <w:rPr>
              <w:rFonts w:hint="eastAsia" w:ascii="黑体" w:hAnsi="ˎ̥" w:eastAsia="黑体"/>
              <w:b/>
              <w:szCs w:val="32"/>
            </w:rPr>
            <w:fldChar w:fldCharType="separate"/>
          </w:r>
          <w:r>
            <w:rPr>
              <w:rFonts w:hint="eastAsia" w:ascii="黑体" w:hAnsi="ˎ̥" w:eastAsia="黑体"/>
              <w:b/>
              <w:szCs w:val="32"/>
            </w:rPr>
            <w:t>第四部分  名词解释</w:t>
          </w:r>
          <w:r>
            <w:rPr>
              <w:b/>
            </w:rPr>
            <w:tab/>
          </w:r>
          <w:r>
            <w:rPr>
              <w:b/>
            </w:rPr>
            <w:fldChar w:fldCharType="begin"/>
          </w:r>
          <w:r>
            <w:rPr>
              <w:b/>
            </w:rPr>
            <w:instrText xml:space="preserve"> PAGEREF _Toc20300 \h </w:instrText>
          </w:r>
          <w:r>
            <w:rPr>
              <w:b/>
            </w:rPr>
            <w:fldChar w:fldCharType="separate"/>
          </w:r>
          <w:r>
            <w:rPr>
              <w:b/>
            </w:rPr>
            <w:t>13</w:t>
          </w:r>
          <w:r>
            <w:rPr>
              <w:b/>
            </w:rPr>
            <w:fldChar w:fldCharType="end"/>
          </w:r>
          <w:r>
            <w:rPr>
              <w:rFonts w:hint="eastAsia" w:ascii="黑体" w:hAnsi="ˎ̥" w:eastAsia="黑体"/>
              <w:b/>
              <w:szCs w:val="32"/>
            </w:rPr>
            <w:fldChar w:fldCharType="end"/>
          </w:r>
        </w:p>
        <w:p>
          <w:pPr>
            <w:pStyle w:val="16"/>
            <w:tabs>
              <w:tab w:val="right" w:leader="dot" w:pos="8845"/>
            </w:tabs>
          </w:pPr>
          <w:r>
            <w:rPr>
              <w:rFonts w:hint="eastAsia" w:ascii="黑体" w:hAnsi="ˎ̥" w:eastAsia="黑体"/>
              <w:szCs w:val="32"/>
            </w:rPr>
            <w:fldChar w:fldCharType="begin"/>
          </w:r>
          <w:r>
            <w:rPr>
              <w:rFonts w:hint="eastAsia" w:ascii="黑体" w:hAnsi="ˎ̥" w:eastAsia="黑体"/>
              <w:szCs w:val="32"/>
            </w:rPr>
            <w:instrText xml:space="preserve"> HYPERLINK \l _Toc21174 </w:instrText>
          </w:r>
          <w:r>
            <w:rPr>
              <w:rFonts w:hint="eastAsia" w:ascii="黑体" w:hAnsi="ˎ̥" w:eastAsia="黑体"/>
              <w:szCs w:val="32"/>
            </w:rPr>
            <w:fldChar w:fldCharType="separate"/>
          </w:r>
          <w:r>
            <w:rPr>
              <w:rFonts w:hint="eastAsia" w:ascii="仿宋_GB2312" w:hAnsi="ˎ̥" w:eastAsia="仿宋_GB2312"/>
              <w:szCs w:val="32"/>
            </w:rPr>
            <w:t>一、 财政拨款收入：指同级政府财政</w:t>
          </w:r>
          <w:r>
            <w:rPr>
              <w:rFonts w:hint="eastAsia" w:ascii="仿宋_GB2312" w:hAnsi="ˎ̥" w:eastAsia="仿宋_GB2312"/>
              <w:szCs w:val="32"/>
              <w:lang w:eastAsia="zh-CN"/>
            </w:rPr>
            <w:t>单位</w:t>
          </w:r>
          <w:r>
            <w:rPr>
              <w:rFonts w:hint="eastAsia" w:ascii="仿宋_GB2312" w:hAnsi="ˎ̥" w:eastAsia="仿宋_GB2312"/>
              <w:szCs w:val="32"/>
            </w:rPr>
            <w:t>当年拨付的各类财政拨款。</w:t>
          </w:r>
          <w:r>
            <w:tab/>
          </w:r>
          <w:r>
            <w:fldChar w:fldCharType="begin"/>
          </w:r>
          <w:r>
            <w:instrText xml:space="preserve"> PAGEREF _Toc21174 \h </w:instrText>
          </w:r>
          <w:r>
            <w:fldChar w:fldCharType="separate"/>
          </w:r>
          <w:r>
            <w:t>13</w:t>
          </w:r>
          <w:r>
            <w:fldChar w:fldCharType="end"/>
          </w:r>
          <w:r>
            <w:rPr>
              <w:rFonts w:hint="eastAsia" w:ascii="黑体" w:hAnsi="ˎ̥" w:eastAsia="黑体"/>
              <w:szCs w:val="32"/>
            </w:rPr>
            <w:fldChar w:fldCharType="end"/>
          </w:r>
        </w:p>
        <w:p>
          <w:pPr>
            <w:pStyle w:val="16"/>
            <w:tabs>
              <w:tab w:val="right" w:leader="dot" w:pos="8845"/>
            </w:tabs>
          </w:pPr>
          <w:r>
            <w:rPr>
              <w:rFonts w:hint="eastAsia" w:ascii="黑体" w:hAnsi="ˎ̥" w:eastAsia="黑体"/>
              <w:szCs w:val="32"/>
            </w:rPr>
            <w:fldChar w:fldCharType="begin"/>
          </w:r>
          <w:r>
            <w:rPr>
              <w:rFonts w:hint="eastAsia" w:ascii="黑体" w:hAnsi="ˎ̥" w:eastAsia="黑体"/>
              <w:szCs w:val="32"/>
            </w:rPr>
            <w:instrText xml:space="preserve"> HYPERLINK \l _Toc6290 </w:instrText>
          </w:r>
          <w:r>
            <w:rPr>
              <w:rFonts w:hint="eastAsia" w:ascii="黑体" w:hAnsi="ˎ̥" w:eastAsia="黑体"/>
              <w:szCs w:val="32"/>
            </w:rPr>
            <w:fldChar w:fldCharType="separate"/>
          </w:r>
          <w:r>
            <w:rPr>
              <w:rFonts w:hint="eastAsia" w:ascii="仿宋_GB2312" w:hAnsi="ˎ̥" w:eastAsia="仿宋_GB2312"/>
              <w:szCs w:val="32"/>
            </w:rPr>
            <w:t>十六、</w:t>
          </w:r>
          <w:r>
            <w:rPr>
              <w:rFonts w:ascii="仿宋_GB2312" w:hAnsi="ˎ̥" w:eastAsia="仿宋_GB2312"/>
              <w:szCs w:val="32"/>
            </w:rPr>
            <w:t>支出功能分类：</w:t>
          </w:r>
          <w:r>
            <w:tab/>
          </w:r>
          <w:r>
            <w:fldChar w:fldCharType="begin"/>
          </w:r>
          <w:r>
            <w:instrText xml:space="preserve"> PAGEREF _Toc6290 \h </w:instrText>
          </w:r>
          <w:r>
            <w:fldChar w:fldCharType="separate"/>
          </w:r>
          <w:r>
            <w:t>15</w:t>
          </w:r>
          <w:r>
            <w:fldChar w:fldCharType="end"/>
          </w:r>
          <w:r>
            <w:rPr>
              <w:rFonts w:hint="eastAsia" w:ascii="黑体" w:hAnsi="ˎ̥" w:eastAsia="黑体"/>
              <w:szCs w:val="32"/>
            </w:rPr>
            <w:fldChar w:fldCharType="end"/>
          </w:r>
        </w:p>
        <w:p>
          <w:pPr>
            <w:spacing w:line="578" w:lineRule="exact"/>
            <w:jc w:val="both"/>
            <w:rPr>
              <w:rFonts w:hint="eastAsia" w:ascii="黑体" w:hAnsi="ˎ̥" w:eastAsia="黑体" w:cs="Times New Roman"/>
              <w:b/>
              <w:kern w:val="2"/>
              <w:sz w:val="21"/>
              <w:szCs w:val="32"/>
              <w:lang w:val="en-US" w:eastAsia="zh-CN" w:bidi="ar-SA"/>
            </w:rPr>
          </w:pPr>
          <w:r>
            <w:rPr>
              <w:rFonts w:hint="eastAsia" w:ascii="黑体" w:hAnsi="ˎ̥" w:eastAsia="黑体"/>
              <w:b/>
              <w:szCs w:val="32"/>
            </w:rPr>
            <w:fldChar w:fldCharType="end"/>
          </w:r>
        </w:p>
      </w:sdtContent>
    </w:sdt>
    <w:p>
      <w:pPr>
        <w:spacing w:line="578" w:lineRule="exact"/>
        <w:jc w:val="both"/>
        <w:rPr>
          <w:rFonts w:hint="eastAsia" w:ascii="黑体" w:hAnsi="ˎ̥" w:eastAsia="黑体" w:cs="Times New Roman"/>
          <w:b/>
          <w:kern w:val="2"/>
          <w:sz w:val="21"/>
          <w:szCs w:val="32"/>
          <w:lang w:val="en-US" w:eastAsia="zh-CN" w:bidi="ar-SA"/>
        </w:rPr>
      </w:pPr>
    </w:p>
    <w:p>
      <w:pPr>
        <w:spacing w:line="578" w:lineRule="exact"/>
        <w:jc w:val="center"/>
        <w:outlineLvl w:val="0"/>
        <w:rPr>
          <w:rFonts w:hint="eastAsia" w:ascii="黑体" w:hAnsi="ˎ̥" w:eastAsia="黑体"/>
          <w:sz w:val="32"/>
          <w:szCs w:val="32"/>
        </w:rPr>
      </w:pPr>
      <w:bookmarkStart w:id="139" w:name="_GoBack"/>
      <w:bookmarkEnd w:id="139"/>
      <w:bookmarkStart w:id="11" w:name="_Toc27748"/>
      <w:r>
        <w:rPr>
          <w:rFonts w:hint="eastAsia" w:ascii="黑体" w:hAnsi="ˎ̥" w:eastAsia="黑体"/>
          <w:sz w:val="32"/>
          <w:szCs w:val="32"/>
        </w:rPr>
        <w:t xml:space="preserve">第一部分  </w:t>
      </w:r>
      <w:bookmarkEnd w:id="1"/>
      <w:bookmarkEnd w:id="2"/>
      <w:bookmarkEnd w:id="3"/>
      <w:bookmarkEnd w:id="4"/>
      <w:bookmarkEnd w:id="5"/>
      <w:r>
        <w:rPr>
          <w:rFonts w:hint="eastAsia" w:ascii="黑体" w:hAnsi="ˎ̥" w:eastAsia="黑体"/>
          <w:sz w:val="32"/>
          <w:szCs w:val="32"/>
        </w:rPr>
        <w:t>基本情况</w:t>
      </w:r>
      <w:bookmarkEnd w:id="11"/>
    </w:p>
    <w:bookmarkEnd w:id="6"/>
    <w:bookmarkEnd w:id="7"/>
    <w:bookmarkEnd w:id="8"/>
    <w:bookmarkEnd w:id="9"/>
    <w:bookmarkEnd w:id="10"/>
    <w:p>
      <w:pPr>
        <w:numPr>
          <w:ilvl w:val="0"/>
          <w:numId w:val="1"/>
        </w:numPr>
        <w:spacing w:line="578" w:lineRule="exact"/>
        <w:ind w:firstLine="640" w:firstLineChars="200"/>
        <w:outlineLvl w:val="1"/>
        <w:rPr>
          <w:rFonts w:hint="eastAsia" w:ascii="黑体" w:hAnsi="黑体" w:eastAsia="黑体" w:cs="黑体"/>
          <w:sz w:val="32"/>
          <w:szCs w:val="32"/>
        </w:rPr>
      </w:pPr>
      <w:bookmarkStart w:id="12" w:name="_Toc520"/>
      <w:bookmarkStart w:id="13" w:name="_Toc28628"/>
      <w:bookmarkStart w:id="14" w:name="_Toc6234_WPSOffice_Level1"/>
      <w:bookmarkStart w:id="15" w:name="_Toc30451_WPSOffice_Level1"/>
      <w:bookmarkStart w:id="16" w:name="_Toc30690_WPSOffice_Level1"/>
      <w:bookmarkStart w:id="17" w:name="_Toc15521_WPSOffice_Level1"/>
      <w:bookmarkStart w:id="18" w:name="_Toc8164_WPSOffice_Level1"/>
      <w:bookmarkStart w:id="19" w:name="_Toc6211_WPSOffice_Level2"/>
      <w:bookmarkStart w:id="20" w:name="_Toc4029_WPSOffice_Level2"/>
      <w:bookmarkStart w:id="21" w:name="_Toc32472_WPSOffice_Level2"/>
      <w:bookmarkStart w:id="22" w:name="_Toc11518_WPSOffice_Level2"/>
      <w:bookmarkStart w:id="23" w:name="_Toc32695_WPSOffice_Level2"/>
      <w:bookmarkStart w:id="24" w:name="_Toc8867_WPSOffice_Level2"/>
      <w:r>
        <w:rPr>
          <w:rFonts w:hint="eastAsia" w:ascii="黑体" w:hAnsi="黑体" w:eastAsia="黑体" w:cs="黑体"/>
          <w:sz w:val="32"/>
          <w:szCs w:val="32"/>
          <w:lang w:eastAsia="zh-CN"/>
        </w:rPr>
        <w:t>单位</w:t>
      </w:r>
      <w:r>
        <w:rPr>
          <w:rFonts w:hint="eastAsia" w:ascii="黑体" w:hAnsi="黑体" w:eastAsia="黑体" w:cs="黑体"/>
          <w:sz w:val="32"/>
          <w:szCs w:val="32"/>
        </w:rPr>
        <w:t>职责</w:t>
      </w:r>
      <w:bookmarkEnd w:id="12"/>
      <w:bookmarkEnd w:id="13"/>
    </w:p>
    <w:p>
      <w:pPr>
        <w:spacing w:beforeAutospacing="1" w:afterAutospacing="1"/>
        <w:ind w:left="561" w:leftChars="267" w:firstLine="640" w:firstLineChars="200"/>
        <w:rPr>
          <w:rFonts w:hint="eastAsia" w:ascii="黑体" w:hAnsi="黑体" w:eastAsia="黑体" w:cs="黑体"/>
          <w:sz w:val="32"/>
          <w:szCs w:val="32"/>
        </w:rPr>
      </w:pPr>
      <w:r>
        <w:rPr>
          <w:rFonts w:hint="eastAsia" w:ascii="仿宋_GB2312" w:hAnsi="仿宋_GB2312"/>
          <w:sz w:val="32"/>
          <w:szCs w:val="32"/>
          <w:shd w:val="clear" w:color="auto" w:fill="FFFFFF"/>
        </w:rPr>
        <w:t>实施初中义务教育，促进基础教育发展。初中学历教育、相关社会服务。</w:t>
      </w:r>
    </w:p>
    <w:p>
      <w:pPr>
        <w:numPr>
          <w:ilvl w:val="0"/>
          <w:numId w:val="1"/>
        </w:numPr>
        <w:spacing w:line="578" w:lineRule="exact"/>
        <w:ind w:firstLine="640" w:firstLineChars="200"/>
        <w:outlineLvl w:val="1"/>
        <w:rPr>
          <w:rFonts w:hint="eastAsia" w:ascii="黑体" w:hAnsi="黑体" w:eastAsia="黑体" w:cs="黑体"/>
          <w:sz w:val="32"/>
          <w:szCs w:val="32"/>
        </w:rPr>
      </w:pPr>
      <w:bookmarkStart w:id="25" w:name="_Toc17796_WPSOffice_Level2"/>
      <w:bookmarkStart w:id="26" w:name="_Toc24474_WPSOffice_Level2"/>
      <w:bookmarkStart w:id="27" w:name="_Toc32395"/>
      <w:bookmarkStart w:id="28" w:name="_Toc14648"/>
      <w:bookmarkStart w:id="29" w:name="_Toc6572_WPSOffice_Level2"/>
      <w:bookmarkStart w:id="30" w:name="_Toc24059_WPSOffice_Level2"/>
      <w:r>
        <w:rPr>
          <w:rFonts w:hint="eastAsia" w:ascii="黑体" w:hAnsi="黑体" w:eastAsia="黑体" w:cs="黑体"/>
          <w:sz w:val="32"/>
          <w:szCs w:val="32"/>
        </w:rPr>
        <w:t>机构设置</w:t>
      </w:r>
      <w:bookmarkEnd w:id="25"/>
      <w:bookmarkEnd w:id="26"/>
      <w:bookmarkEnd w:id="27"/>
      <w:bookmarkEnd w:id="28"/>
      <w:bookmarkEnd w:id="29"/>
      <w:bookmarkEnd w:id="30"/>
    </w:p>
    <w:p>
      <w:pPr>
        <w:spacing w:after="100" w:afterAutospacing="1"/>
        <w:ind w:firstLine="640" w:firstLineChars="200"/>
        <w:rPr>
          <w:rFonts w:hint="eastAsia" w:ascii="仿宋_GB2312" w:hAnsi="仿宋_GB2312" w:eastAsia="宋体"/>
          <w:sz w:val="32"/>
          <w:szCs w:val="32"/>
          <w:shd w:val="clear" w:color="auto" w:fill="FFFFFF"/>
        </w:rPr>
      </w:pPr>
      <w:r>
        <w:rPr>
          <w:rFonts w:hint="eastAsia" w:ascii="仿宋_GB2312" w:hAnsi="仿宋_GB2312"/>
          <w:sz w:val="32"/>
          <w:szCs w:val="32"/>
          <w:shd w:val="clear" w:color="auto" w:fill="FFFFFF"/>
        </w:rPr>
        <w:t>纳入屯昌县南吕镇南吕中学</w:t>
      </w:r>
      <w:r>
        <w:rPr>
          <w:rFonts w:hint="eastAsia" w:ascii="仿宋_GB2312" w:hAnsi="仿宋_GB2312"/>
          <w:sz w:val="32"/>
          <w:szCs w:val="32"/>
          <w:shd w:val="clear" w:color="auto" w:fill="FFFFFF"/>
          <w:lang w:eastAsia="zh-CN"/>
        </w:rPr>
        <w:t>单位</w:t>
      </w:r>
      <w:r>
        <w:rPr>
          <w:rFonts w:ascii="仿宋_GB2312" w:hAnsi="仿宋_GB2312"/>
          <w:sz w:val="32"/>
          <w:szCs w:val="32"/>
          <w:shd w:val="clear" w:color="auto" w:fill="FFFFFF"/>
        </w:rPr>
        <w:t>202</w:t>
      </w:r>
      <w:r>
        <w:rPr>
          <w:rFonts w:hint="eastAsia" w:ascii="仿宋_GB2312" w:hAnsi="仿宋_GB2312"/>
          <w:sz w:val="32"/>
          <w:szCs w:val="32"/>
          <w:shd w:val="clear" w:color="auto" w:fill="FFFFFF"/>
          <w:lang w:val="en-US" w:eastAsia="zh-CN"/>
        </w:rPr>
        <w:t>4</w:t>
      </w:r>
      <w:r>
        <w:rPr>
          <w:rFonts w:hint="eastAsia" w:ascii="仿宋_GB2312" w:hAnsi="仿宋_GB2312"/>
          <w:sz w:val="32"/>
          <w:szCs w:val="32"/>
          <w:shd w:val="clear" w:color="auto" w:fill="FFFFFF"/>
        </w:rPr>
        <w:t>年度</w:t>
      </w:r>
      <w:r>
        <w:rPr>
          <w:rFonts w:hint="eastAsia" w:ascii="仿宋_GB2312" w:hAnsi="仿宋_GB2312"/>
          <w:sz w:val="32"/>
          <w:szCs w:val="32"/>
          <w:shd w:val="clear" w:color="auto" w:fill="FFFFFF"/>
          <w:lang w:eastAsia="zh-CN"/>
        </w:rPr>
        <w:t>单位</w:t>
      </w:r>
      <w:r>
        <w:rPr>
          <w:rFonts w:hint="eastAsia" w:ascii="仿宋_GB2312" w:hAnsi="仿宋_GB2312"/>
          <w:sz w:val="32"/>
          <w:szCs w:val="32"/>
          <w:shd w:val="clear" w:color="auto" w:fill="FFFFFF"/>
        </w:rPr>
        <w:t>决算编制范围的二级预算单位包括：</w:t>
      </w:r>
    </w:p>
    <w:p>
      <w:pPr>
        <w:spacing w:after="100" w:afterAutospacing="1"/>
        <w:ind w:firstLine="640" w:firstLineChars="200"/>
        <w:rPr>
          <w:rFonts w:ascii="楷体" w:hAnsi="楷体" w:eastAsia="楷体"/>
          <w:sz w:val="32"/>
          <w:szCs w:val="32"/>
          <w:shd w:val="clear" w:color="auto" w:fill="FFFFFF"/>
        </w:rPr>
      </w:pPr>
      <w:r>
        <w:rPr>
          <w:rFonts w:hint="eastAsia" w:ascii="楷体" w:hAnsi="楷体" w:eastAsia="楷体"/>
          <w:sz w:val="32"/>
          <w:szCs w:val="32"/>
          <w:shd w:val="clear" w:color="auto" w:fill="FFFFFF"/>
        </w:rPr>
        <w:t>（一）屯昌县南吕镇南吕中学</w:t>
      </w:r>
      <w:r>
        <w:rPr>
          <w:rFonts w:hint="eastAsia" w:ascii="楷体" w:hAnsi="楷体" w:eastAsia="楷体"/>
          <w:sz w:val="32"/>
          <w:szCs w:val="32"/>
          <w:shd w:val="clear" w:color="auto" w:fill="FFFFFF"/>
          <w:lang w:eastAsia="zh-CN"/>
        </w:rPr>
        <w:t>单位</w:t>
      </w:r>
      <w:r>
        <w:rPr>
          <w:rFonts w:hint="eastAsia" w:ascii="楷体" w:hAnsi="楷体" w:eastAsia="楷体"/>
          <w:sz w:val="32"/>
          <w:szCs w:val="32"/>
          <w:shd w:val="clear" w:color="auto" w:fill="FFFFFF"/>
        </w:rPr>
        <w:t>本级</w:t>
      </w:r>
    </w:p>
    <w:p>
      <w:pPr>
        <w:spacing w:after="100" w:afterAutospacing="1"/>
        <w:ind w:firstLine="640" w:firstLineChars="200"/>
        <w:rPr>
          <w:rFonts w:hint="eastAsia" w:ascii="黑体" w:hAnsi="ˎ̥" w:eastAsia="黑体"/>
          <w:sz w:val="32"/>
          <w:szCs w:val="32"/>
        </w:rPr>
      </w:pPr>
      <w:r>
        <w:rPr>
          <w:rFonts w:hint="eastAsia" w:ascii="仿宋_GB2312" w:hAnsi="仿宋_GB2312"/>
          <w:sz w:val="32"/>
          <w:szCs w:val="32"/>
          <w:shd w:val="clear" w:color="auto" w:fill="FFFFFF"/>
          <w:lang w:val="en-US" w:eastAsia="zh-CN"/>
        </w:rPr>
        <w:t>屯昌县南吕镇南吕中学</w:t>
      </w:r>
      <w:r>
        <w:rPr>
          <w:rFonts w:hint="eastAsia" w:ascii="仿宋_GB2312" w:hAnsi="仿宋_GB2312"/>
          <w:sz w:val="32"/>
          <w:szCs w:val="32"/>
          <w:shd w:val="clear" w:color="auto" w:fill="FFFFFF"/>
        </w:rPr>
        <w:t>是基层预算单位，没有下属单位，</w:t>
      </w:r>
      <w:r>
        <w:rPr>
          <w:rFonts w:hint="eastAsia" w:ascii="仿宋_GB2312" w:hAnsi="仿宋_GB2312"/>
          <w:sz w:val="32"/>
          <w:szCs w:val="32"/>
          <w:shd w:val="clear" w:color="auto" w:fill="FFFFFF"/>
          <w:lang w:val="en-US" w:eastAsia="zh-CN"/>
        </w:rPr>
        <w:t>是单位</w:t>
      </w:r>
      <w:r>
        <w:rPr>
          <w:rFonts w:hint="eastAsia" w:ascii="仿宋_GB2312" w:hAnsi="仿宋_GB2312"/>
          <w:sz w:val="32"/>
          <w:szCs w:val="32"/>
          <w:shd w:val="clear" w:color="auto" w:fill="FFFFFF"/>
        </w:rPr>
        <w:t>内设机构。</w:t>
      </w:r>
    </w:p>
    <w:p>
      <w:pPr>
        <w:spacing w:line="578" w:lineRule="exact"/>
        <w:jc w:val="center"/>
        <w:outlineLvl w:val="0"/>
        <w:rPr>
          <w:rFonts w:hint="eastAsia" w:ascii="黑体" w:hAnsi="ˎ̥" w:eastAsia="黑体"/>
          <w:sz w:val="32"/>
          <w:szCs w:val="32"/>
        </w:rPr>
      </w:pPr>
      <w:bookmarkStart w:id="31" w:name="_Toc14723"/>
      <w:r>
        <w:rPr>
          <w:rFonts w:hint="eastAsia" w:ascii="黑体" w:hAnsi="ˎ̥" w:eastAsia="黑体"/>
          <w:sz w:val="32"/>
          <w:szCs w:val="32"/>
        </w:rPr>
        <w:t xml:space="preserve">第二部分  </w:t>
      </w:r>
      <w:r>
        <w:rPr>
          <w:rFonts w:hint="default" w:ascii="黑体" w:hAnsi="ˎ̥" w:eastAsia="黑体"/>
          <w:sz w:val="32"/>
          <w:szCs w:val="32"/>
          <w:lang w:val="en-US"/>
        </w:rPr>
        <w:t>2024</w:t>
      </w:r>
      <w:r>
        <w:rPr>
          <w:rFonts w:hint="eastAsia" w:ascii="黑体" w:hAnsi="ˎ̥" w:eastAsia="黑体"/>
          <w:sz w:val="32"/>
          <w:szCs w:val="32"/>
        </w:rPr>
        <w:t>年度</w:t>
      </w:r>
      <w:r>
        <w:rPr>
          <w:rFonts w:hint="eastAsia" w:ascii="黑体" w:hAnsi="ˎ̥" w:eastAsia="黑体"/>
          <w:sz w:val="32"/>
          <w:szCs w:val="32"/>
          <w:lang w:eastAsia="zh-CN"/>
        </w:rPr>
        <w:t>单位</w:t>
      </w:r>
      <w:r>
        <w:rPr>
          <w:rFonts w:hint="eastAsia" w:ascii="黑体" w:hAnsi="ˎ̥" w:eastAsia="黑体"/>
          <w:sz w:val="32"/>
          <w:szCs w:val="32"/>
        </w:rPr>
        <w:t>决算公开报表</w:t>
      </w:r>
      <w:bookmarkEnd w:id="14"/>
      <w:bookmarkEnd w:id="15"/>
      <w:bookmarkEnd w:id="16"/>
      <w:bookmarkEnd w:id="17"/>
      <w:bookmarkEnd w:id="18"/>
      <w:bookmarkEnd w:id="31"/>
    </w:p>
    <w:p>
      <w:pPr>
        <w:spacing w:line="578" w:lineRule="exact"/>
        <w:ind w:firstLine="645"/>
        <w:rPr>
          <w:rFonts w:hint="eastAsia" w:ascii="黑体" w:hAnsi="黑体" w:eastAsia="黑体" w:cs="黑体"/>
          <w:sz w:val="32"/>
          <w:szCs w:val="32"/>
        </w:rPr>
      </w:pPr>
    </w:p>
    <w:p>
      <w:pPr>
        <w:spacing w:line="578" w:lineRule="exact"/>
        <w:ind w:firstLine="645"/>
        <w:rPr>
          <w:rFonts w:hint="eastAsia" w:ascii="黑体" w:hAnsi="黑体" w:eastAsia="黑体" w:cs="黑体"/>
          <w:sz w:val="32"/>
          <w:szCs w:val="32"/>
        </w:rPr>
      </w:pPr>
      <w:r>
        <w:rPr>
          <w:rFonts w:hint="eastAsia" w:ascii="黑体" w:hAnsi="黑体" w:eastAsia="黑体" w:cs="黑体"/>
          <w:sz w:val="32"/>
          <w:szCs w:val="32"/>
        </w:rPr>
        <w:t>一、收入支出决算公开表</w:t>
      </w:r>
      <w:bookmarkEnd w:id="19"/>
      <w:bookmarkEnd w:id="20"/>
      <w:bookmarkEnd w:id="21"/>
      <w:bookmarkEnd w:id="22"/>
      <w:bookmarkEnd w:id="23"/>
      <w:bookmarkEnd w:id="24"/>
    </w:p>
    <w:p>
      <w:pPr>
        <w:spacing w:line="578" w:lineRule="exact"/>
        <w:ind w:firstLine="645"/>
        <w:rPr>
          <w:rFonts w:hint="eastAsia" w:ascii="黑体" w:hAnsi="黑体" w:eastAsia="黑体" w:cs="黑体"/>
          <w:sz w:val="32"/>
          <w:szCs w:val="32"/>
        </w:rPr>
      </w:pPr>
      <w:bookmarkStart w:id="32" w:name="_Toc26621_WPSOffice_Level2"/>
      <w:bookmarkStart w:id="33" w:name="_Toc30334_WPSOffice_Level2"/>
      <w:bookmarkStart w:id="34" w:name="_Toc25608_WPSOffice_Level2"/>
      <w:bookmarkStart w:id="35" w:name="_Toc28622_WPSOffice_Level2"/>
      <w:bookmarkStart w:id="36" w:name="_Toc14349_WPSOffice_Level2"/>
      <w:bookmarkStart w:id="37" w:name="_Toc23139_WPSOffice_Level2"/>
      <w:r>
        <w:rPr>
          <w:rFonts w:hint="eastAsia" w:ascii="黑体" w:hAnsi="黑体" w:eastAsia="黑体" w:cs="黑体"/>
          <w:sz w:val="32"/>
          <w:szCs w:val="32"/>
        </w:rPr>
        <w:t>二、收入决算公开表</w:t>
      </w:r>
      <w:bookmarkEnd w:id="32"/>
      <w:bookmarkEnd w:id="33"/>
      <w:bookmarkEnd w:id="34"/>
      <w:bookmarkEnd w:id="35"/>
      <w:bookmarkEnd w:id="36"/>
      <w:bookmarkEnd w:id="37"/>
      <w:bookmarkStart w:id="38" w:name="_Toc14658_WPSOffice_Level2"/>
      <w:bookmarkStart w:id="39" w:name="_Toc17626_WPSOffice_Level2"/>
      <w:bookmarkStart w:id="40" w:name="_Toc13854_WPSOffice_Level2"/>
      <w:bookmarkStart w:id="41" w:name="_Toc5489_WPSOffice_Level2"/>
      <w:bookmarkStart w:id="42" w:name="_Toc3262_WPSOffice_Level2"/>
      <w:bookmarkStart w:id="43" w:name="_Toc17858_WPSOffice_Level2"/>
    </w:p>
    <w:p>
      <w:pPr>
        <w:spacing w:line="578" w:lineRule="exact"/>
        <w:ind w:firstLine="645"/>
        <w:rPr>
          <w:rFonts w:hint="eastAsia" w:ascii="黑体" w:hAnsi="黑体" w:eastAsia="黑体" w:cs="黑体"/>
          <w:sz w:val="32"/>
          <w:szCs w:val="32"/>
        </w:rPr>
      </w:pPr>
      <w:r>
        <w:rPr>
          <w:rFonts w:hint="eastAsia" w:ascii="黑体" w:hAnsi="黑体" w:eastAsia="黑体" w:cs="黑体"/>
          <w:sz w:val="32"/>
          <w:szCs w:val="32"/>
        </w:rPr>
        <w:t>三、支出决算公开表</w:t>
      </w:r>
      <w:bookmarkEnd w:id="38"/>
      <w:bookmarkEnd w:id="39"/>
      <w:bookmarkEnd w:id="40"/>
      <w:bookmarkEnd w:id="41"/>
      <w:bookmarkEnd w:id="42"/>
      <w:bookmarkEnd w:id="43"/>
      <w:bookmarkStart w:id="44" w:name="_Toc23493_WPSOffice_Level2"/>
      <w:bookmarkStart w:id="45" w:name="_Toc4265_WPSOffice_Level2"/>
      <w:bookmarkStart w:id="46" w:name="_Toc7988_WPSOffice_Level2"/>
      <w:bookmarkStart w:id="47" w:name="_Toc13701_WPSOffice_Level2"/>
      <w:bookmarkStart w:id="48" w:name="_Toc23591_WPSOffice_Level2"/>
      <w:bookmarkStart w:id="49" w:name="_Toc21415_WPSOffice_Level2"/>
    </w:p>
    <w:p>
      <w:pPr>
        <w:spacing w:line="578" w:lineRule="exact"/>
        <w:ind w:firstLine="645"/>
        <w:rPr>
          <w:rFonts w:hint="eastAsia" w:ascii="黑体" w:hAnsi="黑体" w:eastAsia="黑体" w:cs="黑体"/>
          <w:sz w:val="32"/>
          <w:szCs w:val="32"/>
        </w:rPr>
      </w:pPr>
      <w:r>
        <w:rPr>
          <w:rFonts w:hint="eastAsia" w:ascii="黑体" w:hAnsi="黑体" w:eastAsia="黑体" w:cs="黑体"/>
          <w:sz w:val="32"/>
          <w:szCs w:val="32"/>
        </w:rPr>
        <w:t>四、财政拨款收入支出决算公开表</w:t>
      </w:r>
      <w:bookmarkEnd w:id="44"/>
      <w:bookmarkEnd w:id="45"/>
      <w:bookmarkEnd w:id="46"/>
      <w:bookmarkEnd w:id="47"/>
      <w:bookmarkEnd w:id="48"/>
      <w:bookmarkEnd w:id="49"/>
    </w:p>
    <w:p>
      <w:pPr>
        <w:spacing w:line="578" w:lineRule="exact"/>
        <w:ind w:firstLine="645"/>
        <w:rPr>
          <w:rFonts w:hint="eastAsia" w:ascii="黑体" w:hAnsi="黑体" w:eastAsia="黑体" w:cs="黑体"/>
          <w:sz w:val="32"/>
          <w:szCs w:val="32"/>
        </w:rPr>
      </w:pPr>
      <w:bookmarkStart w:id="50" w:name="_Toc22783_WPSOffice_Level2"/>
      <w:bookmarkStart w:id="51" w:name="_Toc25166_WPSOffice_Level2"/>
      <w:bookmarkStart w:id="52" w:name="_Toc23829_WPSOffice_Level2"/>
      <w:bookmarkStart w:id="53" w:name="_Toc7879_WPSOffice_Level2"/>
      <w:bookmarkStart w:id="54" w:name="_Toc13516_WPSOffice_Level2"/>
      <w:bookmarkStart w:id="55" w:name="_Toc2158_WPSOffice_Level2"/>
      <w:r>
        <w:rPr>
          <w:rFonts w:hint="eastAsia" w:ascii="黑体" w:hAnsi="黑体" w:eastAsia="黑体" w:cs="黑体"/>
          <w:sz w:val="32"/>
          <w:szCs w:val="32"/>
        </w:rPr>
        <w:t>五、一般公共预算财政拨款收入支出决算</w:t>
      </w:r>
      <w:bookmarkEnd w:id="50"/>
      <w:bookmarkEnd w:id="51"/>
      <w:bookmarkEnd w:id="52"/>
      <w:bookmarkEnd w:id="53"/>
      <w:r>
        <w:rPr>
          <w:rFonts w:hint="eastAsia" w:ascii="黑体" w:hAnsi="黑体" w:eastAsia="黑体" w:cs="黑体"/>
          <w:sz w:val="32"/>
          <w:szCs w:val="32"/>
        </w:rPr>
        <w:t>公开表</w:t>
      </w:r>
      <w:bookmarkEnd w:id="54"/>
      <w:bookmarkEnd w:id="55"/>
      <w:bookmarkStart w:id="56" w:name="_Toc25362_WPSOffice_Level2"/>
      <w:bookmarkStart w:id="57" w:name="_Toc5343_WPSOffice_Level2"/>
      <w:bookmarkStart w:id="58" w:name="_Toc17283_WPSOffice_Level2"/>
      <w:bookmarkStart w:id="59" w:name="_Toc8373_WPSOffice_Level2"/>
      <w:bookmarkStart w:id="60" w:name="_Toc17833_WPSOffice_Level2"/>
      <w:bookmarkStart w:id="61" w:name="_Toc2632_WPSOffice_Level2"/>
    </w:p>
    <w:p>
      <w:pPr>
        <w:spacing w:line="578" w:lineRule="exact"/>
        <w:ind w:firstLine="645"/>
        <w:rPr>
          <w:rFonts w:hint="eastAsia" w:ascii="黑体" w:hAnsi="黑体" w:eastAsia="黑体" w:cs="黑体"/>
          <w:sz w:val="32"/>
          <w:szCs w:val="32"/>
        </w:rPr>
      </w:pPr>
      <w:r>
        <w:rPr>
          <w:rFonts w:hint="eastAsia" w:ascii="黑体" w:hAnsi="黑体" w:eastAsia="黑体" w:cs="黑体"/>
          <w:sz w:val="32"/>
          <w:szCs w:val="32"/>
        </w:rPr>
        <w:t>六、一般公共预算财政拨款基本支出决算</w:t>
      </w:r>
      <w:bookmarkEnd w:id="56"/>
      <w:bookmarkEnd w:id="57"/>
      <w:bookmarkEnd w:id="58"/>
      <w:bookmarkEnd w:id="59"/>
      <w:bookmarkEnd w:id="60"/>
      <w:bookmarkEnd w:id="61"/>
      <w:r>
        <w:rPr>
          <w:rFonts w:hint="eastAsia" w:ascii="黑体" w:hAnsi="黑体" w:eastAsia="黑体" w:cs="黑体"/>
          <w:sz w:val="32"/>
          <w:szCs w:val="32"/>
        </w:rPr>
        <w:t>公开表</w:t>
      </w:r>
    </w:p>
    <w:p>
      <w:pPr>
        <w:spacing w:line="578" w:lineRule="exact"/>
        <w:ind w:left="1118" w:leftChars="304" w:hanging="480" w:hangingChars="150"/>
        <w:rPr>
          <w:rFonts w:hint="eastAsia" w:ascii="黑体" w:hAnsi="黑体" w:eastAsia="黑体" w:cs="黑体"/>
          <w:sz w:val="32"/>
          <w:szCs w:val="32"/>
        </w:rPr>
      </w:pPr>
      <w:bookmarkStart w:id="62" w:name="_Toc6020_WPSOffice_Level2"/>
      <w:bookmarkStart w:id="63" w:name="_Toc1533_WPSOffice_Level2"/>
      <w:bookmarkStart w:id="64" w:name="_Toc21310_WPSOffice_Level2"/>
      <w:bookmarkStart w:id="65" w:name="_Toc5594_WPSOffice_Level2"/>
      <w:bookmarkStart w:id="66" w:name="_Toc13345_WPSOffice_Level2"/>
      <w:bookmarkStart w:id="67" w:name="_Toc11799_WPSOffice_Level2"/>
      <w:r>
        <w:rPr>
          <w:rFonts w:hint="eastAsia" w:ascii="黑体" w:hAnsi="黑体" w:eastAsia="黑体" w:cs="黑体"/>
          <w:sz w:val="32"/>
          <w:szCs w:val="32"/>
        </w:rPr>
        <w:t>七、政府性基金预算财政拨款收入支出决算</w:t>
      </w:r>
      <w:bookmarkEnd w:id="62"/>
      <w:bookmarkEnd w:id="63"/>
      <w:bookmarkEnd w:id="64"/>
      <w:bookmarkEnd w:id="65"/>
      <w:bookmarkEnd w:id="66"/>
      <w:bookmarkEnd w:id="67"/>
      <w:r>
        <w:rPr>
          <w:rFonts w:hint="eastAsia" w:ascii="黑体" w:hAnsi="黑体" w:eastAsia="黑体" w:cs="黑体"/>
          <w:sz w:val="32"/>
          <w:szCs w:val="32"/>
        </w:rPr>
        <w:t>公开表</w:t>
      </w:r>
    </w:p>
    <w:p>
      <w:pPr>
        <w:spacing w:line="578" w:lineRule="exact"/>
        <w:ind w:left="1118" w:leftChars="304" w:hanging="480" w:hangingChars="150"/>
        <w:rPr>
          <w:rFonts w:hint="eastAsia" w:ascii="黑体" w:hAnsi="黑体" w:eastAsia="黑体" w:cs="黑体"/>
          <w:sz w:val="32"/>
          <w:szCs w:val="32"/>
        </w:rPr>
      </w:pPr>
      <w:r>
        <w:rPr>
          <w:rFonts w:hint="eastAsia" w:ascii="黑体" w:hAnsi="黑体" w:eastAsia="黑体" w:cs="黑体"/>
          <w:sz w:val="32"/>
          <w:szCs w:val="32"/>
        </w:rPr>
        <w:t>八、国有资本经营预算财政拨款收入支出决算公开表</w:t>
      </w:r>
    </w:p>
    <w:p>
      <w:pPr>
        <w:spacing w:line="578" w:lineRule="exact"/>
        <w:ind w:firstLine="640"/>
        <w:rPr>
          <w:rFonts w:hint="eastAsia" w:ascii="黑体" w:hAnsi="黑体" w:eastAsia="黑体" w:cs="黑体"/>
          <w:sz w:val="32"/>
          <w:szCs w:val="32"/>
        </w:rPr>
      </w:pPr>
      <w:bookmarkStart w:id="68" w:name="_Toc9377_WPSOffice_Level2"/>
      <w:bookmarkStart w:id="69" w:name="_Toc19961_WPSOffice_Level2"/>
      <w:bookmarkStart w:id="70" w:name="_Toc29886_WPSOffice_Level2"/>
      <w:bookmarkStart w:id="71" w:name="_Toc1820_WPSOffice_Level2"/>
      <w:r>
        <w:rPr>
          <w:rFonts w:hint="eastAsia" w:ascii="黑体" w:hAnsi="黑体" w:eastAsia="黑体" w:cs="黑体"/>
          <w:sz w:val="32"/>
          <w:szCs w:val="32"/>
        </w:rPr>
        <w:t>九、财政拨款“三公”经费支出决算</w:t>
      </w:r>
      <w:bookmarkEnd w:id="68"/>
      <w:bookmarkEnd w:id="69"/>
      <w:bookmarkEnd w:id="70"/>
      <w:bookmarkEnd w:id="71"/>
      <w:r>
        <w:rPr>
          <w:rFonts w:hint="eastAsia" w:ascii="黑体" w:hAnsi="黑体" w:eastAsia="黑体" w:cs="黑体"/>
          <w:sz w:val="32"/>
          <w:szCs w:val="32"/>
        </w:rPr>
        <w:t>公开表</w:t>
      </w:r>
    </w:p>
    <w:p>
      <w:pPr>
        <w:spacing w:line="578" w:lineRule="exact"/>
        <w:ind w:firstLine="640"/>
        <w:rPr>
          <w:rFonts w:hint="eastAsia" w:ascii="仿宋" w:hAnsi="仿宋" w:eastAsia="仿宋" w:cs="仿宋"/>
          <w:w w:val="100"/>
          <w:sz w:val="32"/>
          <w:szCs w:val="32"/>
        </w:rPr>
      </w:pPr>
      <w:r>
        <w:rPr>
          <w:rFonts w:hint="eastAsia" w:ascii="仿宋" w:hAnsi="仿宋" w:eastAsia="仿宋" w:cs="仿宋"/>
          <w:w w:val="100"/>
          <w:sz w:val="32"/>
          <w:szCs w:val="32"/>
        </w:rPr>
        <w:t xml:space="preserve">以上报表见附件1。   </w:t>
      </w:r>
    </w:p>
    <w:p>
      <w:pPr>
        <w:spacing w:line="578" w:lineRule="exact"/>
        <w:rPr>
          <w:rFonts w:hint="eastAsia" w:ascii="黑体" w:hAnsi="黑体" w:eastAsia="黑体" w:cs="黑体"/>
          <w:sz w:val="32"/>
          <w:szCs w:val="32"/>
        </w:rPr>
      </w:pPr>
    </w:p>
    <w:p>
      <w:pPr>
        <w:spacing w:line="578" w:lineRule="exact"/>
        <w:jc w:val="center"/>
        <w:outlineLvl w:val="0"/>
        <w:rPr>
          <w:rFonts w:hint="eastAsia" w:ascii="黑体" w:hAnsi="ˎ̥" w:eastAsia="黑体"/>
          <w:sz w:val="32"/>
          <w:szCs w:val="32"/>
        </w:rPr>
      </w:pPr>
      <w:bookmarkStart w:id="72" w:name="_Toc4402_WPSOffice_Level1"/>
      <w:bookmarkStart w:id="73" w:name="_Toc28629_WPSOffice_Level1"/>
      <w:bookmarkStart w:id="74" w:name="_Toc31927"/>
      <w:bookmarkStart w:id="75" w:name="_Toc29683_WPSOffice_Level1"/>
      <w:bookmarkStart w:id="76" w:name="_Toc31264_WPSOffice_Level1"/>
      <w:bookmarkStart w:id="77" w:name="_Toc16686_WPSOffice_Level1"/>
      <w:r>
        <w:rPr>
          <w:rFonts w:hint="eastAsia" w:ascii="黑体" w:hAnsi="ˎ̥" w:eastAsia="黑体"/>
          <w:sz w:val="32"/>
          <w:szCs w:val="32"/>
        </w:rPr>
        <w:t xml:space="preserve">第三部分  </w:t>
      </w:r>
      <w:r>
        <w:rPr>
          <w:rFonts w:hint="default" w:ascii="黑体" w:hAnsi="ˎ̥" w:eastAsia="黑体"/>
          <w:sz w:val="32"/>
          <w:szCs w:val="32"/>
          <w:lang w:val="en-US"/>
        </w:rPr>
        <w:t>2024</w:t>
      </w:r>
      <w:r>
        <w:rPr>
          <w:rFonts w:hint="eastAsia" w:ascii="黑体" w:hAnsi="ˎ̥" w:eastAsia="黑体"/>
          <w:sz w:val="32"/>
          <w:szCs w:val="32"/>
        </w:rPr>
        <w:t>年度</w:t>
      </w:r>
      <w:r>
        <w:rPr>
          <w:rFonts w:hint="eastAsia" w:ascii="黑体" w:hAnsi="ˎ̥" w:eastAsia="黑体"/>
          <w:sz w:val="32"/>
          <w:szCs w:val="32"/>
          <w:lang w:eastAsia="zh-CN"/>
        </w:rPr>
        <w:t>单位</w:t>
      </w:r>
      <w:r>
        <w:rPr>
          <w:rFonts w:hint="eastAsia" w:ascii="黑体" w:hAnsi="ˎ̥" w:eastAsia="黑体"/>
          <w:sz w:val="32"/>
          <w:szCs w:val="32"/>
        </w:rPr>
        <w:t>决算情况说明</w:t>
      </w:r>
      <w:bookmarkEnd w:id="72"/>
      <w:bookmarkEnd w:id="73"/>
      <w:bookmarkEnd w:id="74"/>
      <w:bookmarkEnd w:id="75"/>
      <w:bookmarkEnd w:id="76"/>
      <w:bookmarkEnd w:id="77"/>
    </w:p>
    <w:p>
      <w:pPr>
        <w:spacing w:line="578" w:lineRule="exact"/>
        <w:jc w:val="center"/>
        <w:rPr>
          <w:rFonts w:hint="eastAsia" w:ascii="黑体" w:hAnsi="ˎ̥" w:eastAsia="黑体"/>
          <w:sz w:val="32"/>
          <w:szCs w:val="32"/>
        </w:rPr>
      </w:pPr>
    </w:p>
    <w:p>
      <w:pPr>
        <w:spacing w:line="578" w:lineRule="exact"/>
        <w:ind w:firstLine="640" w:firstLineChars="200"/>
        <w:rPr>
          <w:rFonts w:ascii="仿宋_GB2312" w:hAnsi="ˎ̥" w:eastAsia="仿宋_GB2312"/>
          <w:sz w:val="32"/>
          <w:szCs w:val="32"/>
        </w:rPr>
      </w:pPr>
      <w:r>
        <w:rPr>
          <w:rFonts w:hint="eastAsia" w:ascii="黑体" w:hAnsi="黑体" w:eastAsia="黑体" w:cs="黑体"/>
          <w:bCs/>
          <w:sz w:val="32"/>
          <w:szCs w:val="32"/>
        </w:rPr>
        <w:t>一、收入支出总体情况说明</w:t>
      </w:r>
      <w:r>
        <w:rPr>
          <w:rFonts w:hint="eastAsia" w:ascii="黑体" w:hAnsi="黑体" w:eastAsia="黑体" w:cs="黑体"/>
          <w:bCs/>
          <w:sz w:val="32"/>
          <w:szCs w:val="32"/>
        </w:rPr>
        <w:br w:type="textWrapping"/>
      </w:r>
      <w:r>
        <w:rPr>
          <w:rFonts w:hint="eastAsia" w:ascii="楷体_GB2312" w:hAnsi="ˎ̥" w:eastAsia="楷体_GB2312"/>
          <w:sz w:val="32"/>
          <w:szCs w:val="32"/>
        </w:rPr>
        <w:t xml:space="preserve">    </w:t>
      </w:r>
      <w:r>
        <w:rPr>
          <w:rFonts w:hint="default" w:ascii="仿宋_GB2312" w:hAnsi="ˎ̥" w:eastAsia="仿宋_GB2312"/>
          <w:sz w:val="32"/>
          <w:szCs w:val="32"/>
          <w:lang w:val="en-US"/>
        </w:rPr>
        <w:t>2024</w:t>
      </w:r>
      <w:r>
        <w:rPr>
          <w:rFonts w:hint="eastAsia" w:ascii="仿宋_GB2312" w:hAnsi="ˎ̥" w:eastAsia="仿宋_GB2312"/>
          <w:sz w:val="32"/>
          <w:szCs w:val="32"/>
        </w:rPr>
        <w:t>年度收入总计</w:t>
      </w:r>
      <w:r>
        <w:rPr>
          <w:rFonts w:hint="default" w:ascii="仿宋_GB2312" w:hAnsi="ˎ̥" w:eastAsia="仿宋_GB2312"/>
          <w:color w:val="FF0000"/>
          <w:sz w:val="32"/>
          <w:szCs w:val="32"/>
          <w:lang w:val="en-US"/>
        </w:rPr>
        <w:t>1,536.42</w:t>
      </w:r>
      <w:r>
        <w:rPr>
          <w:rFonts w:hint="eastAsia" w:ascii="仿宋_GB2312" w:hAnsi="ˎ̥" w:eastAsia="仿宋_GB2312"/>
          <w:sz w:val="32"/>
          <w:szCs w:val="32"/>
        </w:rPr>
        <w:t>万元，支出总计</w:t>
      </w:r>
      <w:r>
        <w:rPr>
          <w:rFonts w:hint="default" w:ascii="仿宋_GB2312" w:hAnsi="ˎ̥" w:eastAsia="仿宋_GB2312"/>
          <w:color w:val="FF0000"/>
          <w:sz w:val="32"/>
          <w:szCs w:val="32"/>
          <w:lang w:val="en-US"/>
        </w:rPr>
        <w:t>1,536.42</w:t>
      </w:r>
      <w:r>
        <w:rPr>
          <w:rFonts w:hint="eastAsia" w:ascii="仿宋_GB2312" w:hAnsi="ˎ̥" w:eastAsia="仿宋_GB2312"/>
          <w:sz w:val="32"/>
          <w:szCs w:val="32"/>
        </w:rPr>
        <w:t>万元，与</w:t>
      </w:r>
      <w:r>
        <w:rPr>
          <w:rFonts w:hint="default" w:ascii="仿宋_GB2312" w:hAnsi="ˎ̥" w:eastAsia="仿宋_GB2312"/>
          <w:sz w:val="32"/>
          <w:szCs w:val="32"/>
          <w:lang w:val="en-US"/>
        </w:rPr>
        <w:t>2023</w:t>
      </w:r>
      <w:r>
        <w:rPr>
          <w:rFonts w:hint="eastAsia" w:ascii="仿宋_GB2312" w:hAnsi="ˎ̥" w:eastAsia="仿宋_GB2312"/>
          <w:sz w:val="32"/>
          <w:szCs w:val="32"/>
        </w:rPr>
        <w:t>年度相比，收入、支出总计减少</w:t>
      </w:r>
      <w:r>
        <w:rPr>
          <w:rFonts w:hint="eastAsia" w:ascii="仿宋_GB2312" w:hAnsi="ˎ̥" w:eastAsia="仿宋_GB2312"/>
          <w:sz w:val="32"/>
          <w:szCs w:val="32"/>
          <w:lang w:val="en-US" w:eastAsia="zh-CN"/>
        </w:rPr>
        <w:t>210.82</w:t>
      </w:r>
      <w:r>
        <w:rPr>
          <w:rFonts w:hint="eastAsia" w:ascii="仿宋_GB2312" w:hAnsi="ˎ̥" w:eastAsia="仿宋_GB2312"/>
          <w:sz w:val="32"/>
          <w:szCs w:val="32"/>
        </w:rPr>
        <w:t>万元，下降</w:t>
      </w:r>
      <w:r>
        <w:rPr>
          <w:rFonts w:hint="eastAsia" w:ascii="仿宋_GB2312" w:hAnsi="ˎ̥" w:eastAsia="仿宋_GB2312"/>
          <w:color w:val="FF0000"/>
          <w:sz w:val="32"/>
          <w:szCs w:val="32"/>
          <w:lang w:val="en-US" w:eastAsia="zh-CN"/>
        </w:rPr>
        <w:t>13.72</w:t>
      </w:r>
      <w:r>
        <w:rPr>
          <w:rFonts w:hint="eastAsia" w:ascii="仿宋_GB2312" w:hAnsi="ˎ̥" w:eastAsia="仿宋_GB2312"/>
          <w:sz w:val="32"/>
          <w:szCs w:val="32"/>
        </w:rPr>
        <w:t>%。主要原因：</w:t>
      </w:r>
      <w:r>
        <w:rPr>
          <w:rFonts w:hint="eastAsia" w:ascii="仿宋_GB2312" w:hAnsi="仿宋_GB2312"/>
          <w:sz w:val="32"/>
          <w:szCs w:val="32"/>
          <w:shd w:val="clear" w:color="auto" w:fill="FFFFFF"/>
        </w:rPr>
        <w:t>一是</w:t>
      </w:r>
      <w:r>
        <w:rPr>
          <w:rFonts w:hint="eastAsia" w:ascii="仿宋_GB2312" w:hAnsi="仿宋_GB2312"/>
          <w:color w:val="000000"/>
          <w:sz w:val="32"/>
          <w:szCs w:val="32"/>
          <w:shd w:val="clear" w:color="auto" w:fill="FFFFFF"/>
        </w:rPr>
        <w:t>基本收、支中，人员</w:t>
      </w:r>
      <w:r>
        <w:rPr>
          <w:rFonts w:hint="eastAsia" w:ascii="仿宋_GB2312" w:hAnsi="仿宋_GB2312"/>
          <w:color w:val="000000"/>
          <w:sz w:val="32"/>
          <w:szCs w:val="32"/>
          <w:shd w:val="clear" w:color="auto" w:fill="FFFFFF"/>
          <w:lang w:eastAsia="zh-CN"/>
        </w:rPr>
        <w:t>减少</w:t>
      </w:r>
      <w:r>
        <w:rPr>
          <w:rFonts w:hint="eastAsia" w:ascii="仿宋_GB2312" w:hAnsi="仿宋_GB2312"/>
          <w:color w:val="000000"/>
          <w:sz w:val="32"/>
          <w:szCs w:val="32"/>
          <w:shd w:val="clear" w:color="auto" w:fill="FFFFFF"/>
        </w:rPr>
        <w:t>，人员经费支出相应</w:t>
      </w:r>
      <w:r>
        <w:rPr>
          <w:rFonts w:hint="eastAsia" w:ascii="仿宋_GB2312" w:hAnsi="仿宋_GB2312"/>
          <w:color w:val="000000"/>
          <w:sz w:val="32"/>
          <w:szCs w:val="32"/>
          <w:shd w:val="clear" w:color="auto" w:fill="FFFFFF"/>
          <w:lang w:eastAsia="zh-CN"/>
        </w:rPr>
        <w:t>减少</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outlineLvl w:val="1"/>
        <w:rPr>
          <w:rFonts w:ascii="楷体" w:hAnsi="楷体" w:eastAsia="楷体" w:cs="楷体"/>
          <w:sz w:val="32"/>
          <w:szCs w:val="32"/>
        </w:rPr>
      </w:pPr>
      <w:bookmarkStart w:id="78" w:name="_Toc6770"/>
      <w:r>
        <w:rPr>
          <w:rFonts w:hint="eastAsia" w:ascii="楷体" w:hAnsi="楷体" w:eastAsia="楷体" w:cs="楷体"/>
          <w:sz w:val="32"/>
          <w:szCs w:val="32"/>
        </w:rPr>
        <w:t>（一</w:t>
      </w:r>
      <w:r>
        <w:rPr>
          <w:rFonts w:ascii="楷体" w:hAnsi="楷体" w:eastAsia="楷体" w:cs="楷体"/>
          <w:sz w:val="32"/>
          <w:szCs w:val="32"/>
        </w:rPr>
        <w:t>）</w:t>
      </w:r>
      <w:r>
        <w:rPr>
          <w:rFonts w:hint="eastAsia" w:ascii="楷体" w:hAnsi="楷体" w:eastAsia="楷体" w:cs="楷体"/>
          <w:sz w:val="32"/>
          <w:szCs w:val="32"/>
        </w:rPr>
        <w:t>收入</w:t>
      </w:r>
      <w:r>
        <w:rPr>
          <w:rFonts w:ascii="楷体" w:hAnsi="楷体" w:eastAsia="楷体" w:cs="楷体"/>
          <w:sz w:val="32"/>
          <w:szCs w:val="32"/>
        </w:rPr>
        <w:t>总计</w:t>
      </w:r>
      <w:r>
        <w:rPr>
          <w:rFonts w:hint="eastAsia" w:ascii="楷体" w:hAnsi="楷体" w:eastAsia="楷体" w:cs="楷体"/>
          <w:sz w:val="32"/>
          <w:szCs w:val="32"/>
        </w:rPr>
        <w:t>主要</w:t>
      </w:r>
      <w:r>
        <w:rPr>
          <w:rFonts w:ascii="楷体" w:hAnsi="楷体" w:eastAsia="楷体" w:cs="楷体"/>
          <w:sz w:val="32"/>
          <w:szCs w:val="32"/>
        </w:rPr>
        <w:t>构成</w:t>
      </w:r>
      <w:bookmarkEnd w:id="78"/>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sz w:val="32"/>
          <w:szCs w:val="32"/>
        </w:rPr>
      </w:pPr>
      <w:r>
        <w:rPr>
          <w:rFonts w:hint="eastAsia" w:ascii="仿宋_GB2312" w:hAnsi="ˎ̥" w:eastAsia="仿宋_GB2312"/>
          <w:sz w:val="32"/>
          <w:szCs w:val="32"/>
        </w:rPr>
        <w:t>本年</w:t>
      </w:r>
      <w:r>
        <w:rPr>
          <w:rFonts w:ascii="仿宋_GB2312" w:hAnsi="ˎ̥" w:eastAsia="仿宋_GB2312"/>
          <w:sz w:val="32"/>
          <w:szCs w:val="32"/>
        </w:rPr>
        <w:t>收入</w:t>
      </w:r>
      <w:r>
        <w:rPr>
          <w:rFonts w:hint="default" w:ascii="仿宋_GB2312" w:hAnsi="ˎ̥" w:eastAsia="仿宋_GB2312"/>
          <w:color w:val="FF0000"/>
          <w:sz w:val="32"/>
          <w:szCs w:val="32"/>
          <w:lang w:val="en-US"/>
        </w:rPr>
        <w:t>1,528.04</w:t>
      </w:r>
      <w:r>
        <w:rPr>
          <w:rFonts w:hint="eastAsia" w:ascii="仿宋_GB2312" w:hAnsi="ˎ̥" w:eastAsia="仿宋_GB2312"/>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sz w:val="32"/>
          <w:szCs w:val="32"/>
        </w:rPr>
      </w:pPr>
      <w:r>
        <w:rPr>
          <w:rFonts w:hint="eastAsia" w:ascii="仿宋_GB2312" w:hAnsi="ˎ̥" w:eastAsia="仿宋_GB2312"/>
          <w:sz w:val="32"/>
          <w:szCs w:val="32"/>
        </w:rPr>
        <w:t>使用非财政拨款结余</w:t>
      </w:r>
      <w:r>
        <w:rPr>
          <w:rFonts w:hint="default" w:ascii="仿宋_GB2312" w:hAnsi="ˎ̥" w:eastAsia="仿宋_GB2312"/>
          <w:color w:val="FF0000"/>
          <w:sz w:val="32"/>
          <w:szCs w:val="32"/>
          <w:lang w:val="en-US"/>
        </w:rPr>
        <w:t>0.00</w:t>
      </w:r>
      <w:r>
        <w:rPr>
          <w:rFonts w:hint="eastAsia" w:ascii="仿宋_GB2312" w:hAnsi="ˎ̥" w:eastAsia="仿宋_GB2312"/>
          <w:sz w:val="32"/>
          <w:szCs w:val="32"/>
        </w:rPr>
        <w:t>万元，较</w:t>
      </w:r>
      <w:r>
        <w:rPr>
          <w:rFonts w:hint="default" w:ascii="仿宋_GB2312" w:hAnsi="ˎ̥" w:eastAsia="仿宋_GB2312"/>
          <w:sz w:val="32"/>
          <w:szCs w:val="32"/>
          <w:lang w:val="en-US"/>
        </w:rPr>
        <w:t>2023</w:t>
      </w:r>
      <w:r>
        <w:rPr>
          <w:rFonts w:hint="eastAsia" w:ascii="仿宋_GB2312" w:hAnsi="ˎ̥" w:eastAsia="仿宋_GB2312"/>
          <w:sz w:val="32"/>
          <w:szCs w:val="32"/>
        </w:rPr>
        <w:t>年度决算数增加（减少）</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万元，主要原因是</w:t>
      </w:r>
      <w:r>
        <w:rPr>
          <w:rFonts w:hint="eastAsia" w:ascii="仿宋_GB2312" w:hAnsi="ˎ̥" w:eastAsia="仿宋_GB2312" w:cs="仿宋_GB2312"/>
          <w:sz w:val="32"/>
          <w:szCs w:val="32"/>
        </w:rPr>
        <w:t>202</w:t>
      </w:r>
      <w:r>
        <w:rPr>
          <w:rFonts w:hint="eastAsia" w:ascii="仿宋_GB2312" w:hAnsi="ˎ̥" w:eastAsia="仿宋_GB2312" w:cs="仿宋_GB2312"/>
          <w:sz w:val="32"/>
          <w:szCs w:val="32"/>
          <w:lang w:val="en-US" w:eastAsia="zh-CN"/>
        </w:rPr>
        <w:t>4</w:t>
      </w:r>
      <w:r>
        <w:rPr>
          <w:rFonts w:hint="eastAsia" w:ascii="仿宋_GB2312" w:hAnsi="ˎ̥" w:eastAsia="仿宋_GB2312" w:cs="仿宋_GB2312"/>
          <w:sz w:val="32"/>
          <w:szCs w:val="32"/>
        </w:rPr>
        <w:t>年没有</w:t>
      </w:r>
      <w:r>
        <w:rPr>
          <w:rFonts w:hint="eastAsia" w:ascii="仿宋_GB2312" w:hAnsi="仿宋_GB2312"/>
          <w:sz w:val="32"/>
          <w:szCs w:val="32"/>
          <w:shd w:val="clear" w:color="auto" w:fill="FFFFFF"/>
        </w:rPr>
        <w:t>结转结余金额</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sz w:val="32"/>
          <w:szCs w:val="32"/>
        </w:rPr>
      </w:pPr>
      <w:r>
        <w:rPr>
          <w:rFonts w:hint="eastAsia" w:ascii="仿宋_GB2312" w:hAnsi="ˎ̥" w:eastAsia="仿宋_GB2312"/>
          <w:sz w:val="32"/>
          <w:szCs w:val="32"/>
        </w:rPr>
        <w:t>年初结转结余</w:t>
      </w:r>
      <w:r>
        <w:rPr>
          <w:rFonts w:hint="default" w:ascii="仿宋_GB2312" w:hAnsi="ˎ̥" w:eastAsia="仿宋_GB2312"/>
          <w:color w:val="FF0000"/>
          <w:sz w:val="32"/>
          <w:szCs w:val="32"/>
          <w:lang w:val="en-US"/>
        </w:rPr>
        <w:t>8.38</w:t>
      </w:r>
      <w:r>
        <w:rPr>
          <w:rFonts w:hint="eastAsia" w:ascii="仿宋_GB2312" w:hAnsi="ˎ̥" w:eastAsia="仿宋_GB2312"/>
          <w:sz w:val="32"/>
          <w:szCs w:val="32"/>
        </w:rPr>
        <w:t>万元，主要是</w:t>
      </w:r>
      <w:r>
        <w:rPr>
          <w:rFonts w:hint="eastAsia" w:ascii="仿宋_GB2312" w:hAnsi="ˎ̥" w:eastAsia="仿宋_GB2312"/>
          <w:sz w:val="32"/>
          <w:szCs w:val="32"/>
          <w:lang w:val="en-US" w:eastAsia="zh-CN"/>
        </w:rPr>
        <w:t>历年</w:t>
      </w:r>
      <w:r>
        <w:rPr>
          <w:rFonts w:hint="eastAsia" w:ascii="仿宋_GB2312" w:hAnsi="ˎ̥" w:eastAsia="仿宋_GB2312"/>
          <w:sz w:val="32"/>
          <w:szCs w:val="32"/>
        </w:rPr>
        <w:t>结转结余形成，较</w:t>
      </w:r>
      <w:r>
        <w:rPr>
          <w:rFonts w:hint="default" w:ascii="仿宋_GB2312" w:hAnsi="ˎ̥" w:eastAsia="仿宋_GB2312"/>
          <w:sz w:val="32"/>
          <w:szCs w:val="32"/>
          <w:lang w:val="en-US"/>
        </w:rPr>
        <w:t>2023</w:t>
      </w:r>
      <w:r>
        <w:rPr>
          <w:rFonts w:hint="eastAsia" w:ascii="仿宋_GB2312" w:hAnsi="ˎ̥" w:eastAsia="仿宋_GB2312"/>
          <w:sz w:val="32"/>
          <w:szCs w:val="32"/>
        </w:rPr>
        <w:t>年度决算数增加</w:t>
      </w:r>
      <w:r>
        <w:rPr>
          <w:rFonts w:hint="eastAsia" w:ascii="仿宋_GB2312" w:hAnsi="ˎ̥" w:eastAsia="仿宋_GB2312"/>
          <w:sz w:val="32"/>
          <w:szCs w:val="32"/>
          <w:lang w:val="en-US" w:eastAsia="zh-CN"/>
        </w:rPr>
        <w:t>6.03</w:t>
      </w:r>
      <w:r>
        <w:rPr>
          <w:rFonts w:hint="eastAsia" w:ascii="仿宋_GB2312" w:hAnsi="ˎ̥" w:eastAsia="仿宋_GB2312"/>
          <w:sz w:val="32"/>
          <w:szCs w:val="32"/>
        </w:rPr>
        <w:t>万元，增长</w:t>
      </w:r>
      <w:r>
        <w:rPr>
          <w:rFonts w:hint="eastAsia" w:ascii="仿宋_GB2312" w:hAnsi="ˎ̥" w:eastAsia="仿宋_GB2312"/>
          <w:sz w:val="32"/>
          <w:szCs w:val="32"/>
          <w:lang w:val="en-US" w:eastAsia="zh-CN"/>
        </w:rPr>
        <w:t>71.95</w:t>
      </w:r>
      <w:r>
        <w:rPr>
          <w:rFonts w:hint="eastAsia" w:ascii="仿宋_GB2312" w:hAnsi="ˎ̥" w:eastAsia="仿宋_GB2312"/>
          <w:sz w:val="32"/>
          <w:szCs w:val="32"/>
        </w:rPr>
        <w:t>%，主要原因是</w:t>
      </w:r>
      <w:r>
        <w:rPr>
          <w:rFonts w:hint="eastAsia" w:ascii="仿宋_GB2312" w:hAnsi="ˎ̥" w:eastAsia="仿宋_GB2312"/>
          <w:sz w:val="32"/>
          <w:szCs w:val="32"/>
          <w:lang w:val="en-US" w:eastAsia="zh-CN"/>
        </w:rPr>
        <w:t>上年度资金没有使用完</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outlineLvl w:val="1"/>
        <w:rPr>
          <w:rFonts w:hint="eastAsia" w:ascii="楷体" w:hAnsi="楷体" w:eastAsia="楷体" w:cs="楷体"/>
          <w:sz w:val="32"/>
          <w:szCs w:val="32"/>
          <w:lang w:eastAsia="zh-CN"/>
        </w:rPr>
      </w:pPr>
      <w:bookmarkStart w:id="79" w:name="_Toc41"/>
      <w:r>
        <w:rPr>
          <w:rFonts w:hint="eastAsia" w:ascii="楷体" w:hAnsi="楷体" w:eastAsia="楷体" w:cs="楷体"/>
          <w:sz w:val="32"/>
          <w:szCs w:val="32"/>
        </w:rPr>
        <w:t>（二</w:t>
      </w:r>
      <w:r>
        <w:rPr>
          <w:rFonts w:ascii="楷体" w:hAnsi="楷体" w:eastAsia="楷体" w:cs="楷体"/>
          <w:sz w:val="32"/>
          <w:szCs w:val="32"/>
        </w:rPr>
        <w:t>）</w:t>
      </w:r>
      <w:r>
        <w:rPr>
          <w:rFonts w:hint="eastAsia" w:ascii="楷体" w:hAnsi="楷体" w:eastAsia="楷体" w:cs="楷体"/>
          <w:sz w:val="32"/>
          <w:szCs w:val="32"/>
        </w:rPr>
        <w:t>支出</w:t>
      </w:r>
      <w:r>
        <w:rPr>
          <w:rFonts w:ascii="楷体" w:hAnsi="楷体" w:eastAsia="楷体" w:cs="楷体"/>
          <w:sz w:val="32"/>
          <w:szCs w:val="32"/>
        </w:rPr>
        <w:t>总计</w:t>
      </w:r>
      <w:r>
        <w:rPr>
          <w:rFonts w:hint="eastAsia" w:ascii="楷体" w:hAnsi="楷体" w:eastAsia="楷体" w:cs="楷体"/>
          <w:sz w:val="32"/>
          <w:szCs w:val="32"/>
        </w:rPr>
        <w:t>主要</w:t>
      </w:r>
      <w:r>
        <w:rPr>
          <w:rFonts w:ascii="楷体" w:hAnsi="楷体" w:eastAsia="楷体" w:cs="楷体"/>
          <w:sz w:val="32"/>
          <w:szCs w:val="32"/>
        </w:rPr>
        <w:t>构成</w:t>
      </w:r>
      <w:bookmarkEnd w:id="79"/>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本年支出</w:t>
      </w:r>
      <w:r>
        <w:rPr>
          <w:rFonts w:hint="default" w:ascii="仿宋_GB2312" w:hAnsi="ˎ̥" w:eastAsia="仿宋_GB2312"/>
          <w:color w:val="FF0000"/>
          <w:sz w:val="32"/>
          <w:szCs w:val="32"/>
          <w:lang w:val="en-US"/>
        </w:rPr>
        <w:t>1,531.56</w:t>
      </w:r>
      <w:r>
        <w:rPr>
          <w:rFonts w:hint="eastAsia" w:ascii="仿宋_GB2312" w:hAnsi="ˎ̥" w:eastAsia="仿宋_GB2312"/>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sz w:val="32"/>
          <w:szCs w:val="32"/>
        </w:rPr>
      </w:pPr>
      <w:r>
        <w:rPr>
          <w:rFonts w:hint="eastAsia" w:ascii="仿宋_GB2312" w:hAnsi="ˎ̥" w:eastAsia="仿宋_GB2312"/>
          <w:sz w:val="32"/>
          <w:szCs w:val="32"/>
        </w:rPr>
        <w:t>结余分配</w:t>
      </w:r>
      <w:r>
        <w:rPr>
          <w:rFonts w:hint="default" w:ascii="仿宋_GB2312" w:hAnsi="ˎ̥" w:eastAsia="仿宋_GB2312"/>
          <w:color w:val="FF0000"/>
          <w:sz w:val="32"/>
          <w:szCs w:val="32"/>
          <w:lang w:val="en-US"/>
        </w:rPr>
        <w:t>0.00</w:t>
      </w:r>
      <w:r>
        <w:rPr>
          <w:rFonts w:hint="eastAsia" w:ascii="仿宋_GB2312" w:hAnsi="ˎ̥" w:eastAsia="仿宋_GB2312"/>
          <w:sz w:val="32"/>
          <w:szCs w:val="32"/>
        </w:rPr>
        <w:t>万元，主要是，较</w:t>
      </w:r>
      <w:r>
        <w:rPr>
          <w:rFonts w:hint="default" w:ascii="仿宋_GB2312" w:hAnsi="ˎ̥" w:eastAsia="仿宋_GB2312"/>
          <w:sz w:val="32"/>
          <w:szCs w:val="32"/>
          <w:lang w:val="en-US"/>
        </w:rPr>
        <w:t>2023</w:t>
      </w:r>
      <w:r>
        <w:rPr>
          <w:rFonts w:hint="eastAsia" w:ascii="仿宋_GB2312" w:hAnsi="ˎ̥" w:eastAsia="仿宋_GB2312"/>
          <w:sz w:val="32"/>
          <w:szCs w:val="32"/>
        </w:rPr>
        <w:t>年度决算数增加（减少）</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万元，增长（下降）</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%，主要原因是。</w:t>
      </w:r>
    </w:p>
    <w:p>
      <w:pPr>
        <w:spacing w:line="578" w:lineRule="exact"/>
        <w:ind w:firstLine="640" w:firstLineChars="200"/>
        <w:rPr>
          <w:rFonts w:hint="eastAsia" w:ascii="仿宋_GB2312" w:hAnsi="ˎ̥" w:eastAsia="仿宋_GB2312"/>
          <w:sz w:val="32"/>
          <w:szCs w:val="32"/>
        </w:rPr>
      </w:pPr>
      <w:r>
        <w:rPr>
          <w:rFonts w:hint="eastAsia" w:ascii="仿宋_GB2312" w:hAnsi="ˎ̥" w:eastAsia="仿宋_GB2312"/>
          <w:sz w:val="32"/>
          <w:szCs w:val="32"/>
        </w:rPr>
        <w:t>年末结转结余</w:t>
      </w:r>
      <w:r>
        <w:rPr>
          <w:rFonts w:hint="default" w:ascii="仿宋_GB2312" w:hAnsi="ˎ̥" w:eastAsia="仿宋_GB2312"/>
          <w:color w:val="FF0000"/>
          <w:sz w:val="32"/>
          <w:szCs w:val="32"/>
          <w:lang w:val="en-US"/>
        </w:rPr>
        <w:t>4.86</w:t>
      </w:r>
      <w:r>
        <w:rPr>
          <w:rFonts w:hint="eastAsia" w:ascii="仿宋_GB2312" w:hAnsi="ˎ̥" w:eastAsia="仿宋_GB2312"/>
          <w:sz w:val="32"/>
          <w:szCs w:val="32"/>
        </w:rPr>
        <w:t>万元，主要是</w:t>
      </w:r>
      <w:r>
        <w:rPr>
          <w:rFonts w:hint="eastAsia" w:ascii="仿宋_GB2312" w:hAnsi="ˎ̥" w:eastAsia="仿宋_GB2312"/>
          <w:sz w:val="32"/>
          <w:szCs w:val="32"/>
          <w:lang w:val="en-US" w:eastAsia="zh-CN"/>
        </w:rPr>
        <w:t>历年</w:t>
      </w:r>
      <w:r>
        <w:rPr>
          <w:rFonts w:hint="eastAsia" w:ascii="仿宋_GB2312" w:hAnsi="ˎ̥" w:eastAsia="仿宋_GB2312"/>
          <w:sz w:val="32"/>
          <w:szCs w:val="32"/>
        </w:rPr>
        <w:t>结转结余形成，较</w:t>
      </w:r>
      <w:r>
        <w:rPr>
          <w:rFonts w:hint="default" w:ascii="仿宋_GB2312" w:hAnsi="ˎ̥" w:eastAsia="仿宋_GB2312"/>
          <w:sz w:val="32"/>
          <w:szCs w:val="32"/>
          <w:lang w:val="en-US"/>
        </w:rPr>
        <w:t>2023</w:t>
      </w:r>
      <w:r>
        <w:rPr>
          <w:rFonts w:hint="eastAsia" w:ascii="仿宋_GB2312" w:hAnsi="ˎ̥" w:eastAsia="仿宋_GB2312"/>
          <w:sz w:val="32"/>
          <w:szCs w:val="32"/>
        </w:rPr>
        <w:t>年度决算数增加</w:t>
      </w:r>
      <w:r>
        <w:rPr>
          <w:rFonts w:hint="eastAsia" w:ascii="仿宋_GB2312" w:hAnsi="ˎ̥" w:eastAsia="仿宋_GB2312"/>
          <w:sz w:val="32"/>
          <w:szCs w:val="32"/>
          <w:lang w:val="en-US" w:eastAsia="zh-CN"/>
        </w:rPr>
        <w:t>4.86</w:t>
      </w:r>
      <w:r>
        <w:rPr>
          <w:rFonts w:hint="eastAsia" w:ascii="仿宋_GB2312" w:hAnsi="ˎ̥" w:eastAsia="仿宋_GB2312"/>
          <w:sz w:val="32"/>
          <w:szCs w:val="32"/>
        </w:rPr>
        <w:t>万元，增长</w:t>
      </w:r>
      <w:r>
        <w:rPr>
          <w:rFonts w:hint="eastAsia" w:ascii="仿宋_GB2312" w:hAnsi="ˎ̥" w:eastAsia="仿宋_GB2312"/>
          <w:color w:val="FF0000"/>
          <w:sz w:val="32"/>
          <w:szCs w:val="32"/>
          <w:lang w:val="en-US" w:eastAsia="zh-CN"/>
        </w:rPr>
        <w:t>100</w:t>
      </w:r>
      <w:r>
        <w:rPr>
          <w:rFonts w:hint="eastAsia" w:ascii="仿宋_GB2312" w:hAnsi="ˎ̥" w:eastAsia="仿宋_GB2312"/>
          <w:sz w:val="32"/>
          <w:szCs w:val="32"/>
        </w:rPr>
        <w:t>%，主要原因是</w:t>
      </w:r>
      <w:r>
        <w:rPr>
          <w:rFonts w:hint="eastAsia" w:ascii="仿宋_GB2312" w:hAnsi="ˎ̥" w:eastAsia="仿宋_GB2312"/>
          <w:sz w:val="32"/>
          <w:szCs w:val="32"/>
          <w:lang w:val="en-US" w:eastAsia="zh-CN"/>
        </w:rPr>
        <w:t>上年度资金没有使用完</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黑体" w:hAnsi="黑体" w:eastAsia="黑体" w:cs="黑体"/>
          <w:bCs/>
          <w:sz w:val="32"/>
          <w:szCs w:val="32"/>
        </w:rPr>
        <w:t>二、收入决算情况说明</w:t>
      </w:r>
      <w:r>
        <w:rPr>
          <w:rFonts w:hint="eastAsia" w:ascii="黑体" w:hAnsi="黑体" w:eastAsia="黑体" w:cs="黑体"/>
          <w:bCs/>
          <w:sz w:val="32"/>
          <w:szCs w:val="32"/>
        </w:rPr>
        <w:br w:type="textWrapping"/>
      </w:r>
      <w:r>
        <w:rPr>
          <w:rFonts w:hint="eastAsia" w:ascii="仿宋_GB2312" w:hAnsi="ˎ̥" w:eastAsia="仿宋_GB2312"/>
          <w:sz w:val="32"/>
          <w:szCs w:val="32"/>
        </w:rPr>
        <w:t xml:space="preserve">    本年收入</w:t>
      </w:r>
      <w:r>
        <w:rPr>
          <w:rFonts w:hint="default" w:ascii="仿宋_GB2312" w:hAnsi="ˎ̥" w:eastAsia="仿宋_GB2312"/>
          <w:color w:val="FF0000"/>
          <w:sz w:val="32"/>
          <w:szCs w:val="32"/>
          <w:lang w:val="en-US"/>
        </w:rPr>
        <w:t>1,528.04</w:t>
      </w:r>
      <w:r>
        <w:rPr>
          <w:rFonts w:hint="eastAsia" w:ascii="仿宋_GB2312" w:hAnsi="ˎ̥" w:eastAsia="仿宋_GB2312"/>
          <w:sz w:val="32"/>
          <w:szCs w:val="32"/>
        </w:rPr>
        <w:t>万元，其中：财政拨款收入</w:t>
      </w:r>
      <w:r>
        <w:rPr>
          <w:rFonts w:hint="default" w:ascii="仿宋_GB2312" w:hAnsi="ˎ̥" w:eastAsia="仿宋_GB2312"/>
          <w:color w:val="FF0000"/>
          <w:sz w:val="32"/>
          <w:szCs w:val="32"/>
          <w:lang w:val="en-US"/>
        </w:rPr>
        <w:t>1,522.05</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99.6</w:t>
      </w:r>
      <w:r>
        <w:rPr>
          <w:rFonts w:hint="eastAsia" w:ascii="仿宋_GB2312" w:hAnsi="ˎ̥" w:eastAsia="仿宋_GB2312"/>
          <w:sz w:val="32"/>
          <w:szCs w:val="32"/>
        </w:rPr>
        <w:t>%；上级补助收入</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%；事业收入</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%；经营收入</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%；附属单位上缴收入</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%；其他收入</w:t>
      </w:r>
      <w:r>
        <w:rPr>
          <w:rFonts w:hint="default" w:ascii="仿宋_GB2312" w:hAnsi="ˎ̥" w:eastAsia="仿宋_GB2312"/>
          <w:color w:val="FF0000"/>
          <w:sz w:val="32"/>
          <w:szCs w:val="32"/>
          <w:lang w:val="en-US"/>
        </w:rPr>
        <w:t>5.98</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0.4</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rPr>
      </w:pPr>
      <w:r>
        <w:rPr>
          <w:rFonts w:hint="eastAsia" w:ascii="黑体" w:hAnsi="黑体" w:eastAsia="黑体" w:cs="黑体"/>
          <w:bCs/>
          <w:sz w:val="32"/>
          <w:szCs w:val="32"/>
        </w:rPr>
        <w:t>三、支出决算情况说明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本年支出</w:t>
      </w:r>
      <w:r>
        <w:rPr>
          <w:rFonts w:hint="default" w:ascii="仿宋_GB2312" w:hAnsi="ˎ̥" w:eastAsia="仿宋_GB2312"/>
          <w:color w:val="FF0000"/>
          <w:sz w:val="32"/>
          <w:szCs w:val="32"/>
          <w:lang w:val="en-US"/>
        </w:rPr>
        <w:t>1,531.56</w:t>
      </w:r>
      <w:r>
        <w:rPr>
          <w:rFonts w:hint="eastAsia" w:ascii="仿宋_GB2312" w:hAnsi="ˎ̥" w:eastAsia="仿宋_GB2312"/>
          <w:sz w:val="32"/>
          <w:szCs w:val="32"/>
        </w:rPr>
        <w:t>万元，其中：基本支出</w:t>
      </w:r>
      <w:r>
        <w:rPr>
          <w:rFonts w:hint="default" w:ascii="仿宋_GB2312" w:hAnsi="ˎ̥" w:eastAsia="仿宋_GB2312"/>
          <w:color w:val="FF0000"/>
          <w:sz w:val="32"/>
          <w:szCs w:val="32"/>
          <w:lang w:val="en-US"/>
        </w:rPr>
        <w:t>1,355.72</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88.52</w:t>
      </w:r>
      <w:r>
        <w:rPr>
          <w:rFonts w:hint="eastAsia" w:ascii="仿宋_GB2312" w:hAnsi="ˎ̥" w:eastAsia="仿宋_GB2312"/>
          <w:sz w:val="32"/>
          <w:szCs w:val="32"/>
        </w:rPr>
        <w:t>%；项目支出</w:t>
      </w:r>
      <w:r>
        <w:rPr>
          <w:rFonts w:hint="default" w:ascii="仿宋_GB2312" w:hAnsi="ˎ̥" w:eastAsia="仿宋_GB2312"/>
          <w:color w:val="FF0000"/>
          <w:sz w:val="32"/>
          <w:szCs w:val="32"/>
          <w:lang w:val="en-US"/>
        </w:rPr>
        <w:t>175.84</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11.48</w:t>
      </w:r>
      <w:r>
        <w:rPr>
          <w:rFonts w:hint="eastAsia" w:ascii="仿宋_GB2312" w:hAnsi="ˎ̥" w:eastAsia="仿宋_GB2312"/>
          <w:sz w:val="32"/>
          <w:szCs w:val="32"/>
        </w:rPr>
        <w:t>%；上缴上级支出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%；经营支出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%；对附属单位补助支出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rPr>
      </w:pPr>
      <w:r>
        <w:rPr>
          <w:rFonts w:hint="eastAsia" w:ascii="黑体" w:hAnsi="黑体" w:eastAsia="黑体" w:cs="黑体"/>
          <w:bCs/>
          <w:sz w:val="32"/>
          <w:szCs w:val="32"/>
        </w:rPr>
        <w:t>四、财政拨款收入支出决算总体情况说明</w:t>
      </w:r>
    </w:p>
    <w:p>
      <w:pPr>
        <w:spacing w:beforeAutospacing="1" w:afterAutospacing="1"/>
        <w:ind w:firstLine="640" w:firstLineChars="200"/>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年度财政拨款收入</w:t>
      </w:r>
      <w:r>
        <w:rPr>
          <w:rFonts w:hint="default" w:ascii="仿宋_GB2312" w:hAnsi="ˎ̥" w:eastAsia="仿宋_GB2312"/>
          <w:color w:val="FF0000"/>
          <w:sz w:val="32"/>
          <w:szCs w:val="32"/>
          <w:lang w:val="en-US"/>
        </w:rPr>
        <w:t>1,522.05</w:t>
      </w:r>
      <w:r>
        <w:rPr>
          <w:rFonts w:hint="eastAsia" w:ascii="仿宋_GB2312" w:hAnsi="ˎ̥" w:eastAsia="仿宋_GB2312"/>
          <w:sz w:val="32"/>
          <w:szCs w:val="32"/>
        </w:rPr>
        <w:t>万元，支出</w:t>
      </w:r>
      <w:r>
        <w:rPr>
          <w:rFonts w:hint="default" w:ascii="仿宋_GB2312" w:hAnsi="ˎ̥" w:eastAsia="仿宋_GB2312"/>
          <w:color w:val="FF0000"/>
          <w:sz w:val="32"/>
          <w:szCs w:val="32"/>
          <w:lang w:val="en-US"/>
        </w:rPr>
        <w:t>1,522.05</w:t>
      </w:r>
      <w:r>
        <w:rPr>
          <w:rFonts w:hint="eastAsia" w:ascii="仿宋_GB2312" w:hAnsi="ˎ̥" w:eastAsia="仿宋_GB2312"/>
          <w:sz w:val="32"/>
          <w:szCs w:val="32"/>
        </w:rPr>
        <w:t>万元。与</w:t>
      </w:r>
      <w:r>
        <w:rPr>
          <w:rFonts w:hint="default" w:ascii="仿宋_GB2312" w:hAnsi="ˎ̥" w:eastAsia="仿宋_GB2312"/>
          <w:sz w:val="32"/>
          <w:szCs w:val="32"/>
          <w:lang w:val="en-US"/>
        </w:rPr>
        <w:t>2023</w:t>
      </w:r>
      <w:r>
        <w:rPr>
          <w:rFonts w:hint="eastAsia" w:ascii="仿宋_GB2312" w:hAnsi="ˎ̥" w:eastAsia="仿宋_GB2312"/>
          <w:sz w:val="32"/>
          <w:szCs w:val="32"/>
        </w:rPr>
        <w:t>年度相比，财政拨款收入</w:t>
      </w:r>
      <w:r>
        <w:rPr>
          <w:rFonts w:hint="eastAsia" w:ascii="仿宋_GB2312" w:hAnsi="ˎ̥" w:eastAsia="仿宋_GB2312"/>
          <w:sz w:val="32"/>
          <w:szCs w:val="32"/>
          <w:lang w:eastAsia="zh-CN"/>
        </w:rPr>
        <w:t>（</w:t>
      </w:r>
      <w:r>
        <w:rPr>
          <w:rFonts w:hint="eastAsia" w:ascii="仿宋_GB2312" w:hAnsi="ˎ̥" w:eastAsia="仿宋_GB2312"/>
          <w:sz w:val="32"/>
          <w:szCs w:val="32"/>
        </w:rPr>
        <w:t>减少）</w:t>
      </w:r>
      <w:r>
        <w:rPr>
          <w:rFonts w:hint="eastAsia" w:ascii="仿宋_GB2312" w:hAnsi="ˎ̥" w:eastAsia="仿宋_GB2312"/>
          <w:color w:val="FF0000"/>
          <w:sz w:val="32"/>
          <w:szCs w:val="32"/>
          <w:lang w:val="en-US" w:eastAsia="zh-CN"/>
        </w:rPr>
        <w:t>214.61</w:t>
      </w:r>
      <w:r>
        <w:rPr>
          <w:rFonts w:hint="eastAsia" w:ascii="仿宋_GB2312" w:hAnsi="ˎ̥" w:eastAsia="仿宋_GB2312"/>
          <w:sz w:val="32"/>
          <w:szCs w:val="32"/>
        </w:rPr>
        <w:t>万元，（下降）</w:t>
      </w:r>
      <w:r>
        <w:rPr>
          <w:rFonts w:hint="eastAsia" w:ascii="仿宋_GB2312" w:hAnsi="ˎ̥" w:eastAsia="仿宋_GB2312"/>
          <w:color w:val="FF0000"/>
          <w:sz w:val="32"/>
          <w:szCs w:val="32"/>
          <w:lang w:val="en-US" w:eastAsia="zh-CN"/>
        </w:rPr>
        <w:t>14.1</w:t>
      </w:r>
      <w:r>
        <w:rPr>
          <w:rFonts w:hint="eastAsia" w:ascii="仿宋_GB2312" w:hAnsi="ˎ̥" w:eastAsia="仿宋_GB2312"/>
          <w:sz w:val="32"/>
          <w:szCs w:val="32"/>
        </w:rPr>
        <w:t>%，主要原因：</w:t>
      </w:r>
      <w:r>
        <w:rPr>
          <w:rFonts w:hint="eastAsia" w:ascii="仿宋_GB2312" w:hAnsi="仿宋_GB2312"/>
          <w:sz w:val="32"/>
          <w:szCs w:val="32"/>
          <w:shd w:val="clear" w:color="auto" w:fill="FFFFFF"/>
        </w:rPr>
        <w:t>一是</w:t>
      </w:r>
      <w:r>
        <w:rPr>
          <w:rFonts w:hint="eastAsia" w:ascii="仿宋_GB2312" w:hAnsi="仿宋_GB2312"/>
          <w:color w:val="000000"/>
          <w:sz w:val="32"/>
          <w:szCs w:val="32"/>
          <w:shd w:val="clear" w:color="auto" w:fill="FFFFFF"/>
        </w:rPr>
        <w:t>基本收、支中，人员</w:t>
      </w:r>
      <w:r>
        <w:rPr>
          <w:rFonts w:hint="eastAsia" w:ascii="仿宋_GB2312" w:hAnsi="仿宋_GB2312"/>
          <w:color w:val="000000"/>
          <w:sz w:val="32"/>
          <w:szCs w:val="32"/>
          <w:shd w:val="clear" w:color="auto" w:fill="FFFFFF"/>
          <w:lang w:eastAsia="zh-CN"/>
        </w:rPr>
        <w:t>减</w:t>
      </w:r>
      <w:r>
        <w:rPr>
          <w:rFonts w:hint="eastAsia" w:ascii="仿宋_GB2312" w:hAnsi="仿宋_GB2312"/>
          <w:color w:val="000000"/>
          <w:sz w:val="32"/>
          <w:szCs w:val="32"/>
          <w:shd w:val="clear" w:color="auto" w:fill="FFFFFF"/>
        </w:rPr>
        <w:t>少，人员经费支出相应</w:t>
      </w:r>
      <w:r>
        <w:rPr>
          <w:rFonts w:hint="eastAsia" w:ascii="仿宋_GB2312" w:hAnsi="仿宋_GB2312"/>
          <w:color w:val="000000"/>
          <w:sz w:val="32"/>
          <w:szCs w:val="32"/>
          <w:shd w:val="clear" w:color="auto" w:fill="FFFFFF"/>
          <w:lang w:eastAsia="zh-CN"/>
        </w:rPr>
        <w:t>减少</w:t>
      </w:r>
      <w:r>
        <w:rPr>
          <w:rFonts w:hint="eastAsia" w:ascii="仿宋_GB2312" w:hAnsi="ˎ̥" w:eastAsia="仿宋_GB2312"/>
          <w:sz w:val="32"/>
          <w:szCs w:val="32"/>
        </w:rPr>
        <w:t>。支出（减少）</w:t>
      </w:r>
      <w:r>
        <w:rPr>
          <w:rFonts w:hint="eastAsia" w:ascii="仿宋_GB2312" w:hAnsi="ˎ̥" w:eastAsia="仿宋_GB2312"/>
          <w:color w:val="FF0000"/>
          <w:sz w:val="32"/>
          <w:szCs w:val="32"/>
          <w:lang w:val="en-US" w:eastAsia="zh-CN"/>
        </w:rPr>
        <w:t>214.61</w:t>
      </w:r>
      <w:r>
        <w:rPr>
          <w:rFonts w:hint="eastAsia" w:ascii="仿宋_GB2312" w:hAnsi="ˎ̥" w:eastAsia="仿宋_GB2312"/>
          <w:sz w:val="32"/>
          <w:szCs w:val="32"/>
        </w:rPr>
        <w:t>万元，（下降）</w:t>
      </w:r>
      <w:r>
        <w:rPr>
          <w:rFonts w:hint="eastAsia" w:ascii="仿宋_GB2312" w:hAnsi="ˎ̥" w:eastAsia="仿宋_GB2312"/>
          <w:color w:val="FF0000"/>
          <w:sz w:val="32"/>
          <w:szCs w:val="32"/>
          <w:lang w:val="en-US" w:eastAsia="zh-CN"/>
        </w:rPr>
        <w:t>14.1</w:t>
      </w:r>
      <w:r>
        <w:rPr>
          <w:rFonts w:hint="eastAsia" w:ascii="仿宋_GB2312" w:hAnsi="ˎ̥" w:eastAsia="仿宋_GB2312"/>
          <w:sz w:val="32"/>
          <w:szCs w:val="32"/>
        </w:rPr>
        <w:t>%，主要原因：</w:t>
      </w:r>
      <w:r>
        <w:rPr>
          <w:rFonts w:hint="eastAsia" w:ascii="仿宋_GB2312" w:hAnsi="仿宋_GB2312"/>
          <w:sz w:val="32"/>
          <w:szCs w:val="32"/>
          <w:shd w:val="clear" w:color="auto" w:fill="FFFFFF"/>
        </w:rPr>
        <w:t>一是</w:t>
      </w:r>
      <w:r>
        <w:rPr>
          <w:rFonts w:hint="eastAsia" w:ascii="仿宋_GB2312" w:hAnsi="仿宋_GB2312"/>
          <w:color w:val="000000"/>
          <w:sz w:val="32"/>
          <w:szCs w:val="32"/>
          <w:shd w:val="clear" w:color="auto" w:fill="FFFFFF"/>
        </w:rPr>
        <w:t>基本收、支中，人员</w:t>
      </w:r>
      <w:r>
        <w:rPr>
          <w:rFonts w:hint="eastAsia" w:ascii="仿宋_GB2312" w:hAnsi="仿宋_GB2312"/>
          <w:color w:val="000000"/>
          <w:sz w:val="32"/>
          <w:szCs w:val="32"/>
          <w:shd w:val="clear" w:color="auto" w:fill="FFFFFF"/>
          <w:lang w:eastAsia="zh-CN"/>
        </w:rPr>
        <w:t>减</w:t>
      </w:r>
      <w:r>
        <w:rPr>
          <w:rFonts w:hint="eastAsia" w:ascii="仿宋_GB2312" w:hAnsi="仿宋_GB2312"/>
          <w:color w:val="000000"/>
          <w:sz w:val="32"/>
          <w:szCs w:val="32"/>
          <w:shd w:val="clear" w:color="auto" w:fill="FFFFFF"/>
        </w:rPr>
        <w:t>少，人员经费支出相应</w:t>
      </w:r>
      <w:r>
        <w:rPr>
          <w:rFonts w:hint="eastAsia" w:ascii="仿宋_GB2312" w:hAnsi="仿宋_GB2312"/>
          <w:color w:val="000000"/>
          <w:sz w:val="32"/>
          <w:szCs w:val="32"/>
          <w:shd w:val="clear" w:color="auto" w:fill="FFFFFF"/>
          <w:lang w:eastAsia="zh-CN"/>
        </w:rPr>
        <w:t>减少</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财政拨款年初结转结余</w:t>
      </w:r>
      <w:r>
        <w:rPr>
          <w:rFonts w:hint="default" w:ascii="仿宋_GB2312" w:hAnsi="ˎ̥" w:eastAsia="仿宋_GB2312"/>
          <w:color w:val="FF0000"/>
          <w:sz w:val="32"/>
          <w:szCs w:val="32"/>
          <w:lang w:val="en-US"/>
        </w:rPr>
        <w:t>0.00</w:t>
      </w:r>
      <w:r>
        <w:rPr>
          <w:rFonts w:hint="eastAsia" w:ascii="仿宋_GB2312" w:hAnsi="ˎ̥" w:eastAsia="仿宋_GB2312"/>
          <w:sz w:val="32"/>
          <w:szCs w:val="32"/>
        </w:rPr>
        <w:t>万元，主要是，较</w:t>
      </w:r>
      <w:r>
        <w:rPr>
          <w:rFonts w:hint="default" w:ascii="仿宋_GB2312" w:hAnsi="ˎ̥" w:eastAsia="仿宋_GB2312"/>
          <w:sz w:val="32"/>
          <w:szCs w:val="32"/>
          <w:lang w:val="en-US"/>
        </w:rPr>
        <w:t>2023</w:t>
      </w:r>
      <w:r>
        <w:rPr>
          <w:rFonts w:hint="eastAsia" w:ascii="仿宋_GB2312" w:hAnsi="ˎ̥" w:eastAsia="仿宋_GB2312"/>
          <w:sz w:val="32"/>
          <w:szCs w:val="32"/>
        </w:rPr>
        <w:t>年度决算数增加（减少）</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万元，增长（下降）</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%，主要原因是。</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财政拨款年末结转结余</w:t>
      </w:r>
      <w:r>
        <w:rPr>
          <w:rFonts w:hint="default" w:ascii="仿宋_GB2312" w:hAnsi="ˎ̥" w:eastAsia="仿宋_GB2312"/>
          <w:color w:val="FF0000"/>
          <w:sz w:val="32"/>
          <w:szCs w:val="32"/>
          <w:lang w:val="en-US"/>
        </w:rPr>
        <w:t>0.00</w:t>
      </w:r>
      <w:r>
        <w:rPr>
          <w:rFonts w:hint="eastAsia" w:ascii="仿宋_GB2312" w:hAnsi="ˎ̥" w:eastAsia="仿宋_GB2312"/>
          <w:sz w:val="32"/>
          <w:szCs w:val="32"/>
        </w:rPr>
        <w:t>万元，主要是，较</w:t>
      </w:r>
      <w:r>
        <w:rPr>
          <w:rFonts w:hint="default" w:ascii="仿宋_GB2312" w:hAnsi="ˎ̥" w:eastAsia="仿宋_GB2312"/>
          <w:sz w:val="32"/>
          <w:szCs w:val="32"/>
          <w:lang w:val="en-US"/>
        </w:rPr>
        <w:t>2023</w:t>
      </w:r>
      <w:r>
        <w:rPr>
          <w:rFonts w:hint="eastAsia" w:ascii="仿宋_GB2312" w:hAnsi="ˎ̥" w:eastAsia="仿宋_GB2312"/>
          <w:sz w:val="32"/>
          <w:szCs w:val="32"/>
        </w:rPr>
        <w:t>年度决算数增加（减少）</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万元，增长（下降）</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%，主要原因是。</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rPr>
      </w:pPr>
      <w:r>
        <w:rPr>
          <w:rFonts w:hint="eastAsia" w:ascii="黑体" w:hAnsi="黑体" w:eastAsia="黑体" w:cs="黑体"/>
          <w:bCs/>
          <w:sz w:val="32"/>
          <w:szCs w:val="32"/>
        </w:rPr>
        <w:t>五、一般公共预算财政拨款支出决算情况说明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outlineLvl w:val="1"/>
        <w:rPr>
          <w:rFonts w:hint="eastAsia" w:ascii="楷体" w:hAnsi="楷体" w:eastAsia="楷体" w:cs="楷体"/>
          <w:sz w:val="32"/>
          <w:szCs w:val="32"/>
        </w:rPr>
      </w:pPr>
      <w:bookmarkStart w:id="80" w:name="_Toc17398_WPSOffice_Level2"/>
      <w:bookmarkStart w:id="81" w:name="_Toc9989_WPSOffice_Level2"/>
      <w:bookmarkStart w:id="82" w:name="_Toc19665_WPSOffice_Level2"/>
      <w:bookmarkStart w:id="83" w:name="_Toc29569"/>
      <w:bookmarkStart w:id="84" w:name="_Toc23005_WPSOffice_Level2"/>
      <w:bookmarkStart w:id="85" w:name="_Toc13694_WPSOffice_Level2"/>
      <w:r>
        <w:rPr>
          <w:rFonts w:hint="eastAsia" w:ascii="楷体" w:hAnsi="楷体" w:eastAsia="楷体" w:cs="楷体"/>
          <w:sz w:val="32"/>
          <w:szCs w:val="32"/>
        </w:rPr>
        <w:t>（一）一般公共预算财政拨款支出决算总体情况</w:t>
      </w:r>
      <w:bookmarkEnd w:id="80"/>
      <w:bookmarkEnd w:id="81"/>
      <w:bookmarkEnd w:id="82"/>
      <w:bookmarkEnd w:id="83"/>
      <w:bookmarkEnd w:id="84"/>
      <w:bookmarkEnd w:id="85"/>
    </w:p>
    <w:p>
      <w:pPr>
        <w:spacing w:line="578" w:lineRule="exact"/>
        <w:ind w:firstLine="640" w:firstLineChars="200"/>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年度一般公共预算财政拨款支出</w:t>
      </w:r>
      <w:r>
        <w:rPr>
          <w:rFonts w:hint="default" w:ascii="仿宋_GB2312" w:hAnsi="ˎ̥" w:eastAsia="仿宋_GB2312"/>
          <w:color w:val="FF0000"/>
          <w:sz w:val="32"/>
          <w:szCs w:val="32"/>
          <w:lang w:val="en-US"/>
        </w:rPr>
        <w:t>1,522.05</w:t>
      </w:r>
      <w:r>
        <w:rPr>
          <w:rFonts w:hint="eastAsia" w:ascii="仿宋_GB2312" w:hAnsi="ˎ̥" w:eastAsia="仿宋_GB2312"/>
          <w:sz w:val="32"/>
          <w:szCs w:val="32"/>
        </w:rPr>
        <w:t>万元，占本年支出合计的</w:t>
      </w:r>
      <w:r>
        <w:rPr>
          <w:rFonts w:hint="eastAsia" w:ascii="仿宋_GB2312" w:hAnsi="ˎ̥" w:eastAsia="仿宋_GB2312"/>
          <w:color w:val="FF0000"/>
          <w:sz w:val="32"/>
          <w:szCs w:val="32"/>
          <w:lang w:val="en-US" w:eastAsia="zh-CN"/>
        </w:rPr>
        <w:t>100.14</w:t>
      </w:r>
      <w:r>
        <w:rPr>
          <w:rFonts w:hint="eastAsia" w:ascii="仿宋_GB2312" w:hAnsi="ˎ̥" w:eastAsia="仿宋_GB2312"/>
          <w:sz w:val="32"/>
          <w:szCs w:val="32"/>
        </w:rPr>
        <w:t>%。与</w:t>
      </w:r>
      <w:r>
        <w:rPr>
          <w:rFonts w:hint="default" w:ascii="仿宋_GB2312" w:hAnsi="ˎ̥" w:eastAsia="仿宋_GB2312"/>
          <w:sz w:val="32"/>
          <w:szCs w:val="32"/>
          <w:lang w:val="en-US"/>
        </w:rPr>
        <w:t>2023</w:t>
      </w:r>
      <w:r>
        <w:rPr>
          <w:rFonts w:hint="eastAsia" w:ascii="仿宋_GB2312" w:hAnsi="ˎ̥" w:eastAsia="仿宋_GB2312"/>
          <w:sz w:val="32"/>
          <w:szCs w:val="32"/>
        </w:rPr>
        <w:t>年度相比，一般公共预算财政拨款支出（减少）</w:t>
      </w:r>
      <w:r>
        <w:rPr>
          <w:rFonts w:hint="eastAsia" w:ascii="仿宋_GB2312" w:hAnsi="ˎ̥" w:eastAsia="仿宋_GB2312"/>
          <w:color w:val="FF0000"/>
          <w:sz w:val="32"/>
          <w:szCs w:val="32"/>
          <w:lang w:val="en-US" w:eastAsia="zh-CN"/>
        </w:rPr>
        <w:t>214.61</w:t>
      </w:r>
      <w:r>
        <w:rPr>
          <w:rFonts w:hint="eastAsia" w:ascii="仿宋_GB2312" w:hAnsi="ˎ̥" w:eastAsia="仿宋_GB2312"/>
          <w:sz w:val="32"/>
          <w:szCs w:val="32"/>
        </w:rPr>
        <w:t>万元，（下降）</w:t>
      </w:r>
      <w:r>
        <w:rPr>
          <w:rFonts w:hint="eastAsia" w:ascii="仿宋_GB2312" w:hAnsi="ˎ̥" w:eastAsia="仿宋_GB2312"/>
          <w:color w:val="FF0000"/>
          <w:sz w:val="32"/>
          <w:szCs w:val="32"/>
          <w:lang w:val="en-US" w:eastAsia="zh-CN"/>
        </w:rPr>
        <w:t>14.1</w:t>
      </w:r>
      <w:r>
        <w:rPr>
          <w:rFonts w:hint="eastAsia" w:ascii="仿宋_GB2312" w:hAnsi="ˎ̥" w:eastAsia="仿宋_GB2312"/>
          <w:sz w:val="32"/>
          <w:szCs w:val="32"/>
        </w:rPr>
        <w:t>%，主要原因是</w:t>
      </w:r>
      <w:r>
        <w:rPr>
          <w:rFonts w:hint="eastAsia" w:ascii="仿宋_GB2312" w:hAnsi="仿宋_GB2312"/>
          <w:sz w:val="32"/>
          <w:szCs w:val="32"/>
          <w:shd w:val="clear" w:color="auto" w:fill="FFFFFF"/>
        </w:rPr>
        <w:t>一是</w:t>
      </w:r>
      <w:r>
        <w:rPr>
          <w:rFonts w:hint="eastAsia" w:ascii="仿宋_GB2312" w:hAnsi="仿宋_GB2312"/>
          <w:color w:val="000000"/>
          <w:sz w:val="32"/>
          <w:szCs w:val="32"/>
          <w:shd w:val="clear" w:color="auto" w:fill="FFFFFF"/>
        </w:rPr>
        <w:t>基本收、支中，人员</w:t>
      </w:r>
      <w:r>
        <w:rPr>
          <w:rFonts w:hint="eastAsia" w:ascii="仿宋_GB2312" w:hAnsi="仿宋_GB2312"/>
          <w:color w:val="000000"/>
          <w:sz w:val="32"/>
          <w:szCs w:val="32"/>
          <w:shd w:val="clear" w:color="auto" w:fill="FFFFFF"/>
          <w:lang w:eastAsia="zh-CN"/>
        </w:rPr>
        <w:t>减</w:t>
      </w:r>
      <w:r>
        <w:rPr>
          <w:rFonts w:hint="eastAsia" w:ascii="仿宋_GB2312" w:hAnsi="仿宋_GB2312"/>
          <w:color w:val="000000"/>
          <w:sz w:val="32"/>
          <w:szCs w:val="32"/>
          <w:shd w:val="clear" w:color="auto" w:fill="FFFFFF"/>
        </w:rPr>
        <w:t>少，人员经费支出相应</w:t>
      </w:r>
      <w:r>
        <w:rPr>
          <w:rFonts w:hint="eastAsia" w:ascii="仿宋_GB2312" w:hAnsi="仿宋_GB2312"/>
          <w:color w:val="000000"/>
          <w:sz w:val="32"/>
          <w:szCs w:val="32"/>
          <w:shd w:val="clear" w:color="auto" w:fill="FFFFFF"/>
          <w:lang w:eastAsia="zh-CN"/>
        </w:rPr>
        <w:t>减少</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outlineLvl w:val="1"/>
        <w:rPr>
          <w:rFonts w:hint="eastAsia" w:ascii="楷体" w:hAnsi="楷体" w:eastAsia="楷体" w:cs="楷体"/>
          <w:sz w:val="32"/>
          <w:szCs w:val="32"/>
        </w:rPr>
      </w:pPr>
      <w:bookmarkStart w:id="86" w:name="_Toc27767_WPSOffice_Level2"/>
      <w:bookmarkStart w:id="87" w:name="_Toc2711_WPSOffice_Level2"/>
      <w:bookmarkStart w:id="88" w:name="_Toc18548"/>
      <w:bookmarkStart w:id="89" w:name="_Toc18793_WPSOffice_Level2"/>
      <w:bookmarkStart w:id="90" w:name="_Toc23864_WPSOffice_Level2"/>
      <w:bookmarkStart w:id="91" w:name="_Toc19075_WPSOffice_Level2"/>
      <w:r>
        <w:rPr>
          <w:rFonts w:hint="eastAsia" w:ascii="楷体" w:hAnsi="楷体" w:eastAsia="楷体" w:cs="楷体"/>
          <w:sz w:val="32"/>
          <w:szCs w:val="32"/>
        </w:rPr>
        <w:t>（二）一般公共预算财政拨款支出决算结构情况</w:t>
      </w:r>
      <w:bookmarkEnd w:id="86"/>
      <w:bookmarkEnd w:id="87"/>
      <w:bookmarkEnd w:id="88"/>
      <w:bookmarkEnd w:id="89"/>
      <w:bookmarkEnd w:id="90"/>
      <w:bookmarkEnd w:id="91"/>
    </w:p>
    <w:p>
      <w:pPr>
        <w:spacing w:line="578" w:lineRule="exact"/>
        <w:ind w:firstLine="640" w:firstLineChars="200"/>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年度一般公共预算财政拨款支出</w:t>
      </w:r>
      <w:r>
        <w:rPr>
          <w:rFonts w:hint="default" w:ascii="仿宋_GB2312" w:hAnsi="ˎ̥" w:eastAsia="仿宋_GB2312"/>
          <w:color w:val="FF0000"/>
          <w:sz w:val="32"/>
          <w:szCs w:val="32"/>
          <w:lang w:val="en-US"/>
        </w:rPr>
        <w:t>1,522.05</w:t>
      </w:r>
      <w:r>
        <w:rPr>
          <w:rFonts w:hint="eastAsia" w:ascii="仿宋_GB2312" w:hAnsi="ˎ̥" w:eastAsia="仿宋_GB2312"/>
          <w:sz w:val="32"/>
          <w:szCs w:val="32"/>
        </w:rPr>
        <w:t>万元，主要用于以下方面：</w:t>
      </w:r>
    </w:p>
    <w:p>
      <w:pPr>
        <w:spacing w:line="578" w:lineRule="exact"/>
        <w:ind w:firstLine="643" w:firstLineChars="200"/>
        <w:rPr>
          <w:rFonts w:hint="eastAsia" w:ascii="仿宋_GB2312" w:hAnsi="ˎ̥" w:eastAsia="仿宋_GB2312"/>
          <w:sz w:val="32"/>
          <w:szCs w:val="32"/>
        </w:rPr>
      </w:pPr>
      <w:r>
        <w:rPr>
          <w:rFonts w:hint="eastAsia" w:ascii="仿宋_GB2312" w:hAnsi="仿宋_GB2312"/>
          <w:b/>
          <w:bCs/>
          <w:sz w:val="32"/>
          <w:szCs w:val="32"/>
        </w:rPr>
        <w:t>教育支出（类）</w:t>
      </w:r>
      <w:r>
        <w:rPr>
          <w:rFonts w:hint="eastAsia" w:ascii="仿宋_GB2312" w:hAnsi="仿宋_GB2312"/>
          <w:sz w:val="32"/>
          <w:szCs w:val="32"/>
        </w:rPr>
        <w:t>支出</w:t>
      </w:r>
      <w:r>
        <w:rPr>
          <w:rFonts w:hint="eastAsia" w:ascii="仿宋_GB2312" w:hAnsi="ˎ̥"/>
          <w:sz w:val="32"/>
          <w:szCs w:val="32"/>
          <w:lang w:val="en-US" w:eastAsia="zh-CN"/>
        </w:rPr>
        <w:t>1073.72</w:t>
      </w:r>
      <w:r>
        <w:rPr>
          <w:rFonts w:hint="eastAsia" w:ascii="仿宋_GB2312" w:hAnsi="仿宋_GB2312"/>
          <w:sz w:val="32"/>
          <w:szCs w:val="32"/>
        </w:rPr>
        <w:t>万元，占</w:t>
      </w:r>
      <w:r>
        <w:rPr>
          <w:rFonts w:hint="eastAsia" w:ascii="仿宋_GB2312" w:hAnsi="ˎ̥"/>
          <w:sz w:val="32"/>
          <w:szCs w:val="32"/>
          <w:lang w:val="en-US" w:eastAsia="zh-CN"/>
        </w:rPr>
        <w:t>70.54</w:t>
      </w:r>
      <w:r>
        <w:rPr>
          <w:rFonts w:ascii="仿宋_GB2312" w:hAnsi="ˎ̥"/>
          <w:sz w:val="32"/>
          <w:szCs w:val="32"/>
        </w:rPr>
        <w:t>%</w:t>
      </w:r>
      <w:r>
        <w:rPr>
          <w:rFonts w:hint="eastAsia" w:ascii="仿宋_GB2312" w:hAnsi="仿宋_GB2312"/>
          <w:sz w:val="32"/>
          <w:szCs w:val="32"/>
        </w:rPr>
        <w:t>；</w:t>
      </w:r>
      <w:r>
        <w:rPr>
          <w:rFonts w:hint="eastAsia" w:ascii="仿宋_GB2312" w:hAnsi="仿宋_GB2312"/>
          <w:b/>
          <w:bCs/>
          <w:sz w:val="32"/>
          <w:szCs w:val="32"/>
        </w:rPr>
        <w:t>社会保障和就业（类）</w:t>
      </w:r>
      <w:r>
        <w:rPr>
          <w:rFonts w:hint="eastAsia" w:ascii="仿宋_GB2312" w:hAnsi="仿宋_GB2312"/>
          <w:sz w:val="32"/>
          <w:szCs w:val="32"/>
        </w:rPr>
        <w:t>支出</w:t>
      </w:r>
      <w:r>
        <w:rPr>
          <w:rFonts w:hint="eastAsia" w:ascii="仿宋_GB2312" w:hAnsi="ˎ̥"/>
          <w:sz w:val="32"/>
          <w:szCs w:val="32"/>
          <w:lang w:val="en-US" w:eastAsia="zh-CN"/>
        </w:rPr>
        <w:t>197.3</w:t>
      </w:r>
      <w:r>
        <w:rPr>
          <w:rFonts w:hint="eastAsia" w:ascii="仿宋_GB2312" w:hAnsi="仿宋_GB2312"/>
          <w:sz w:val="32"/>
          <w:szCs w:val="32"/>
        </w:rPr>
        <w:t>万元，占</w:t>
      </w:r>
      <w:r>
        <w:rPr>
          <w:rFonts w:hint="eastAsia" w:ascii="仿宋_GB2312" w:hAnsi="ˎ̥"/>
          <w:sz w:val="32"/>
          <w:szCs w:val="32"/>
          <w:lang w:val="en-US" w:eastAsia="zh-CN"/>
        </w:rPr>
        <w:t>12.96</w:t>
      </w:r>
      <w:r>
        <w:rPr>
          <w:rFonts w:ascii="仿宋_GB2312" w:hAnsi="ˎ̥"/>
          <w:sz w:val="32"/>
          <w:szCs w:val="32"/>
        </w:rPr>
        <w:t>%</w:t>
      </w:r>
      <w:r>
        <w:rPr>
          <w:rFonts w:hint="eastAsia" w:ascii="仿宋_GB2312" w:hAnsi="仿宋_GB2312"/>
          <w:sz w:val="32"/>
          <w:szCs w:val="32"/>
        </w:rPr>
        <w:t>；</w:t>
      </w:r>
      <w:r>
        <w:rPr>
          <w:rFonts w:hint="eastAsia" w:ascii="仿宋_GB2312" w:hAnsi="仿宋_GB2312"/>
          <w:b/>
          <w:bCs/>
          <w:sz w:val="32"/>
          <w:szCs w:val="32"/>
        </w:rPr>
        <w:t>卫生健康（类）</w:t>
      </w:r>
      <w:r>
        <w:rPr>
          <w:rFonts w:hint="eastAsia" w:ascii="仿宋_GB2312" w:hAnsi="仿宋_GB2312"/>
          <w:sz w:val="32"/>
          <w:szCs w:val="32"/>
        </w:rPr>
        <w:t>支出</w:t>
      </w:r>
      <w:r>
        <w:rPr>
          <w:rFonts w:hint="eastAsia" w:ascii="仿宋_GB2312" w:hAnsi="仿宋_GB2312"/>
          <w:sz w:val="32"/>
          <w:szCs w:val="32"/>
          <w:lang w:val="en-US" w:eastAsia="zh-CN"/>
        </w:rPr>
        <w:t>152.26</w:t>
      </w:r>
      <w:r>
        <w:rPr>
          <w:rFonts w:hint="eastAsia" w:ascii="仿宋_GB2312" w:hAnsi="仿宋_GB2312"/>
          <w:sz w:val="32"/>
          <w:szCs w:val="32"/>
        </w:rPr>
        <w:t>万元，占</w:t>
      </w:r>
      <w:r>
        <w:rPr>
          <w:rFonts w:hint="eastAsia" w:ascii="仿宋_GB2312" w:hAnsi="ˎ̥"/>
          <w:sz w:val="32"/>
          <w:szCs w:val="32"/>
          <w:lang w:val="en-US" w:eastAsia="zh-CN"/>
        </w:rPr>
        <w:t>10</w:t>
      </w:r>
      <w:r>
        <w:rPr>
          <w:rFonts w:ascii="仿宋_GB2312" w:hAnsi="ˎ̥"/>
          <w:sz w:val="32"/>
          <w:szCs w:val="32"/>
        </w:rPr>
        <w:t>%</w:t>
      </w:r>
      <w:r>
        <w:rPr>
          <w:rFonts w:hint="eastAsia" w:ascii="仿宋_GB2312" w:hAnsi="仿宋_GB2312"/>
          <w:sz w:val="32"/>
          <w:szCs w:val="32"/>
        </w:rPr>
        <w:t>；</w:t>
      </w:r>
      <w:r>
        <w:rPr>
          <w:rFonts w:hint="eastAsia" w:ascii="仿宋_GB2312" w:hAnsi="仿宋_GB2312"/>
          <w:b/>
          <w:bCs/>
          <w:sz w:val="32"/>
          <w:szCs w:val="32"/>
        </w:rPr>
        <w:t>住房保障（类）</w:t>
      </w:r>
      <w:r>
        <w:rPr>
          <w:rFonts w:hint="eastAsia" w:ascii="仿宋_GB2312" w:hAnsi="仿宋_GB2312"/>
          <w:sz w:val="32"/>
          <w:szCs w:val="32"/>
        </w:rPr>
        <w:t>支出</w:t>
      </w:r>
      <w:r>
        <w:rPr>
          <w:rFonts w:hint="eastAsia" w:ascii="仿宋_GB2312" w:hAnsi="ˎ̥"/>
          <w:sz w:val="32"/>
          <w:szCs w:val="32"/>
          <w:lang w:val="en-US" w:eastAsia="zh-CN"/>
        </w:rPr>
        <w:t>98.77</w:t>
      </w:r>
      <w:r>
        <w:rPr>
          <w:rFonts w:hint="eastAsia" w:ascii="仿宋_GB2312" w:hAnsi="仿宋_GB2312"/>
          <w:sz w:val="32"/>
          <w:szCs w:val="32"/>
        </w:rPr>
        <w:t>万元，占</w:t>
      </w:r>
      <w:r>
        <w:rPr>
          <w:rFonts w:hint="eastAsia" w:ascii="仿宋_GB2312" w:hAnsi="ˎ̥"/>
          <w:sz w:val="32"/>
          <w:szCs w:val="32"/>
          <w:lang w:val="en-US" w:eastAsia="zh-CN"/>
        </w:rPr>
        <w:t>6.5</w:t>
      </w:r>
      <w:r>
        <w:rPr>
          <w:rFonts w:ascii="仿宋_GB2312" w:hAnsi="ˎ̥"/>
          <w:sz w:val="32"/>
          <w:szCs w:val="32"/>
        </w:rPr>
        <w:t>%</w:t>
      </w:r>
      <w:r>
        <w:rPr>
          <w:rFonts w:hint="eastAsia" w:ascii="仿宋_GB2312" w:hAnsi="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outlineLvl w:val="1"/>
        <w:rPr>
          <w:rFonts w:hint="eastAsia" w:ascii="楷体" w:hAnsi="楷体" w:eastAsia="楷体" w:cs="楷体"/>
          <w:sz w:val="32"/>
          <w:szCs w:val="32"/>
        </w:rPr>
      </w:pPr>
      <w:bookmarkStart w:id="92" w:name="_Toc15415_WPSOffice_Level2"/>
      <w:bookmarkStart w:id="93" w:name="_Toc10073"/>
      <w:bookmarkStart w:id="94" w:name="_Toc29364_WPSOffice_Level2"/>
      <w:bookmarkStart w:id="95" w:name="_Toc21701_WPSOffice_Level2"/>
      <w:bookmarkStart w:id="96" w:name="_Toc22318_WPSOffice_Level2"/>
      <w:bookmarkStart w:id="97" w:name="_Toc25136_WPSOffice_Level2"/>
      <w:bookmarkStart w:id="98" w:name="_Toc9502_WPSOffice_Level2"/>
      <w:r>
        <w:rPr>
          <w:rFonts w:hint="eastAsia" w:ascii="楷体" w:hAnsi="楷体" w:eastAsia="楷体" w:cs="楷体"/>
          <w:sz w:val="32"/>
          <w:szCs w:val="32"/>
        </w:rPr>
        <w:t>（三）一般公共预算财政拨款支出决算具体情况</w:t>
      </w:r>
      <w:bookmarkEnd w:id="92"/>
      <w:bookmarkEnd w:id="93"/>
      <w:bookmarkEnd w:id="94"/>
      <w:bookmarkEnd w:id="95"/>
      <w:bookmarkEnd w:id="96"/>
      <w:bookmarkEnd w:id="97"/>
      <w:bookmarkEnd w:id="98"/>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年度一般公共预算财政拨款支出年初预算为</w:t>
      </w:r>
      <w:r>
        <w:rPr>
          <w:rFonts w:hint="eastAsia" w:ascii="仿宋_GB2312" w:hAnsi="ˎ̥" w:eastAsia="仿宋_GB2312"/>
          <w:color w:val="FF0000"/>
          <w:sz w:val="32"/>
          <w:szCs w:val="32"/>
          <w:lang w:val="en-US" w:eastAsia="zh-CN"/>
        </w:rPr>
        <w:t>1519.93</w:t>
      </w:r>
      <w:r>
        <w:rPr>
          <w:rFonts w:hint="eastAsia" w:ascii="仿宋_GB2312" w:hAnsi="ˎ̥" w:eastAsia="仿宋_GB2312"/>
          <w:sz w:val="32"/>
          <w:szCs w:val="32"/>
        </w:rPr>
        <w:t>万元，支出决算为</w:t>
      </w:r>
      <w:r>
        <w:rPr>
          <w:rFonts w:hint="default" w:ascii="仿宋_GB2312" w:hAnsi="ˎ̥" w:eastAsia="仿宋_GB2312"/>
          <w:color w:val="FF0000"/>
          <w:sz w:val="32"/>
          <w:szCs w:val="32"/>
          <w:lang w:val="en-US"/>
        </w:rPr>
        <w:t>1,522.05</w:t>
      </w:r>
      <w:r>
        <w:rPr>
          <w:rFonts w:hint="eastAsia" w:ascii="仿宋_GB2312" w:hAnsi="ˎ̥" w:eastAsia="仿宋_GB2312"/>
          <w:sz w:val="32"/>
          <w:szCs w:val="32"/>
        </w:rPr>
        <w:t>万元，完成年初预算的</w:t>
      </w:r>
      <w:r>
        <w:rPr>
          <w:rFonts w:hint="eastAsia" w:ascii="仿宋_GB2312" w:hAnsi="ˎ̥" w:eastAsia="仿宋_GB2312"/>
          <w:color w:val="FF0000"/>
          <w:sz w:val="32"/>
          <w:szCs w:val="32"/>
          <w:lang w:val="en-US" w:eastAsia="zh-CN"/>
        </w:rPr>
        <w:t>100.14</w:t>
      </w:r>
      <w:r>
        <w:rPr>
          <w:rFonts w:hint="eastAsia" w:ascii="仿宋_GB2312" w:hAnsi="ˎ̥" w:eastAsia="仿宋_GB2312"/>
          <w:sz w:val="32"/>
          <w:szCs w:val="32"/>
        </w:rPr>
        <w:t>%。其中：</w:t>
      </w:r>
    </w:p>
    <w:p>
      <w:pPr>
        <w:spacing w:after="100" w:afterAutospacing="1"/>
        <w:ind w:firstLine="640" w:firstLineChars="200"/>
        <w:rPr>
          <w:rFonts w:ascii="仿宋_GB2312" w:hAnsi="ˎ̥"/>
          <w:b/>
          <w:bCs/>
          <w:sz w:val="32"/>
          <w:szCs w:val="32"/>
          <w:shd w:val="clear" w:color="auto" w:fill="FFFFFF"/>
        </w:rPr>
      </w:pPr>
      <w:r>
        <w:rPr>
          <w:rFonts w:ascii="仿宋_GB2312" w:hAnsi="ˎ̥"/>
          <w:sz w:val="32"/>
          <w:szCs w:val="32"/>
          <w:shd w:val="clear" w:color="auto" w:fill="FFFFFF"/>
        </w:rPr>
        <w:t>1.</w:t>
      </w:r>
      <w:r>
        <w:rPr>
          <w:rFonts w:hint="eastAsia" w:ascii="仿宋_GB2312" w:hAnsi="仿宋_GB2312"/>
          <w:b/>
          <w:bCs/>
          <w:sz w:val="32"/>
          <w:szCs w:val="32"/>
          <w:shd w:val="clear" w:color="auto" w:fill="FFFFFF"/>
        </w:rPr>
        <w:t>一般公共服务（类）人大事务（款）行政运行（项）。</w:t>
      </w:r>
    </w:p>
    <w:p>
      <w:pPr>
        <w:shd w:val="clear" w:color="auto" w:fill="FFFFFF"/>
        <w:spacing w:before="100" w:beforeAutospacing="1" w:after="100" w:afterAutospacing="1"/>
        <w:ind w:firstLine="640" w:firstLineChars="200"/>
        <w:rPr>
          <w:rFonts w:ascii="仿宋_GB2312" w:hAnsi="ˎ̥"/>
          <w:b/>
          <w:sz w:val="32"/>
          <w:szCs w:val="32"/>
        </w:rPr>
      </w:pPr>
      <w:r>
        <w:rPr>
          <w:rFonts w:ascii="仿宋_GB2312" w:hAnsi="ˎ̥"/>
          <w:sz w:val="32"/>
          <w:szCs w:val="32"/>
        </w:rPr>
        <w:t>1.</w:t>
      </w:r>
      <w:r>
        <w:rPr>
          <w:rFonts w:ascii="仿宋_GB2312" w:hAnsi="ˎ̥"/>
          <w:b/>
          <w:sz w:val="32"/>
          <w:szCs w:val="32"/>
        </w:rPr>
        <w:t xml:space="preserve"> </w:t>
      </w:r>
      <w:r>
        <w:rPr>
          <w:rFonts w:hint="eastAsia" w:ascii="仿宋_GB2312" w:hAnsi="ˎ̥"/>
          <w:b/>
          <w:sz w:val="32"/>
          <w:szCs w:val="32"/>
        </w:rPr>
        <w:t>教育支出（类）</w:t>
      </w:r>
    </w:p>
    <w:p>
      <w:pPr>
        <w:shd w:val="clear" w:color="auto" w:fill="FFFFFF"/>
        <w:spacing w:before="100" w:beforeAutospacing="1" w:after="100" w:afterAutospacing="1"/>
        <w:ind w:firstLine="640" w:firstLineChars="200"/>
        <w:rPr>
          <w:rFonts w:ascii="仿宋_GB2312" w:hAnsi="ˎ̥"/>
          <w:sz w:val="32"/>
          <w:szCs w:val="32"/>
        </w:rPr>
      </w:pPr>
      <w:r>
        <w:rPr>
          <w:rFonts w:hint="eastAsia" w:ascii="仿宋_GB2312" w:hAnsi="ˎ̥"/>
          <w:sz w:val="32"/>
          <w:szCs w:val="32"/>
        </w:rPr>
        <w:t>年初预算为</w:t>
      </w:r>
      <w:r>
        <w:rPr>
          <w:rFonts w:hint="eastAsia" w:ascii="仿宋_GB2312" w:hAnsi="ˎ̥"/>
          <w:sz w:val="32"/>
          <w:szCs w:val="32"/>
          <w:lang w:val="en-US" w:eastAsia="zh-CN"/>
        </w:rPr>
        <w:t>1016.38</w:t>
      </w:r>
      <w:r>
        <w:rPr>
          <w:rFonts w:hint="eastAsia" w:ascii="仿宋_GB2312" w:hAnsi="ˎ̥"/>
          <w:sz w:val="32"/>
          <w:szCs w:val="32"/>
        </w:rPr>
        <w:t>万元，支出决算为</w:t>
      </w:r>
      <w:r>
        <w:rPr>
          <w:rFonts w:hint="eastAsia" w:ascii="仿宋_GB2312" w:hAnsi="ˎ̥"/>
          <w:sz w:val="32"/>
          <w:szCs w:val="32"/>
          <w:lang w:val="en-US" w:eastAsia="zh-CN"/>
        </w:rPr>
        <w:t>1073.72</w:t>
      </w:r>
      <w:r>
        <w:rPr>
          <w:rFonts w:hint="eastAsia" w:ascii="仿宋_GB2312" w:hAnsi="ˎ̥"/>
          <w:sz w:val="32"/>
          <w:szCs w:val="32"/>
        </w:rPr>
        <w:t>万元，完成年初预算的</w:t>
      </w:r>
      <w:r>
        <w:rPr>
          <w:rFonts w:hint="eastAsia" w:ascii="仿宋_GB2312" w:hAnsi="ˎ̥"/>
          <w:sz w:val="32"/>
          <w:szCs w:val="32"/>
          <w:lang w:val="en-US" w:eastAsia="zh-CN"/>
        </w:rPr>
        <w:t>105.64</w:t>
      </w:r>
      <w:r>
        <w:rPr>
          <w:rFonts w:ascii="仿宋_GB2312" w:hAnsi="ˎ̥"/>
          <w:sz w:val="32"/>
          <w:szCs w:val="32"/>
        </w:rPr>
        <w:t>%</w:t>
      </w:r>
      <w:r>
        <w:rPr>
          <w:rFonts w:hint="eastAsia" w:ascii="仿宋_GB2312" w:hAnsi="ˎ̥"/>
          <w:sz w:val="32"/>
          <w:szCs w:val="32"/>
        </w:rPr>
        <w:t>。决算数大于预算数的主要原因：一是：教育人员增加；二是：社保缴费基数提高。三是：工资提标。</w:t>
      </w:r>
    </w:p>
    <w:p>
      <w:pPr>
        <w:shd w:val="clear" w:color="auto" w:fill="FFFFFF"/>
        <w:spacing w:before="100" w:beforeAutospacing="1" w:after="100" w:afterAutospacing="1"/>
        <w:ind w:firstLine="640" w:firstLineChars="200"/>
        <w:rPr>
          <w:rFonts w:ascii="仿宋_GB2312" w:hAnsi="ˎ̥"/>
          <w:b/>
          <w:sz w:val="32"/>
          <w:szCs w:val="32"/>
        </w:rPr>
      </w:pPr>
      <w:r>
        <w:rPr>
          <w:rFonts w:ascii="仿宋_GB2312" w:hAnsi="ˎ̥"/>
          <w:sz w:val="32"/>
          <w:szCs w:val="32"/>
        </w:rPr>
        <w:t>2.</w:t>
      </w:r>
      <w:r>
        <w:rPr>
          <w:rFonts w:ascii="仿宋_GB2312" w:hAnsi="ˎ̥"/>
          <w:b/>
          <w:sz w:val="32"/>
          <w:szCs w:val="32"/>
        </w:rPr>
        <w:t xml:space="preserve"> </w:t>
      </w:r>
      <w:r>
        <w:rPr>
          <w:rFonts w:hint="eastAsia" w:ascii="仿宋_GB2312" w:hAnsi="ˎ̥"/>
          <w:b/>
          <w:sz w:val="32"/>
          <w:szCs w:val="32"/>
        </w:rPr>
        <w:t>社会保障和就业（类）</w:t>
      </w:r>
    </w:p>
    <w:p>
      <w:pPr>
        <w:shd w:val="clear" w:color="auto" w:fill="FFFFFF"/>
        <w:spacing w:before="100" w:beforeAutospacing="1" w:after="100" w:afterAutospacing="1"/>
        <w:ind w:firstLine="640" w:firstLineChars="200"/>
        <w:rPr>
          <w:rFonts w:ascii="仿宋_GB2312" w:hAnsi="ˎ̥"/>
          <w:sz w:val="32"/>
          <w:szCs w:val="32"/>
        </w:rPr>
      </w:pPr>
      <w:r>
        <w:rPr>
          <w:rFonts w:hint="eastAsia" w:ascii="仿宋_GB2312" w:hAnsi="ˎ̥"/>
          <w:sz w:val="32"/>
          <w:szCs w:val="32"/>
        </w:rPr>
        <w:t>年初预算为</w:t>
      </w:r>
      <w:r>
        <w:rPr>
          <w:rFonts w:hint="eastAsia" w:ascii="仿宋_GB2312" w:hAnsi="ˎ̥"/>
          <w:sz w:val="32"/>
          <w:szCs w:val="32"/>
          <w:lang w:val="en-US" w:eastAsia="zh-CN"/>
        </w:rPr>
        <w:t>206.14</w:t>
      </w:r>
      <w:r>
        <w:rPr>
          <w:rFonts w:hint="eastAsia" w:ascii="仿宋_GB2312" w:hAnsi="ˎ̥"/>
          <w:sz w:val="32"/>
          <w:szCs w:val="32"/>
        </w:rPr>
        <w:t>万元，支出决算为</w:t>
      </w:r>
      <w:r>
        <w:rPr>
          <w:rFonts w:hint="eastAsia" w:ascii="仿宋_GB2312" w:hAnsi="ˎ̥"/>
          <w:sz w:val="32"/>
          <w:szCs w:val="32"/>
          <w:lang w:val="en-US" w:eastAsia="zh-CN"/>
        </w:rPr>
        <w:t>197.3</w:t>
      </w:r>
      <w:r>
        <w:rPr>
          <w:rFonts w:hint="eastAsia" w:ascii="仿宋_GB2312" w:hAnsi="ˎ̥"/>
          <w:sz w:val="32"/>
          <w:szCs w:val="32"/>
        </w:rPr>
        <w:t>万元，完成年初预算的</w:t>
      </w:r>
      <w:r>
        <w:rPr>
          <w:rFonts w:hint="eastAsia" w:ascii="仿宋_GB2312" w:hAnsi="ˎ̥"/>
          <w:sz w:val="32"/>
          <w:szCs w:val="32"/>
          <w:lang w:val="en-US" w:eastAsia="zh-CN"/>
        </w:rPr>
        <w:t>95.71</w:t>
      </w:r>
      <w:r>
        <w:rPr>
          <w:rFonts w:ascii="仿宋_GB2312" w:hAnsi="ˎ̥"/>
          <w:sz w:val="32"/>
          <w:szCs w:val="32"/>
        </w:rPr>
        <w:t>%</w:t>
      </w:r>
      <w:r>
        <w:rPr>
          <w:rFonts w:hint="eastAsia" w:ascii="仿宋_GB2312" w:hAnsi="ˎ̥"/>
          <w:sz w:val="32"/>
          <w:szCs w:val="32"/>
        </w:rPr>
        <w:t>。决算数</w:t>
      </w:r>
      <w:r>
        <w:rPr>
          <w:rFonts w:hint="eastAsia" w:ascii="仿宋_GB2312" w:hAnsi="ˎ̥"/>
          <w:sz w:val="32"/>
          <w:szCs w:val="32"/>
          <w:lang w:eastAsia="zh-CN"/>
        </w:rPr>
        <w:t>小</w:t>
      </w:r>
      <w:r>
        <w:rPr>
          <w:rFonts w:hint="eastAsia" w:ascii="仿宋_GB2312" w:hAnsi="ˎ̥"/>
          <w:sz w:val="32"/>
          <w:szCs w:val="32"/>
        </w:rPr>
        <w:t>于预算数的主要原因：一是：人员</w:t>
      </w:r>
      <w:r>
        <w:rPr>
          <w:rFonts w:hint="eastAsia" w:ascii="仿宋_GB2312" w:hAnsi="ˎ̥"/>
          <w:sz w:val="32"/>
          <w:szCs w:val="32"/>
          <w:lang w:eastAsia="zh-CN"/>
        </w:rPr>
        <w:t>减少</w:t>
      </w:r>
      <w:r>
        <w:rPr>
          <w:rFonts w:hint="eastAsia" w:ascii="仿宋_GB2312" w:hAnsi="ˎ̥"/>
          <w:sz w:val="32"/>
          <w:szCs w:val="32"/>
        </w:rPr>
        <w:t>；二是：社保缴费基数变动。</w:t>
      </w:r>
    </w:p>
    <w:p>
      <w:pPr>
        <w:shd w:val="clear" w:color="auto" w:fill="FFFFFF"/>
        <w:spacing w:before="100" w:beforeAutospacing="1" w:after="100" w:afterAutospacing="1"/>
        <w:ind w:firstLine="640" w:firstLineChars="200"/>
        <w:rPr>
          <w:rFonts w:ascii="仿宋_GB2312" w:hAnsi="ˎ̥"/>
          <w:b/>
          <w:bCs/>
          <w:sz w:val="32"/>
          <w:szCs w:val="32"/>
        </w:rPr>
      </w:pPr>
      <w:r>
        <w:rPr>
          <w:rFonts w:ascii="仿宋_GB2312" w:hAnsi="ˎ̥"/>
          <w:sz w:val="32"/>
          <w:szCs w:val="32"/>
        </w:rPr>
        <w:t>3.</w:t>
      </w:r>
      <w:r>
        <w:rPr>
          <w:rFonts w:ascii="仿宋_GB2312" w:hAnsi="ˎ̥"/>
          <w:b/>
          <w:sz w:val="32"/>
          <w:szCs w:val="32"/>
        </w:rPr>
        <w:t xml:space="preserve"> </w:t>
      </w:r>
      <w:r>
        <w:rPr>
          <w:rFonts w:hint="eastAsia" w:ascii="仿宋_GB2312" w:hAnsi="仿宋_GB2312"/>
          <w:b/>
          <w:bCs/>
          <w:sz w:val="32"/>
          <w:szCs w:val="32"/>
        </w:rPr>
        <w:t>卫生健康（类）</w:t>
      </w:r>
    </w:p>
    <w:p>
      <w:pPr>
        <w:shd w:val="clear" w:color="auto" w:fill="FFFFFF"/>
        <w:spacing w:before="100" w:beforeAutospacing="1" w:after="100" w:afterAutospacing="1"/>
        <w:ind w:firstLine="640" w:firstLineChars="200"/>
        <w:rPr>
          <w:rFonts w:ascii="仿宋_GB2312" w:hAnsi="ˎ̥"/>
          <w:sz w:val="32"/>
          <w:szCs w:val="32"/>
        </w:rPr>
      </w:pPr>
      <w:r>
        <w:rPr>
          <w:rFonts w:hint="eastAsia" w:ascii="仿宋_GB2312" w:hAnsi="ˎ̥"/>
          <w:sz w:val="32"/>
          <w:szCs w:val="32"/>
        </w:rPr>
        <w:t>年初预算为</w:t>
      </w:r>
      <w:r>
        <w:rPr>
          <w:rFonts w:hint="eastAsia" w:ascii="仿宋_GB2312" w:hAnsi="ˎ̥"/>
          <w:sz w:val="32"/>
          <w:szCs w:val="32"/>
          <w:lang w:val="en-US" w:eastAsia="zh-CN"/>
        </w:rPr>
        <w:t>181.55</w:t>
      </w:r>
      <w:r>
        <w:rPr>
          <w:rFonts w:hint="eastAsia" w:ascii="仿宋_GB2312" w:hAnsi="ˎ̥"/>
          <w:sz w:val="32"/>
          <w:szCs w:val="32"/>
        </w:rPr>
        <w:t>万元，支出决算为</w:t>
      </w:r>
      <w:r>
        <w:rPr>
          <w:rFonts w:hint="eastAsia" w:ascii="仿宋_GB2312" w:hAnsi="ˎ̥"/>
          <w:sz w:val="32"/>
          <w:szCs w:val="32"/>
          <w:lang w:val="en-US" w:eastAsia="zh-CN"/>
        </w:rPr>
        <w:t>152.26</w:t>
      </w:r>
      <w:r>
        <w:rPr>
          <w:rFonts w:hint="eastAsia" w:ascii="仿宋_GB2312" w:hAnsi="ˎ̥"/>
          <w:sz w:val="32"/>
          <w:szCs w:val="32"/>
        </w:rPr>
        <w:t>万元，完成年初预算的</w:t>
      </w:r>
      <w:r>
        <w:rPr>
          <w:rFonts w:hint="eastAsia" w:ascii="仿宋_GB2312" w:hAnsi="ˎ̥"/>
          <w:sz w:val="32"/>
          <w:szCs w:val="32"/>
          <w:lang w:val="en-US" w:eastAsia="zh-CN"/>
        </w:rPr>
        <w:t>83.87</w:t>
      </w:r>
      <w:r>
        <w:rPr>
          <w:rFonts w:ascii="仿宋_GB2312" w:hAnsi="ˎ̥"/>
          <w:sz w:val="32"/>
          <w:szCs w:val="32"/>
        </w:rPr>
        <w:t>%</w:t>
      </w:r>
      <w:r>
        <w:rPr>
          <w:rFonts w:hint="eastAsia" w:ascii="仿宋_GB2312" w:hAnsi="ˎ̥"/>
          <w:sz w:val="32"/>
          <w:szCs w:val="32"/>
        </w:rPr>
        <w:t>。决算数</w:t>
      </w:r>
      <w:r>
        <w:rPr>
          <w:rFonts w:hint="eastAsia" w:ascii="仿宋_GB2312" w:hAnsi="ˎ̥"/>
          <w:sz w:val="32"/>
          <w:szCs w:val="32"/>
          <w:lang w:eastAsia="zh-CN"/>
        </w:rPr>
        <w:t>小</w:t>
      </w:r>
      <w:r>
        <w:rPr>
          <w:rFonts w:hint="eastAsia" w:ascii="仿宋_GB2312" w:hAnsi="ˎ̥"/>
          <w:sz w:val="32"/>
          <w:szCs w:val="32"/>
        </w:rPr>
        <w:t>于预算数的主要原因：一是：人员</w:t>
      </w:r>
      <w:r>
        <w:rPr>
          <w:rFonts w:hint="eastAsia" w:ascii="仿宋_GB2312" w:hAnsi="ˎ̥"/>
          <w:sz w:val="32"/>
          <w:szCs w:val="32"/>
          <w:lang w:eastAsia="zh-CN"/>
        </w:rPr>
        <w:t>减少</w:t>
      </w:r>
      <w:r>
        <w:rPr>
          <w:rFonts w:hint="eastAsia" w:ascii="仿宋_GB2312" w:hAnsi="ˎ̥"/>
          <w:sz w:val="32"/>
          <w:szCs w:val="32"/>
        </w:rPr>
        <w:t>；二是：社保缴费基数</w:t>
      </w:r>
      <w:r>
        <w:rPr>
          <w:rFonts w:hint="eastAsia" w:ascii="仿宋_GB2312" w:hAnsi="ˎ̥"/>
          <w:sz w:val="32"/>
          <w:szCs w:val="32"/>
          <w:lang w:eastAsia="zh-CN"/>
        </w:rPr>
        <w:t>降低</w:t>
      </w:r>
      <w:r>
        <w:rPr>
          <w:rFonts w:hint="eastAsia" w:ascii="仿宋_GB2312" w:hAnsi="ˎ̥"/>
          <w:sz w:val="32"/>
          <w:szCs w:val="32"/>
        </w:rPr>
        <w:t>。</w:t>
      </w:r>
    </w:p>
    <w:p>
      <w:pPr>
        <w:shd w:val="clear" w:color="auto" w:fill="FFFFFF"/>
        <w:spacing w:before="100" w:beforeAutospacing="1" w:after="100" w:afterAutospacing="1"/>
        <w:ind w:firstLine="640" w:firstLineChars="200"/>
        <w:rPr>
          <w:rFonts w:ascii="仿宋_GB2312" w:hAnsi="ˎ̥"/>
          <w:b/>
          <w:bCs/>
          <w:sz w:val="32"/>
          <w:szCs w:val="32"/>
        </w:rPr>
      </w:pPr>
      <w:r>
        <w:rPr>
          <w:rFonts w:ascii="仿宋_GB2312" w:hAnsi="ˎ̥"/>
          <w:sz w:val="32"/>
          <w:szCs w:val="32"/>
        </w:rPr>
        <w:t>4.</w:t>
      </w:r>
      <w:r>
        <w:rPr>
          <w:rFonts w:ascii="仿宋_GB2312" w:hAnsi="ˎ̥"/>
          <w:b/>
          <w:sz w:val="32"/>
          <w:szCs w:val="32"/>
        </w:rPr>
        <w:t xml:space="preserve"> </w:t>
      </w:r>
      <w:r>
        <w:rPr>
          <w:rFonts w:hint="eastAsia" w:ascii="仿宋_GB2312" w:hAnsi="ˎ̥"/>
          <w:b/>
          <w:bCs/>
          <w:sz w:val="32"/>
          <w:szCs w:val="32"/>
        </w:rPr>
        <w:t>住房保障（类）</w:t>
      </w:r>
    </w:p>
    <w:p>
      <w:pPr>
        <w:shd w:val="clear" w:color="auto" w:fill="FFFFFF"/>
        <w:spacing w:before="100" w:beforeAutospacing="1" w:after="100" w:afterAutospacing="1"/>
        <w:ind w:firstLine="640" w:firstLineChars="200"/>
        <w:rPr>
          <w:rFonts w:ascii="仿宋_GB2312" w:hAnsi="ˎ̥"/>
          <w:sz w:val="32"/>
          <w:szCs w:val="32"/>
        </w:rPr>
      </w:pPr>
      <w:r>
        <w:rPr>
          <w:rFonts w:hint="eastAsia" w:ascii="仿宋_GB2312" w:hAnsi="ˎ̥"/>
          <w:sz w:val="32"/>
          <w:szCs w:val="32"/>
        </w:rPr>
        <w:t>年初预算为</w:t>
      </w:r>
      <w:r>
        <w:rPr>
          <w:rFonts w:hint="eastAsia" w:ascii="仿宋_GB2312" w:hAnsi="ˎ̥"/>
          <w:sz w:val="32"/>
          <w:szCs w:val="32"/>
          <w:lang w:val="en-US" w:eastAsia="zh-CN"/>
        </w:rPr>
        <w:t>115.86</w:t>
      </w:r>
      <w:r>
        <w:rPr>
          <w:rFonts w:hint="eastAsia" w:ascii="仿宋_GB2312" w:hAnsi="ˎ̥"/>
          <w:sz w:val="32"/>
          <w:szCs w:val="32"/>
        </w:rPr>
        <w:t>万元，支出决算为</w:t>
      </w:r>
      <w:r>
        <w:rPr>
          <w:rFonts w:hint="eastAsia" w:ascii="仿宋_GB2312" w:hAnsi="ˎ̥"/>
          <w:sz w:val="32"/>
          <w:szCs w:val="32"/>
          <w:lang w:val="en-US" w:eastAsia="zh-CN"/>
        </w:rPr>
        <w:t>98.77</w:t>
      </w:r>
      <w:r>
        <w:rPr>
          <w:rFonts w:hint="eastAsia" w:ascii="仿宋_GB2312" w:hAnsi="ˎ̥"/>
          <w:sz w:val="32"/>
          <w:szCs w:val="32"/>
        </w:rPr>
        <w:t>万元，完成年初预算的</w:t>
      </w:r>
      <w:r>
        <w:rPr>
          <w:rFonts w:hint="eastAsia" w:ascii="仿宋_GB2312" w:hAnsi="ˎ̥"/>
          <w:sz w:val="32"/>
          <w:szCs w:val="32"/>
          <w:lang w:val="en-US" w:eastAsia="zh-CN"/>
        </w:rPr>
        <w:t>85.25</w:t>
      </w:r>
      <w:r>
        <w:rPr>
          <w:rFonts w:ascii="仿宋_GB2312" w:hAnsi="ˎ̥"/>
          <w:sz w:val="32"/>
          <w:szCs w:val="32"/>
        </w:rPr>
        <w:t>%</w:t>
      </w:r>
      <w:r>
        <w:rPr>
          <w:rFonts w:hint="eastAsia" w:ascii="仿宋_GB2312" w:hAnsi="ˎ̥"/>
          <w:sz w:val="32"/>
          <w:szCs w:val="32"/>
        </w:rPr>
        <w:t>。决算数</w:t>
      </w:r>
      <w:r>
        <w:rPr>
          <w:rFonts w:hint="eastAsia" w:ascii="仿宋_GB2312" w:hAnsi="ˎ̥"/>
          <w:sz w:val="32"/>
          <w:szCs w:val="32"/>
          <w:lang w:eastAsia="zh-CN"/>
        </w:rPr>
        <w:t>在小</w:t>
      </w:r>
      <w:r>
        <w:rPr>
          <w:rFonts w:hint="eastAsia" w:ascii="仿宋_GB2312" w:hAnsi="ˎ̥"/>
          <w:sz w:val="32"/>
          <w:szCs w:val="32"/>
        </w:rPr>
        <w:t>于预算数的主要原因：一是：人员</w:t>
      </w:r>
      <w:r>
        <w:rPr>
          <w:rFonts w:hint="eastAsia" w:ascii="仿宋_GB2312" w:hAnsi="ˎ̥"/>
          <w:sz w:val="32"/>
          <w:szCs w:val="32"/>
          <w:lang w:eastAsia="zh-CN"/>
        </w:rPr>
        <w:t>减少，住房公积金也减少</w:t>
      </w:r>
      <w:r>
        <w:rPr>
          <w:rFonts w:hint="eastAsia" w:ascii="仿宋_GB2312" w:hAnsi="ˎ̥"/>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sz w:val="32"/>
          <w:szCs w:val="32"/>
        </w:rPr>
      </w:pPr>
      <w:r>
        <w:rPr>
          <w:rFonts w:hint="eastAsia" w:ascii="黑体" w:hAnsi="黑体" w:eastAsia="黑体" w:cs="黑体"/>
          <w:bCs/>
          <w:sz w:val="32"/>
          <w:szCs w:val="32"/>
        </w:rPr>
        <w:t>六、一般公共预算财政拨款基本支出决算情况说明</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年度财政拨款基本支出</w:t>
      </w:r>
      <w:r>
        <w:rPr>
          <w:rFonts w:hint="eastAsia" w:ascii="仿宋_GB2312" w:hAnsi="ˎ̥" w:eastAsia="仿宋_GB2312"/>
          <w:color w:val="FF0000"/>
          <w:sz w:val="32"/>
          <w:szCs w:val="32"/>
          <w:lang w:val="en-US"/>
        </w:rPr>
        <w:t>0.00</w:t>
      </w:r>
      <w:r>
        <w:rPr>
          <w:rFonts w:hint="eastAsia" w:ascii="仿宋_GB2312" w:hAnsi="ˎ̥" w:eastAsia="仿宋_GB2312"/>
          <w:sz w:val="32"/>
          <w:szCs w:val="32"/>
        </w:rPr>
        <w:t>万元，其中：人员经费</w:t>
      </w:r>
      <w:r>
        <w:rPr>
          <w:rFonts w:ascii="仿宋_GB2312" w:hAnsi="ˎ̥" w:eastAsia="仿宋_GB2312"/>
          <w:color w:val="FF0000"/>
          <w:sz w:val="32"/>
          <w:szCs w:val="32"/>
          <w:lang w:val="en-US"/>
        </w:rPr>
        <w:t>1,336.57</w:t>
      </w:r>
      <w:r>
        <w:rPr>
          <w:rFonts w:hint="eastAsia" w:ascii="仿宋_GB2312" w:hAnsi="ˎ̥" w:eastAsia="仿宋_GB2312"/>
          <w:sz w:val="32"/>
          <w:szCs w:val="32"/>
        </w:rPr>
        <w:t>万元，主要包括：工资福利支出中的基本工资、津贴补贴、奖金、伙食补助费、绩效工资、机关事业单位基本养老保险缴费、职业年金缴费、职工基本医疗保险缴费、公务员医疗补助缴费、其他社会保障缴费、住房公积金、医疗费、其他工资福利支出；对个人和家庭的补助中的离休费、退休费、退职（役）费、抚恤金、生活补助、救济费、医疗费补助、助学金、奖励金、个人农业生产补贴、代缴社会保险费、其他对个人和家庭的补助。公用经费</w:t>
      </w:r>
      <w:r>
        <w:rPr>
          <w:rFonts w:ascii="仿宋_GB2312" w:hAnsi="ˎ̥" w:eastAsia="仿宋_GB2312"/>
          <w:color w:val="FF0000"/>
          <w:sz w:val="32"/>
          <w:szCs w:val="32"/>
          <w:lang w:val="en-US"/>
        </w:rPr>
        <w:t>19.15</w:t>
      </w:r>
      <w:r>
        <w:rPr>
          <w:rFonts w:hint="eastAsia" w:ascii="仿宋_GB2312" w:hAnsi="ˎ̥" w:eastAsia="仿宋_GB2312"/>
          <w:sz w:val="32"/>
          <w:szCs w:val="32"/>
        </w:rPr>
        <w:t>万元，主要包括：商品和服务支出中的办公费、印刷费、咨询费、手续费、水费、电费、邮电费、取暖费、物业管理费、差旅费、因公出国（境）费用、维修（护）费、租赁费、会议费、培训费、公务接待费、专用材料费、被装购置费、专用燃料费、劳务费、委托业务费、工会经费、福利费、公务用车运行维护费、其他交通费用、税金及附加费用、其他商品和服务支出；债务利息及费用支出中的国内债务付息及国外债务付息；资本性支出中的房屋建筑物</w:t>
      </w:r>
      <w:r>
        <w:rPr>
          <w:rFonts w:hint="eastAsia" w:ascii="仿宋_GB2312" w:hAnsi="ˎ̥" w:eastAsia="仿宋_GB2312"/>
          <w:sz w:val="32"/>
          <w:szCs w:val="32"/>
          <w:lang w:val="en-US" w:eastAsia="zh-CN"/>
        </w:rPr>
        <w:t>购</w:t>
      </w:r>
      <w:r>
        <w:rPr>
          <w:rFonts w:hint="eastAsia" w:ascii="仿宋_GB2312" w:hAnsi="ˎ̥" w:eastAsia="仿宋_GB2312"/>
          <w:sz w:val="32"/>
          <w:szCs w:val="32"/>
        </w:rPr>
        <w:t>建、办公设备购置、专用设备购置、基础设施建设、大型修缮、信息网络及软件购置更新、物资储备、土地补偿、安置补助、地上附着物和青苗补偿、拆迁补偿、公务用车购置、其他交通工具购置、文物和陈列品购置、无形资产购置、其他资本性支出等；其他支出中的赠予、国家赔偿费用支出、对民间非营利组织和群众性自治组织补贴和其他支出。</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rPr>
      </w:pPr>
      <w:r>
        <w:rPr>
          <w:rFonts w:hint="eastAsia" w:ascii="黑体" w:hAnsi="黑体" w:eastAsia="黑体" w:cs="黑体"/>
          <w:bCs/>
          <w:sz w:val="32"/>
          <w:szCs w:val="32"/>
        </w:rPr>
        <w:t>七、政府性基金预算财政拨款支出决算情况说明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outlineLvl w:val="1"/>
        <w:rPr>
          <w:rFonts w:hint="eastAsia" w:ascii="楷体" w:hAnsi="楷体" w:eastAsia="楷体" w:cs="楷体"/>
          <w:sz w:val="32"/>
          <w:szCs w:val="32"/>
        </w:rPr>
      </w:pPr>
      <w:bookmarkStart w:id="99" w:name="_Toc29021"/>
      <w:r>
        <w:rPr>
          <w:rFonts w:hint="eastAsia" w:ascii="楷体" w:hAnsi="楷体" w:eastAsia="楷体" w:cs="楷体"/>
          <w:sz w:val="32"/>
          <w:szCs w:val="32"/>
        </w:rPr>
        <w:t>（一）政府性基金预算财政拨款支出决算总体情况</w:t>
      </w:r>
      <w:bookmarkEnd w:id="99"/>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年度政府性基金预算财政拨款支出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万元，占本年支出合计的</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%。与</w:t>
      </w:r>
      <w:r>
        <w:rPr>
          <w:rFonts w:hint="default" w:ascii="仿宋_GB2312" w:hAnsi="ˎ̥" w:eastAsia="仿宋_GB2312"/>
          <w:sz w:val="32"/>
          <w:szCs w:val="32"/>
          <w:lang w:val="en-US"/>
        </w:rPr>
        <w:t>2023</w:t>
      </w:r>
      <w:r>
        <w:rPr>
          <w:rFonts w:hint="eastAsia" w:ascii="仿宋_GB2312" w:hAnsi="ˎ̥" w:eastAsia="仿宋_GB2312"/>
          <w:sz w:val="32"/>
          <w:szCs w:val="32"/>
        </w:rPr>
        <w:t>年度相比，政府性基金预算财政拨款支出增加（减少）</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万元，增长（下降）</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%，主要原因是。</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outlineLvl w:val="1"/>
        <w:rPr>
          <w:rFonts w:hint="eastAsia" w:ascii="楷体" w:hAnsi="楷体" w:eastAsia="楷体" w:cs="楷体"/>
          <w:sz w:val="32"/>
          <w:szCs w:val="32"/>
        </w:rPr>
      </w:pPr>
      <w:bookmarkStart w:id="100" w:name="_Toc8041"/>
      <w:r>
        <w:rPr>
          <w:rFonts w:hint="eastAsia" w:ascii="楷体" w:hAnsi="楷体" w:eastAsia="楷体" w:cs="楷体"/>
          <w:sz w:val="32"/>
          <w:szCs w:val="32"/>
        </w:rPr>
        <w:t>（二）政府性基金预算财政拨款支出决算结构情况</w:t>
      </w:r>
      <w:bookmarkEnd w:id="100"/>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年度政府性基金预算财政拨款支出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万元，主要用于以下方面：（类）支出</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%；（类）支出</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%；（类）支出</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outlineLvl w:val="1"/>
        <w:rPr>
          <w:rFonts w:hint="eastAsia" w:ascii="楷体" w:hAnsi="楷体" w:eastAsia="楷体" w:cs="楷体"/>
          <w:sz w:val="32"/>
          <w:szCs w:val="32"/>
        </w:rPr>
      </w:pPr>
      <w:bookmarkStart w:id="101" w:name="_Toc28779"/>
      <w:r>
        <w:rPr>
          <w:rFonts w:hint="eastAsia" w:ascii="楷体" w:hAnsi="楷体" w:eastAsia="楷体" w:cs="楷体"/>
          <w:sz w:val="32"/>
          <w:szCs w:val="32"/>
        </w:rPr>
        <w:t>（三）政府性基金预算财政拨款支出决算具体情况</w:t>
      </w:r>
      <w:bookmarkEnd w:id="101"/>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年度政府性基金预算财政拨款支出年初预算为</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万元，支出决算为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万元，完成年初预算的</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%。其中：</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1.（类）（款）（项）。</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年初预算为</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万元，支出决算为</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万元，完成年初预算的</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%。决算数大于（小于）预算数的主要原因：。</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rPr>
      </w:pPr>
      <w:r>
        <w:rPr>
          <w:rFonts w:hint="eastAsia" w:ascii="黑体" w:hAnsi="黑体" w:eastAsia="黑体" w:cs="黑体"/>
          <w:bCs/>
          <w:sz w:val="32"/>
          <w:szCs w:val="32"/>
        </w:rPr>
        <w:t>八、国有资本经营预算财政拨款支出决算情况说明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outlineLvl w:val="1"/>
        <w:rPr>
          <w:rFonts w:hint="eastAsia" w:ascii="楷体" w:hAnsi="楷体" w:eastAsia="楷体" w:cs="楷体"/>
          <w:sz w:val="32"/>
          <w:szCs w:val="32"/>
        </w:rPr>
      </w:pPr>
      <w:bookmarkStart w:id="102" w:name="_Toc11685"/>
      <w:r>
        <w:rPr>
          <w:rFonts w:hint="eastAsia" w:ascii="楷体" w:hAnsi="楷体" w:eastAsia="楷体" w:cs="楷体"/>
          <w:sz w:val="32"/>
          <w:szCs w:val="32"/>
        </w:rPr>
        <w:t>（一）国有资本经营预算财政拨款支出决算总体情况</w:t>
      </w:r>
      <w:bookmarkEnd w:id="102"/>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年度国有资本经营预算财政拨款支出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万元，占本年支出合计的</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%。与</w:t>
      </w:r>
      <w:r>
        <w:rPr>
          <w:rFonts w:hint="default" w:ascii="仿宋_GB2312" w:hAnsi="ˎ̥" w:eastAsia="仿宋_GB2312"/>
          <w:sz w:val="32"/>
          <w:szCs w:val="32"/>
          <w:lang w:val="en-US"/>
        </w:rPr>
        <w:t>2023</w:t>
      </w:r>
      <w:r>
        <w:rPr>
          <w:rFonts w:hint="eastAsia" w:ascii="仿宋_GB2312" w:hAnsi="ˎ̥" w:eastAsia="仿宋_GB2312"/>
          <w:sz w:val="32"/>
          <w:szCs w:val="32"/>
        </w:rPr>
        <w:t>年度相比，国有资本经营预算财政拨款支出增加（减少）</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万元，增长（下降）</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%，主要原因是。</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outlineLvl w:val="1"/>
        <w:rPr>
          <w:rFonts w:hint="eastAsia" w:ascii="楷体" w:hAnsi="楷体" w:eastAsia="楷体" w:cs="楷体"/>
          <w:sz w:val="32"/>
          <w:szCs w:val="32"/>
        </w:rPr>
      </w:pPr>
      <w:bookmarkStart w:id="103" w:name="_Toc24610"/>
      <w:r>
        <w:rPr>
          <w:rFonts w:hint="eastAsia" w:ascii="楷体" w:hAnsi="楷体" w:eastAsia="楷体" w:cs="楷体"/>
          <w:sz w:val="32"/>
          <w:szCs w:val="32"/>
        </w:rPr>
        <w:t>（二）国有资本经营预算财政拨款支出决算结构情况</w:t>
      </w:r>
      <w:bookmarkEnd w:id="103"/>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年度国有资本经营预算财政拨款支出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万元，主要用于以下方面：（类）支出</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%；（类）支出</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%；（类）支出</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outlineLvl w:val="1"/>
        <w:rPr>
          <w:rFonts w:hint="eastAsia" w:ascii="楷体" w:hAnsi="楷体" w:eastAsia="楷体" w:cs="楷体"/>
          <w:sz w:val="32"/>
          <w:szCs w:val="32"/>
        </w:rPr>
      </w:pPr>
      <w:bookmarkStart w:id="104" w:name="_Toc22876"/>
      <w:r>
        <w:rPr>
          <w:rFonts w:hint="eastAsia" w:ascii="楷体" w:hAnsi="楷体" w:eastAsia="楷体" w:cs="楷体"/>
          <w:sz w:val="32"/>
          <w:szCs w:val="32"/>
        </w:rPr>
        <w:t>（三）国有资本经营预算财政拨款支出决算具体情况</w:t>
      </w:r>
      <w:bookmarkEnd w:id="104"/>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年度国有资本经营预算财政拨款支出年初预算为</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万元，支出决算为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万元，完成年初预算的</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%。其中：</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b/>
          <w:sz w:val="32"/>
          <w:szCs w:val="32"/>
        </w:rPr>
      </w:pPr>
      <w:r>
        <w:rPr>
          <w:rFonts w:hint="eastAsia" w:ascii="仿宋_GB2312" w:hAnsi="ˎ̥" w:eastAsia="仿宋_GB2312"/>
          <w:sz w:val="32"/>
          <w:szCs w:val="32"/>
        </w:rPr>
        <w:t>1.（类）（款）（项）。</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年初预算为</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万元，支出决算为</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万元，完成年初预算的</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%。决算数大于（小于）预算数的主要原因：。</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仿宋_GB2312" w:hAnsi="ˎ̥" w:eastAsia="楷体_GB2312"/>
          <w:sz w:val="32"/>
          <w:szCs w:val="32"/>
        </w:rPr>
      </w:pPr>
      <w:r>
        <w:rPr>
          <w:rFonts w:hint="eastAsia" w:ascii="黑体" w:hAnsi="黑体" w:eastAsia="黑体" w:cs="黑体"/>
          <w:bCs/>
          <w:sz w:val="32"/>
          <w:szCs w:val="32"/>
        </w:rPr>
        <w:t>九、财政拨款“三公”经费支出决算情况说明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outlineLvl w:val="1"/>
        <w:rPr>
          <w:rFonts w:hint="eastAsia" w:ascii="楷体" w:hAnsi="楷体" w:eastAsia="楷体" w:cs="楷体"/>
          <w:bCs/>
          <w:sz w:val="32"/>
          <w:szCs w:val="32"/>
        </w:rPr>
      </w:pPr>
      <w:bookmarkStart w:id="105" w:name="_Toc3594"/>
      <w:r>
        <w:rPr>
          <w:rFonts w:hint="eastAsia" w:ascii="楷体" w:hAnsi="楷体" w:eastAsia="楷体" w:cs="楷体"/>
          <w:bCs/>
          <w:sz w:val="32"/>
          <w:szCs w:val="32"/>
        </w:rPr>
        <w:t>（一）财政拨款“三公”经费支出决算总体情况说明</w:t>
      </w:r>
      <w:bookmarkEnd w:id="105"/>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sz w:val="32"/>
          <w:szCs w:val="32"/>
        </w:rPr>
      </w:pPr>
      <w:r>
        <w:rPr>
          <w:rFonts w:hint="eastAsia" w:ascii="仿宋_GB2312" w:hAnsi="ˎ̥" w:eastAsia="仿宋_GB2312"/>
          <w:sz w:val="32"/>
          <w:szCs w:val="32"/>
        </w:rPr>
        <w:t xml:space="preserve">    </w:t>
      </w:r>
      <w:r>
        <w:rPr>
          <w:rFonts w:hint="default" w:ascii="仿宋_GB2312" w:hAnsi="ˎ̥" w:eastAsia="仿宋_GB2312"/>
          <w:sz w:val="32"/>
          <w:szCs w:val="32"/>
          <w:lang w:val="en-US"/>
        </w:rPr>
        <w:t>2024</w:t>
      </w:r>
      <w:r>
        <w:rPr>
          <w:rFonts w:hint="eastAsia" w:ascii="仿宋_GB2312" w:hAnsi="ˎ̥" w:eastAsia="仿宋_GB2312"/>
          <w:sz w:val="32"/>
          <w:szCs w:val="32"/>
        </w:rPr>
        <w:t>年度财政拨款“三公”经费支出预算为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万元，支出决算为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万元，完成预算的</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w:t>
      </w:r>
      <w:r>
        <w:rPr>
          <w:rFonts w:ascii="仿宋_GB2312" w:hAnsi="ˎ̥" w:eastAsia="仿宋_GB2312"/>
          <w:sz w:val="32"/>
          <w:szCs w:val="32"/>
        </w:rPr>
        <w:t>与</w:t>
      </w:r>
      <w:r>
        <w:rPr>
          <w:rFonts w:hint="default" w:ascii="仿宋_GB2312" w:hAnsi="ˎ̥" w:eastAsia="仿宋_GB2312"/>
          <w:sz w:val="32"/>
          <w:szCs w:val="32"/>
          <w:lang w:val="en-US"/>
        </w:rPr>
        <w:t>2023</w:t>
      </w:r>
      <w:r>
        <w:rPr>
          <w:rFonts w:hint="eastAsia" w:ascii="仿宋_GB2312" w:hAnsi="ˎ̥" w:eastAsia="仿宋_GB2312"/>
          <w:sz w:val="32"/>
          <w:szCs w:val="32"/>
        </w:rPr>
        <w:t>年度</w:t>
      </w:r>
      <w:r>
        <w:rPr>
          <w:rFonts w:ascii="仿宋_GB2312" w:hAnsi="ˎ̥" w:eastAsia="仿宋_GB2312"/>
          <w:sz w:val="32"/>
          <w:szCs w:val="32"/>
        </w:rPr>
        <w:t>相比，</w:t>
      </w:r>
      <w:r>
        <w:rPr>
          <w:rFonts w:hint="eastAsia" w:ascii="仿宋_GB2312" w:hAnsi="ˎ̥" w:eastAsia="仿宋_GB2312"/>
          <w:sz w:val="32"/>
          <w:szCs w:val="32"/>
        </w:rPr>
        <w:t>“三公”经费支出增加</w:t>
      </w:r>
      <w:r>
        <w:rPr>
          <w:rFonts w:ascii="仿宋_GB2312" w:hAnsi="ˎ̥" w:eastAsia="仿宋_GB2312"/>
          <w:sz w:val="32"/>
          <w:szCs w:val="32"/>
        </w:rPr>
        <w:t>（</w:t>
      </w:r>
      <w:r>
        <w:rPr>
          <w:rFonts w:hint="eastAsia" w:ascii="仿宋_GB2312" w:hAnsi="ˎ̥" w:eastAsia="仿宋_GB2312"/>
          <w:sz w:val="32"/>
          <w:szCs w:val="32"/>
        </w:rPr>
        <w:t>减少</w:t>
      </w:r>
      <w:r>
        <w:rPr>
          <w:rFonts w:ascii="仿宋_GB2312" w:hAnsi="ˎ̥" w:eastAsia="仿宋_GB2312"/>
          <w:sz w:val="32"/>
          <w:szCs w:val="32"/>
        </w:rPr>
        <w:t>）</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w:t>
      </w:r>
      <w:r>
        <w:rPr>
          <w:rFonts w:ascii="仿宋_GB2312" w:hAnsi="ˎ̥" w:eastAsia="仿宋_GB2312"/>
          <w:sz w:val="32"/>
          <w:szCs w:val="32"/>
        </w:rPr>
        <w:t>，增长（</w:t>
      </w:r>
      <w:r>
        <w:rPr>
          <w:rFonts w:hint="eastAsia" w:ascii="仿宋_GB2312" w:hAnsi="ˎ̥" w:eastAsia="仿宋_GB2312"/>
          <w:sz w:val="32"/>
          <w:szCs w:val="32"/>
        </w:rPr>
        <w:t>下降</w:t>
      </w:r>
      <w:r>
        <w:rPr>
          <w:rFonts w:ascii="仿宋_GB2312" w:hAnsi="ˎ̥" w:eastAsia="仿宋_GB2312"/>
          <w:sz w:val="32"/>
          <w:szCs w:val="32"/>
        </w:rPr>
        <w:t>）</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w:t>
      </w:r>
      <w:r>
        <w:rPr>
          <w:rFonts w:ascii="仿宋_GB2312" w:hAnsi="ˎ̥" w:eastAsia="仿宋_GB2312"/>
          <w:sz w:val="32"/>
          <w:szCs w:val="32"/>
        </w:rPr>
        <w:t>主要原因是</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textAlignment w:val="auto"/>
        <w:outlineLvl w:val="1"/>
        <w:rPr>
          <w:rFonts w:hint="eastAsia" w:ascii="楷体" w:hAnsi="楷体" w:eastAsia="楷体" w:cs="楷体"/>
          <w:sz w:val="32"/>
          <w:szCs w:val="32"/>
        </w:rPr>
      </w:pPr>
      <w:r>
        <w:rPr>
          <w:rFonts w:hint="eastAsia" w:ascii="楷体" w:hAnsi="楷体" w:eastAsia="楷体" w:cs="楷体"/>
          <w:b/>
          <w:bCs/>
          <w:sz w:val="32"/>
          <w:szCs w:val="32"/>
        </w:rPr>
        <w:t xml:space="preserve">   </w:t>
      </w:r>
      <w:r>
        <w:rPr>
          <w:rFonts w:hint="eastAsia" w:ascii="楷体" w:hAnsi="楷体" w:eastAsia="楷体" w:cs="楷体"/>
          <w:sz w:val="32"/>
          <w:szCs w:val="32"/>
        </w:rPr>
        <w:t xml:space="preserve"> </w:t>
      </w:r>
      <w:bookmarkStart w:id="106" w:name="_Toc22434"/>
      <w:r>
        <w:rPr>
          <w:rFonts w:hint="eastAsia" w:ascii="楷体" w:hAnsi="楷体" w:eastAsia="楷体" w:cs="楷体"/>
          <w:sz w:val="32"/>
          <w:szCs w:val="32"/>
        </w:rPr>
        <w:t>（二）财政拨款“三公”经费支出决算具体情况说明</w:t>
      </w:r>
      <w:bookmarkEnd w:id="106"/>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年度财政拨款“三公”经费支出决算中，因公出国（境）费支出决算</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%；公务用车购置及运行维护费支出决算</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%；公务接待费支出决算</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%。具体情况如下：</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sz w:val="32"/>
          <w:szCs w:val="32"/>
        </w:rPr>
      </w:pPr>
      <w:r>
        <w:rPr>
          <w:rFonts w:hint="eastAsia" w:ascii="仿宋_GB2312" w:hAnsi="ˎ̥" w:eastAsia="仿宋_GB2312"/>
          <w:b/>
          <w:sz w:val="32"/>
          <w:szCs w:val="32"/>
        </w:rPr>
        <w:t>1.因公出国（境）费</w:t>
      </w:r>
      <w:r>
        <w:rPr>
          <w:rFonts w:hint="eastAsia" w:ascii="仿宋_GB2312" w:hAnsi="ˎ̥" w:eastAsia="仿宋_GB2312"/>
          <w:sz w:val="32"/>
          <w:szCs w:val="32"/>
        </w:rPr>
        <w:t>支出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万元。全年安排因公出国（境）团组</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个，因公出国（境）</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人次。开支内容包括：</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支出</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万元。主要用于支出</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万元。主要用于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因公出国（境）费支出决算</w:t>
      </w:r>
      <w:r>
        <w:rPr>
          <w:rFonts w:hint="eastAsia" w:ascii="仿宋_GB2312" w:hAnsi="ˎ̥" w:eastAsia="仿宋_GB2312"/>
          <w:sz w:val="32"/>
          <w:szCs w:val="32"/>
          <w:lang w:val="en-US" w:eastAsia="zh-CN"/>
        </w:rPr>
        <w:t>数</w:t>
      </w:r>
      <w:r>
        <w:rPr>
          <w:rFonts w:hint="eastAsia" w:ascii="仿宋_GB2312" w:hAnsi="ˎ̥" w:eastAsia="仿宋_GB2312"/>
          <w:sz w:val="32"/>
          <w:szCs w:val="32"/>
        </w:rPr>
        <w:t>比预算数增加（减少）</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w:t>
      </w:r>
      <w:r>
        <w:rPr>
          <w:rFonts w:hint="eastAsia" w:ascii="仿宋_GB2312" w:hAnsi="ˎ̥" w:eastAsia="仿宋_GB2312"/>
          <w:sz w:val="32"/>
          <w:szCs w:val="32"/>
          <w:lang w:val="en-US" w:eastAsia="zh-CN"/>
        </w:rPr>
        <w:t>完成预算的</w:t>
      </w:r>
      <w:r>
        <w:rPr>
          <w:rFonts w:hint="eastAsia" w:ascii="仿宋_GB2312" w:hAnsi="ˎ̥" w:eastAsia="仿宋_GB2312"/>
          <w:color w:val="FF0000"/>
          <w:sz w:val="32"/>
          <w:szCs w:val="32"/>
          <w:lang w:val="en-US" w:eastAsia="zh-CN"/>
        </w:rPr>
        <w:t>0</w:t>
      </w:r>
      <w:r>
        <w:rPr>
          <w:rFonts w:hint="default" w:ascii="仿宋_GB2312" w:hAnsi="ˎ̥" w:eastAsia="仿宋_GB2312"/>
          <w:sz w:val="32"/>
          <w:szCs w:val="32"/>
          <w:lang w:val="en-US" w:eastAsia="zh-CN"/>
        </w:rPr>
        <w:t>%</w:t>
      </w:r>
      <w:r>
        <w:rPr>
          <w:rFonts w:hint="eastAsia" w:ascii="仿宋_GB2312" w:hAnsi="ˎ̥" w:eastAsia="仿宋_GB2312"/>
          <w:sz w:val="32"/>
          <w:szCs w:val="32"/>
        </w:rPr>
        <w:t>。与</w:t>
      </w:r>
      <w:r>
        <w:rPr>
          <w:rFonts w:hint="default" w:ascii="仿宋_GB2312" w:hAnsi="ˎ̥" w:eastAsia="仿宋_GB2312"/>
          <w:sz w:val="32"/>
          <w:szCs w:val="32"/>
          <w:lang w:val="en-US"/>
        </w:rPr>
        <w:t>2023</w:t>
      </w:r>
      <w:r>
        <w:rPr>
          <w:rFonts w:hint="eastAsia" w:ascii="仿宋_GB2312" w:hAnsi="ˎ̥" w:eastAsia="仿宋_GB2312"/>
          <w:sz w:val="32"/>
          <w:szCs w:val="32"/>
        </w:rPr>
        <w:t>年度</w:t>
      </w:r>
      <w:r>
        <w:rPr>
          <w:rFonts w:ascii="仿宋_GB2312" w:hAnsi="ˎ̥" w:eastAsia="仿宋_GB2312"/>
          <w:sz w:val="32"/>
          <w:szCs w:val="32"/>
        </w:rPr>
        <w:t>相比，</w:t>
      </w:r>
      <w:r>
        <w:rPr>
          <w:rFonts w:hint="eastAsia" w:ascii="仿宋_GB2312" w:hAnsi="ˎ̥" w:eastAsia="仿宋_GB2312"/>
          <w:sz w:val="32"/>
          <w:szCs w:val="32"/>
        </w:rPr>
        <w:t>因公出国（境）费支出增加</w:t>
      </w:r>
      <w:r>
        <w:rPr>
          <w:rFonts w:ascii="仿宋_GB2312" w:hAnsi="ˎ̥" w:eastAsia="仿宋_GB2312"/>
          <w:sz w:val="32"/>
          <w:szCs w:val="32"/>
        </w:rPr>
        <w:t>（</w:t>
      </w:r>
      <w:r>
        <w:rPr>
          <w:rFonts w:hint="eastAsia" w:ascii="仿宋_GB2312" w:hAnsi="ˎ̥" w:eastAsia="仿宋_GB2312"/>
          <w:sz w:val="32"/>
          <w:szCs w:val="32"/>
        </w:rPr>
        <w:t>减少</w:t>
      </w:r>
      <w:r>
        <w:rPr>
          <w:rFonts w:ascii="仿宋_GB2312" w:hAnsi="ˎ̥" w:eastAsia="仿宋_GB2312"/>
          <w:sz w:val="32"/>
          <w:szCs w:val="32"/>
        </w:rPr>
        <w:t>）</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w:t>
      </w:r>
      <w:r>
        <w:rPr>
          <w:rFonts w:ascii="仿宋_GB2312" w:hAnsi="ˎ̥" w:eastAsia="仿宋_GB2312"/>
          <w:sz w:val="32"/>
          <w:szCs w:val="32"/>
        </w:rPr>
        <w:t>，增长（</w:t>
      </w:r>
      <w:r>
        <w:rPr>
          <w:rFonts w:hint="eastAsia" w:ascii="仿宋_GB2312" w:hAnsi="ˎ̥" w:eastAsia="仿宋_GB2312"/>
          <w:sz w:val="32"/>
          <w:szCs w:val="32"/>
        </w:rPr>
        <w:t>下降</w:t>
      </w:r>
      <w:r>
        <w:rPr>
          <w:rFonts w:ascii="仿宋_GB2312" w:hAnsi="ˎ̥" w:eastAsia="仿宋_GB2312"/>
          <w:sz w:val="32"/>
          <w:szCs w:val="32"/>
        </w:rPr>
        <w:t>）</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%，主要原因是。</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sz w:val="32"/>
          <w:szCs w:val="32"/>
        </w:rPr>
      </w:pPr>
      <w:r>
        <w:rPr>
          <w:rFonts w:hint="eastAsia" w:ascii="仿宋_GB2312" w:hAnsi="ˎ̥" w:eastAsia="仿宋_GB2312"/>
          <w:b/>
          <w:sz w:val="32"/>
          <w:szCs w:val="32"/>
        </w:rPr>
        <w:t xml:space="preserve">    2.公务用车购置及运行维护费</w:t>
      </w:r>
      <w:r>
        <w:rPr>
          <w:rFonts w:hint="eastAsia" w:ascii="仿宋_GB2312" w:hAnsi="ˎ̥" w:eastAsia="仿宋_GB2312"/>
          <w:b w:val="0"/>
          <w:bCs/>
          <w:sz w:val="32"/>
          <w:szCs w:val="32"/>
        </w:rPr>
        <w:t>支出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万元。其中：</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sz w:val="32"/>
          <w:szCs w:val="32"/>
        </w:rPr>
      </w:pPr>
      <w:r>
        <w:rPr>
          <w:rFonts w:hint="eastAsia" w:ascii="仿宋_GB2312" w:hAnsi="ˎ̥" w:eastAsia="仿宋_GB2312"/>
          <w:b/>
          <w:sz w:val="32"/>
          <w:szCs w:val="32"/>
        </w:rPr>
        <w:t>公务用车购置</w:t>
      </w:r>
      <w:r>
        <w:rPr>
          <w:rFonts w:hint="eastAsia" w:ascii="仿宋_GB2312" w:hAnsi="ˎ̥" w:eastAsia="仿宋_GB2312"/>
          <w:b w:val="0"/>
          <w:bCs/>
          <w:sz w:val="32"/>
          <w:szCs w:val="32"/>
        </w:rPr>
        <w:t>支出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万元，全年购置公务用车</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辆，主要用于，年末公务用车保有量</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辆。</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sz w:val="32"/>
          <w:szCs w:val="32"/>
        </w:rPr>
      </w:pPr>
      <w:r>
        <w:rPr>
          <w:rFonts w:hint="eastAsia" w:ascii="仿宋_GB2312" w:hAnsi="ˎ̥" w:eastAsia="仿宋_GB2312"/>
          <w:b/>
          <w:sz w:val="32"/>
          <w:szCs w:val="32"/>
        </w:rPr>
        <w:t>公务用车运行维护费</w:t>
      </w:r>
      <w:r>
        <w:rPr>
          <w:rFonts w:hint="eastAsia" w:ascii="仿宋_GB2312" w:hAnsi="ˎ̥" w:eastAsia="仿宋_GB2312"/>
          <w:sz w:val="32"/>
          <w:szCs w:val="32"/>
        </w:rPr>
        <w:t>支出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万元，主要用于……。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bCs/>
          <w:sz w:val="32"/>
          <w:szCs w:val="32"/>
        </w:rPr>
      </w:pPr>
      <w:r>
        <w:rPr>
          <w:rFonts w:hint="eastAsia" w:ascii="仿宋_GB2312" w:hAnsi="ˎ̥" w:eastAsia="仿宋_GB2312"/>
          <w:bCs/>
          <w:sz w:val="32"/>
          <w:szCs w:val="32"/>
        </w:rPr>
        <w:t>公务用车购置及运行维护费支出决算数</w:t>
      </w:r>
      <w:r>
        <w:rPr>
          <w:rFonts w:hint="eastAsia" w:ascii="仿宋_GB2312" w:hAnsi="ˎ̥" w:eastAsia="仿宋_GB2312"/>
          <w:sz w:val="32"/>
          <w:szCs w:val="32"/>
        </w:rPr>
        <w:t>比预算数增加（减少）</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w:t>
      </w:r>
      <w:r>
        <w:rPr>
          <w:rFonts w:hint="eastAsia" w:ascii="仿宋_GB2312" w:hAnsi="ˎ̥" w:eastAsia="仿宋_GB2312"/>
          <w:sz w:val="32"/>
          <w:szCs w:val="32"/>
          <w:lang w:val="en-US" w:eastAsia="zh-CN"/>
        </w:rPr>
        <w:t>完成预算的</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w:t>
      </w:r>
      <w:r>
        <w:rPr>
          <w:rFonts w:hint="eastAsia" w:ascii="仿宋_GB2312" w:hAnsi="ˎ̥" w:eastAsia="仿宋_GB2312"/>
          <w:sz w:val="32"/>
          <w:szCs w:val="32"/>
          <w:lang w:val="en-US" w:eastAsia="zh-CN"/>
        </w:rPr>
        <w:t>。</w:t>
      </w:r>
      <w:r>
        <w:rPr>
          <w:rFonts w:hint="eastAsia" w:ascii="仿宋_GB2312" w:hAnsi="ˎ̥" w:eastAsia="仿宋_GB2312"/>
          <w:sz w:val="32"/>
          <w:szCs w:val="32"/>
        </w:rPr>
        <w:t>与</w:t>
      </w:r>
      <w:r>
        <w:rPr>
          <w:rFonts w:hint="default" w:ascii="仿宋_GB2312" w:hAnsi="ˎ̥" w:eastAsia="仿宋_GB2312"/>
          <w:sz w:val="32"/>
          <w:szCs w:val="32"/>
          <w:lang w:val="en-US"/>
        </w:rPr>
        <w:t>2023</w:t>
      </w:r>
      <w:r>
        <w:rPr>
          <w:rFonts w:hint="eastAsia" w:ascii="仿宋_GB2312" w:hAnsi="ˎ̥" w:eastAsia="仿宋_GB2312"/>
          <w:sz w:val="32"/>
          <w:szCs w:val="32"/>
        </w:rPr>
        <w:t>年度</w:t>
      </w:r>
      <w:r>
        <w:rPr>
          <w:rFonts w:ascii="仿宋_GB2312" w:hAnsi="ˎ̥" w:eastAsia="仿宋_GB2312"/>
          <w:sz w:val="32"/>
          <w:szCs w:val="32"/>
        </w:rPr>
        <w:t>相比，</w:t>
      </w:r>
      <w:r>
        <w:rPr>
          <w:rFonts w:hint="eastAsia" w:ascii="仿宋_GB2312" w:hAnsi="ˎ̥" w:eastAsia="仿宋_GB2312"/>
          <w:bCs/>
          <w:sz w:val="32"/>
          <w:szCs w:val="32"/>
        </w:rPr>
        <w:t>公务用车购置及运行维护费</w:t>
      </w:r>
      <w:r>
        <w:rPr>
          <w:rFonts w:hint="eastAsia" w:ascii="仿宋_GB2312" w:hAnsi="ˎ̥" w:eastAsia="仿宋_GB2312"/>
          <w:sz w:val="32"/>
          <w:szCs w:val="32"/>
        </w:rPr>
        <w:t>支出增加</w:t>
      </w:r>
      <w:r>
        <w:rPr>
          <w:rFonts w:ascii="仿宋_GB2312" w:hAnsi="ˎ̥" w:eastAsia="仿宋_GB2312"/>
          <w:sz w:val="32"/>
          <w:szCs w:val="32"/>
        </w:rPr>
        <w:t>（</w:t>
      </w:r>
      <w:r>
        <w:rPr>
          <w:rFonts w:hint="eastAsia" w:ascii="仿宋_GB2312" w:hAnsi="ˎ̥" w:eastAsia="仿宋_GB2312"/>
          <w:sz w:val="32"/>
          <w:szCs w:val="32"/>
        </w:rPr>
        <w:t>减少</w:t>
      </w:r>
      <w:r>
        <w:rPr>
          <w:rFonts w:ascii="仿宋_GB2312" w:hAnsi="ˎ̥" w:eastAsia="仿宋_GB2312"/>
          <w:sz w:val="32"/>
          <w:szCs w:val="32"/>
        </w:rPr>
        <w:t>）</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w:t>
      </w:r>
      <w:r>
        <w:rPr>
          <w:rFonts w:ascii="仿宋_GB2312" w:hAnsi="ˎ̥" w:eastAsia="仿宋_GB2312"/>
          <w:sz w:val="32"/>
          <w:szCs w:val="32"/>
        </w:rPr>
        <w:t>，增长（</w:t>
      </w:r>
      <w:r>
        <w:rPr>
          <w:rFonts w:hint="eastAsia" w:ascii="仿宋_GB2312" w:hAnsi="ˎ̥" w:eastAsia="仿宋_GB2312"/>
          <w:sz w:val="32"/>
          <w:szCs w:val="32"/>
        </w:rPr>
        <w:t>下降</w:t>
      </w:r>
      <w:r>
        <w:rPr>
          <w:rFonts w:ascii="仿宋_GB2312" w:hAnsi="ˎ̥" w:eastAsia="仿宋_GB2312"/>
          <w:sz w:val="32"/>
          <w:szCs w:val="32"/>
        </w:rPr>
        <w:t>）</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%，主要原因是。</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sz w:val="32"/>
          <w:szCs w:val="32"/>
        </w:rPr>
      </w:pPr>
      <w:r>
        <w:rPr>
          <w:rFonts w:hint="eastAsia" w:ascii="仿宋_GB2312" w:hAnsi="ˎ̥" w:eastAsia="仿宋_GB2312"/>
          <w:b/>
          <w:sz w:val="32"/>
          <w:szCs w:val="32"/>
        </w:rPr>
        <w:t xml:space="preserve">    3.公务接待费</w:t>
      </w:r>
      <w:r>
        <w:rPr>
          <w:rFonts w:hint="eastAsia" w:ascii="仿宋_GB2312" w:hAnsi="ˎ̥" w:eastAsia="仿宋_GB2312"/>
          <w:b w:val="0"/>
          <w:bCs/>
          <w:sz w:val="32"/>
          <w:szCs w:val="32"/>
        </w:rPr>
        <w:t>支出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万元，其中：</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sz w:val="32"/>
          <w:szCs w:val="32"/>
        </w:rPr>
      </w:pPr>
      <w:r>
        <w:rPr>
          <w:rFonts w:hint="eastAsia" w:ascii="仿宋_GB2312" w:hAnsi="ˎ̥" w:eastAsia="仿宋_GB2312"/>
          <w:b/>
          <w:sz w:val="32"/>
          <w:szCs w:val="32"/>
        </w:rPr>
        <w:t>国内接待费</w:t>
      </w:r>
      <w:r>
        <w:rPr>
          <w:rFonts w:hint="eastAsia" w:ascii="仿宋_GB2312" w:hAnsi="ˎ̥" w:eastAsia="仿宋_GB2312"/>
          <w:sz w:val="32"/>
          <w:szCs w:val="32"/>
        </w:rPr>
        <w:t>支出</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万元，国内公务接待</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批次，接待</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人次；主要用于。</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sz w:val="32"/>
          <w:szCs w:val="32"/>
        </w:rPr>
      </w:pPr>
      <w:r>
        <w:rPr>
          <w:rFonts w:hint="eastAsia" w:ascii="仿宋_GB2312" w:hAnsi="ˎ̥" w:eastAsia="仿宋_GB2312"/>
          <w:b/>
          <w:bCs/>
          <w:sz w:val="32"/>
          <w:szCs w:val="32"/>
        </w:rPr>
        <w:t>国（境）外接待费</w:t>
      </w:r>
      <w:r>
        <w:rPr>
          <w:rFonts w:hint="eastAsia" w:ascii="仿宋_GB2312" w:hAnsi="ˎ̥" w:eastAsia="仿宋_GB2312"/>
          <w:sz w:val="32"/>
          <w:szCs w:val="32"/>
        </w:rPr>
        <w:t>支出</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万元，国（境）外公务接待</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批次，接待</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人次；主要用于。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公务接待费支出决算数比预算数增加（减少）</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w:t>
      </w:r>
      <w:r>
        <w:rPr>
          <w:rFonts w:hint="eastAsia" w:ascii="仿宋_GB2312" w:hAnsi="ˎ̥" w:eastAsia="仿宋_GB2312"/>
          <w:sz w:val="32"/>
          <w:szCs w:val="32"/>
          <w:lang w:val="en-US" w:eastAsia="zh-CN"/>
        </w:rPr>
        <w:t>完成预算的</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%。与</w:t>
      </w:r>
      <w:r>
        <w:rPr>
          <w:rFonts w:hint="default" w:ascii="仿宋_GB2312" w:hAnsi="ˎ̥" w:eastAsia="仿宋_GB2312"/>
          <w:sz w:val="32"/>
          <w:szCs w:val="32"/>
          <w:lang w:val="en-US"/>
        </w:rPr>
        <w:t>2023</w:t>
      </w:r>
      <w:r>
        <w:rPr>
          <w:rFonts w:hint="eastAsia" w:ascii="仿宋_GB2312" w:hAnsi="ˎ̥" w:eastAsia="仿宋_GB2312"/>
          <w:sz w:val="32"/>
          <w:szCs w:val="32"/>
        </w:rPr>
        <w:t>年度</w:t>
      </w:r>
      <w:r>
        <w:rPr>
          <w:rFonts w:ascii="仿宋_GB2312" w:hAnsi="ˎ̥" w:eastAsia="仿宋_GB2312"/>
          <w:sz w:val="32"/>
          <w:szCs w:val="32"/>
        </w:rPr>
        <w:t>相比，</w:t>
      </w:r>
      <w:r>
        <w:rPr>
          <w:rFonts w:hint="eastAsia" w:ascii="仿宋_GB2312" w:hAnsi="ˎ̥" w:eastAsia="仿宋_GB2312"/>
          <w:bCs/>
          <w:sz w:val="32"/>
          <w:szCs w:val="32"/>
        </w:rPr>
        <w:t>公务接待费</w:t>
      </w:r>
      <w:r>
        <w:rPr>
          <w:rFonts w:hint="eastAsia" w:ascii="仿宋_GB2312" w:hAnsi="ˎ̥" w:eastAsia="仿宋_GB2312"/>
          <w:sz w:val="32"/>
          <w:szCs w:val="32"/>
        </w:rPr>
        <w:t>支出增加</w:t>
      </w:r>
      <w:r>
        <w:rPr>
          <w:rFonts w:ascii="仿宋_GB2312" w:hAnsi="ˎ̥" w:eastAsia="仿宋_GB2312"/>
          <w:sz w:val="32"/>
          <w:szCs w:val="32"/>
        </w:rPr>
        <w:t>（</w:t>
      </w:r>
      <w:r>
        <w:rPr>
          <w:rFonts w:hint="eastAsia" w:ascii="仿宋_GB2312" w:hAnsi="ˎ̥" w:eastAsia="仿宋_GB2312"/>
          <w:sz w:val="32"/>
          <w:szCs w:val="32"/>
        </w:rPr>
        <w:t>减少</w:t>
      </w:r>
      <w:r>
        <w:rPr>
          <w:rFonts w:ascii="仿宋_GB2312" w:hAnsi="ˎ̥" w:eastAsia="仿宋_GB2312"/>
          <w:sz w:val="32"/>
          <w:szCs w:val="32"/>
        </w:rPr>
        <w:t>）</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w:t>
      </w:r>
      <w:r>
        <w:rPr>
          <w:rFonts w:ascii="仿宋_GB2312" w:hAnsi="ˎ̥" w:eastAsia="仿宋_GB2312"/>
          <w:sz w:val="32"/>
          <w:szCs w:val="32"/>
        </w:rPr>
        <w:t>，增长（</w:t>
      </w:r>
      <w:r>
        <w:rPr>
          <w:rFonts w:hint="eastAsia" w:ascii="仿宋_GB2312" w:hAnsi="ˎ̥" w:eastAsia="仿宋_GB2312"/>
          <w:sz w:val="32"/>
          <w:szCs w:val="32"/>
        </w:rPr>
        <w:t>下降</w:t>
      </w:r>
      <w:r>
        <w:rPr>
          <w:rFonts w:ascii="仿宋_GB2312" w:hAnsi="ˎ̥" w:eastAsia="仿宋_GB2312"/>
          <w:sz w:val="32"/>
          <w:szCs w:val="32"/>
        </w:rPr>
        <w:t>）</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%，主要原因是。</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黑体" w:hAnsi="黑体" w:eastAsia="黑体" w:cs="黑体"/>
          <w:bCs/>
          <w:sz w:val="32"/>
          <w:szCs w:val="32"/>
        </w:rPr>
      </w:pPr>
      <w:r>
        <w:rPr>
          <w:rFonts w:hint="eastAsia" w:ascii="黑体" w:hAnsi="黑体" w:eastAsia="黑体" w:cs="黑体"/>
          <w:bCs/>
          <w:sz w:val="32"/>
          <w:szCs w:val="32"/>
        </w:rPr>
        <w:t>十、预算绩效情况说明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outlineLvl w:val="1"/>
        <w:rPr>
          <w:rFonts w:hint="eastAsia" w:ascii="楷体" w:hAnsi="楷体" w:eastAsia="楷体" w:cs="楷体"/>
          <w:bCs/>
          <w:sz w:val="32"/>
          <w:szCs w:val="32"/>
        </w:rPr>
      </w:pPr>
      <w:bookmarkStart w:id="107" w:name="_Toc10728"/>
      <w:r>
        <w:rPr>
          <w:rFonts w:hint="eastAsia" w:ascii="楷体" w:hAnsi="楷体" w:eastAsia="楷体" w:cs="楷体"/>
          <w:bCs/>
          <w:sz w:val="32"/>
          <w:szCs w:val="32"/>
        </w:rPr>
        <w:t>（一）绩效管理工作开展情况</w:t>
      </w:r>
      <w:bookmarkEnd w:id="107"/>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根据财政预算绩效管理要求，可按照如下格式说明：根据预算管理要求，我</w:t>
      </w:r>
      <w:r>
        <w:rPr>
          <w:rFonts w:hint="eastAsia" w:ascii="仿宋_GB2312" w:eastAsia="仿宋_GB2312"/>
          <w:sz w:val="32"/>
          <w:szCs w:val="32"/>
          <w:lang w:eastAsia="zh-CN"/>
        </w:rPr>
        <w:t>单位</w:t>
      </w:r>
      <w:r>
        <w:rPr>
          <w:rFonts w:hint="eastAsia" w:ascii="仿宋_GB2312" w:eastAsia="仿宋_GB2312"/>
          <w:sz w:val="32"/>
          <w:szCs w:val="32"/>
        </w:rPr>
        <w:t>组织对</w:t>
      </w:r>
      <w:r>
        <w:rPr>
          <w:rFonts w:hint="default" w:ascii="仿宋_GB2312" w:eastAsia="仿宋_GB2312"/>
          <w:sz w:val="32"/>
          <w:szCs w:val="32"/>
          <w:lang w:val="en-US"/>
        </w:rPr>
        <w:t>2024</w:t>
      </w:r>
      <w:r>
        <w:rPr>
          <w:rFonts w:hint="eastAsia" w:ascii="仿宋_GB2312" w:eastAsia="仿宋_GB2312"/>
          <w:sz w:val="32"/>
          <w:szCs w:val="32"/>
        </w:rPr>
        <w:t>年度一般公共预算项目支出全面开展绩效自评</w:t>
      </w:r>
      <w:r>
        <w:rPr>
          <w:rFonts w:hint="default" w:ascii="仿宋_GB2312" w:eastAsia="仿宋_GB2312"/>
          <w:sz w:val="32"/>
          <w:szCs w:val="32"/>
          <w:lang w:val="en-US"/>
        </w:rPr>
        <w:t>,</w:t>
      </w:r>
      <w:r>
        <w:rPr>
          <w:rFonts w:hint="eastAsia" w:ascii="仿宋_GB2312" w:eastAsia="仿宋_GB2312"/>
          <w:sz w:val="32"/>
          <w:szCs w:val="32"/>
          <w:lang w:val="en-US" w:eastAsia="zh-CN"/>
        </w:rPr>
        <w:t>共涉及资金</w:t>
      </w:r>
      <w:r>
        <w:rPr>
          <w:rFonts w:hint="eastAsia" w:ascii="仿宋_GB2312" w:eastAsia="仿宋_GB2312"/>
          <w:color w:val="FF0000"/>
          <w:sz w:val="32"/>
          <w:szCs w:val="32"/>
          <w:lang w:val="en-US" w:eastAsia="zh-CN"/>
        </w:rPr>
        <w:t>0</w:t>
      </w:r>
      <w:r>
        <w:rPr>
          <w:rFonts w:hint="eastAsia" w:ascii="仿宋_GB2312" w:eastAsia="仿宋_GB2312"/>
          <w:sz w:val="32"/>
          <w:szCs w:val="32"/>
          <w:lang w:val="en-US" w:eastAsia="zh-CN"/>
        </w:rPr>
        <w:t>万元，占一般公共预算项目支出总额的</w:t>
      </w:r>
      <w:r>
        <w:rPr>
          <w:rFonts w:hint="eastAsia" w:ascii="仿宋_GB2312" w:eastAsia="仿宋_GB2312"/>
          <w:color w:val="FF0000"/>
          <w:sz w:val="32"/>
          <w:szCs w:val="32"/>
          <w:lang w:val="en-US" w:eastAsia="zh-CN"/>
        </w:rPr>
        <w:t>0</w:t>
      </w:r>
      <w:r>
        <w:rPr>
          <w:rFonts w:hint="eastAsia" w:ascii="仿宋_GB2312" w:eastAsia="仿宋_GB2312"/>
          <w:sz w:val="32"/>
          <w:szCs w:val="32"/>
          <w:lang w:val="en-US" w:eastAsia="zh-CN"/>
        </w:rPr>
        <w:t>%</w:t>
      </w:r>
      <w:r>
        <w:rPr>
          <w:rFonts w:hint="eastAsia" w:ascii="仿宋_GB2312" w:eastAsia="仿宋_GB2312"/>
          <w:sz w:val="32"/>
          <w:szCs w:val="32"/>
        </w:rPr>
        <w:t>。</w:t>
      </w:r>
      <w:r>
        <w:rPr>
          <w:rFonts w:hint="eastAsia" w:ascii="仿宋_GB2312" w:eastAsia="仿宋_GB2312"/>
          <w:sz w:val="32"/>
          <w:szCs w:val="32"/>
          <w:lang w:bidi="ar"/>
        </w:rPr>
        <w:t>组织对</w:t>
      </w:r>
      <w:r>
        <w:rPr>
          <w:rFonts w:hint="default" w:ascii="仿宋_GB2312" w:eastAsia="仿宋_GB2312"/>
          <w:sz w:val="32"/>
          <w:szCs w:val="32"/>
          <w:lang w:val="en-US" w:bidi="ar"/>
        </w:rPr>
        <w:t>2024</w:t>
      </w:r>
      <w:r>
        <w:rPr>
          <w:rFonts w:hint="eastAsia" w:ascii="仿宋_GB2312" w:eastAsia="仿宋_GB2312"/>
          <w:sz w:val="32"/>
          <w:szCs w:val="32"/>
          <w:lang w:bidi="ar"/>
        </w:rPr>
        <w:t>年度等</w:t>
      </w:r>
      <w:r>
        <w:rPr>
          <w:rFonts w:hint="eastAsia" w:ascii="仿宋_GB2312" w:eastAsia="仿宋_GB2312"/>
          <w:color w:val="FF0000"/>
          <w:sz w:val="32"/>
          <w:szCs w:val="32"/>
          <w:lang w:val="en-US" w:eastAsia="zh-CN" w:bidi="ar"/>
        </w:rPr>
        <w:t>0</w:t>
      </w:r>
      <w:r>
        <w:rPr>
          <w:rFonts w:hint="eastAsia" w:ascii="仿宋_GB2312" w:eastAsia="仿宋_GB2312"/>
          <w:sz w:val="32"/>
          <w:szCs w:val="32"/>
          <w:lang w:bidi="ar"/>
        </w:rPr>
        <w:t>个政府性基金预算项目开展绩效自评，共涉及资金</w:t>
      </w:r>
      <w:r>
        <w:rPr>
          <w:rFonts w:hint="eastAsia" w:ascii="仿宋_GB2312" w:eastAsia="仿宋_GB2312"/>
          <w:color w:val="FF0000"/>
          <w:sz w:val="32"/>
          <w:szCs w:val="32"/>
          <w:lang w:val="en-US" w:eastAsia="zh-CN" w:bidi="ar"/>
        </w:rPr>
        <w:t>0</w:t>
      </w:r>
      <w:r>
        <w:rPr>
          <w:rFonts w:hint="eastAsia" w:ascii="仿宋_GB2312" w:eastAsia="仿宋_GB2312"/>
          <w:sz w:val="32"/>
          <w:szCs w:val="32"/>
          <w:lang w:bidi="ar"/>
        </w:rPr>
        <w:t>万元，占政府性基金预算项目支出总额的</w:t>
      </w:r>
      <w:r>
        <w:rPr>
          <w:rFonts w:hint="eastAsia" w:ascii="仿宋_GB2312" w:eastAsia="仿宋_GB2312"/>
          <w:color w:val="FF0000"/>
          <w:sz w:val="32"/>
          <w:szCs w:val="32"/>
          <w:lang w:val="en-US" w:eastAsia="zh-CN" w:bidi="ar"/>
        </w:rPr>
        <w:t>0</w:t>
      </w:r>
      <w:r>
        <w:rPr>
          <w:rFonts w:hint="eastAsia" w:ascii="仿宋_GB2312" w:eastAsia="仿宋_GB2312"/>
          <w:sz w:val="32"/>
          <w:szCs w:val="32"/>
          <w:lang w:bidi="ar"/>
        </w:rPr>
        <w:t>%。组织对</w:t>
      </w:r>
      <w:r>
        <w:rPr>
          <w:rFonts w:hint="default" w:ascii="仿宋_GB2312" w:eastAsia="仿宋_GB2312"/>
          <w:sz w:val="32"/>
          <w:szCs w:val="32"/>
          <w:lang w:val="en-US" w:bidi="ar"/>
        </w:rPr>
        <w:t>2024</w:t>
      </w:r>
      <w:r>
        <w:rPr>
          <w:rFonts w:hint="eastAsia" w:ascii="仿宋_GB2312" w:eastAsia="仿宋_GB2312"/>
          <w:sz w:val="32"/>
          <w:szCs w:val="32"/>
          <w:lang w:bidi="ar"/>
        </w:rPr>
        <w:t>年度</w:t>
      </w:r>
      <w:r>
        <w:rPr>
          <w:rFonts w:hint="eastAsia" w:ascii="仿宋_GB2312" w:eastAsia="仿宋_GB2312"/>
          <w:color w:val="FF0000"/>
          <w:sz w:val="32"/>
          <w:szCs w:val="32"/>
          <w:lang w:val="en-US" w:eastAsia="zh-CN" w:bidi="ar"/>
        </w:rPr>
        <w:t>0</w:t>
      </w:r>
      <w:r>
        <w:rPr>
          <w:rFonts w:hint="eastAsia" w:ascii="仿宋_GB2312" w:eastAsia="仿宋_GB2312"/>
          <w:sz w:val="32"/>
          <w:szCs w:val="32"/>
          <w:lang w:bidi="ar"/>
        </w:rPr>
        <w:t>个国有资本经营预算项目开展绩效自评，共涉及资金</w:t>
      </w:r>
      <w:r>
        <w:rPr>
          <w:rFonts w:hint="eastAsia" w:ascii="仿宋_GB2312" w:eastAsia="仿宋_GB2312"/>
          <w:sz w:val="32"/>
          <w:szCs w:val="32"/>
          <w:lang w:val="en-US" w:eastAsia="zh-CN" w:bidi="ar"/>
        </w:rPr>
        <w:t>0</w:t>
      </w:r>
      <w:r>
        <w:rPr>
          <w:rFonts w:hint="eastAsia" w:ascii="仿宋_GB2312" w:eastAsia="仿宋_GB2312"/>
          <w:sz w:val="32"/>
          <w:szCs w:val="32"/>
          <w:lang w:bidi="ar"/>
        </w:rPr>
        <w:t>万元，占国有资本经营预算项目支出总额的</w:t>
      </w:r>
      <w:r>
        <w:rPr>
          <w:rFonts w:hint="eastAsia" w:ascii="仿宋_GB2312" w:eastAsia="仿宋_GB2312"/>
          <w:color w:val="FF0000"/>
          <w:sz w:val="32"/>
          <w:szCs w:val="32"/>
          <w:lang w:val="en-US" w:eastAsia="zh-CN" w:bidi="ar"/>
        </w:rPr>
        <w:t>0</w:t>
      </w:r>
      <w:r>
        <w:rPr>
          <w:rFonts w:hint="eastAsia" w:ascii="仿宋_GB2312" w:eastAsia="仿宋_GB2312"/>
          <w:sz w:val="32"/>
          <w:szCs w:val="32"/>
          <w:lang w:bidi="ar"/>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共组织对</w:t>
      </w:r>
      <w:r>
        <w:rPr>
          <w:rFonts w:hint="eastAsia" w:ascii="仿宋_GB2312" w:eastAsia="仿宋_GB2312"/>
          <w:sz w:val="32"/>
          <w:szCs w:val="32"/>
          <w:lang w:val="en-US" w:eastAsia="zh-CN"/>
        </w:rPr>
        <w:t>0</w:t>
      </w:r>
      <w:r>
        <w:rPr>
          <w:rFonts w:hint="eastAsia" w:ascii="仿宋_GB2312" w:eastAsia="仿宋_GB2312"/>
          <w:sz w:val="32"/>
          <w:szCs w:val="32"/>
        </w:rPr>
        <w:t>个项目开展了</w:t>
      </w:r>
      <w:r>
        <w:rPr>
          <w:rFonts w:hint="eastAsia" w:ascii="仿宋_GB2312" w:eastAsia="仿宋_GB2312"/>
          <w:sz w:val="32"/>
          <w:szCs w:val="32"/>
          <w:lang w:eastAsia="zh-CN"/>
        </w:rPr>
        <w:t>单位</w:t>
      </w:r>
      <w:r>
        <w:rPr>
          <w:rFonts w:hint="eastAsia" w:ascii="仿宋_GB2312" w:eastAsia="仿宋_GB2312"/>
          <w:sz w:val="32"/>
          <w:szCs w:val="32"/>
        </w:rPr>
        <w:t>评价，</w:t>
      </w:r>
      <w:r>
        <w:rPr>
          <w:rFonts w:hint="eastAsia" w:ascii="仿宋_GB2312" w:eastAsia="仿宋_GB2312"/>
          <w:sz w:val="32"/>
          <w:szCs w:val="32"/>
          <w:lang w:bidi="ar"/>
        </w:rPr>
        <w:t>涉及一般公共预算支出</w:t>
      </w:r>
      <w:r>
        <w:rPr>
          <w:rFonts w:hint="eastAsia" w:ascii="仿宋_GB2312" w:eastAsia="仿宋_GB2312"/>
          <w:color w:val="FF0000"/>
          <w:sz w:val="32"/>
          <w:szCs w:val="32"/>
          <w:lang w:val="en-US" w:eastAsia="zh-CN" w:bidi="ar"/>
        </w:rPr>
        <w:t>0</w:t>
      </w:r>
      <w:r>
        <w:rPr>
          <w:rFonts w:hint="eastAsia" w:ascii="仿宋_GB2312" w:eastAsia="仿宋_GB2312"/>
          <w:sz w:val="32"/>
          <w:szCs w:val="32"/>
          <w:lang w:bidi="ar"/>
        </w:rPr>
        <w:t>万元，政府性基金预算支出</w:t>
      </w:r>
      <w:r>
        <w:rPr>
          <w:rFonts w:hint="eastAsia" w:ascii="仿宋_GB2312" w:eastAsia="仿宋_GB2312"/>
          <w:color w:val="FF0000"/>
          <w:sz w:val="32"/>
          <w:szCs w:val="32"/>
          <w:lang w:val="en-US" w:eastAsia="zh-CN" w:bidi="ar"/>
        </w:rPr>
        <w:t>0</w:t>
      </w:r>
      <w:r>
        <w:rPr>
          <w:rFonts w:hint="eastAsia" w:ascii="仿宋_GB2312" w:eastAsia="仿宋_GB2312"/>
          <w:sz w:val="32"/>
          <w:szCs w:val="32"/>
          <w:lang w:bidi="ar"/>
        </w:rPr>
        <w:t>万元，国有资本经营预算支出</w:t>
      </w:r>
      <w:r>
        <w:rPr>
          <w:rFonts w:hint="eastAsia" w:ascii="仿宋_GB2312" w:eastAsia="仿宋_GB2312"/>
          <w:color w:val="FF0000"/>
          <w:sz w:val="32"/>
          <w:szCs w:val="32"/>
          <w:lang w:val="en-US" w:eastAsia="zh-CN" w:bidi="ar"/>
        </w:rPr>
        <w:t>0</w:t>
      </w:r>
      <w:r>
        <w:rPr>
          <w:rFonts w:hint="eastAsia" w:ascii="仿宋_GB2312" w:eastAsia="仿宋_GB2312"/>
          <w:sz w:val="32"/>
          <w:szCs w:val="32"/>
          <w:lang w:bidi="ar"/>
        </w:rPr>
        <w:t>万元。</w:t>
      </w:r>
      <w:r>
        <w:rPr>
          <w:rFonts w:hint="eastAsia" w:ascii="仿宋_GB2312" w:eastAsia="仿宋_GB2312"/>
          <w:sz w:val="32"/>
          <w:szCs w:val="32"/>
        </w:rPr>
        <w:t>从评价情况来看。</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楷体" w:hAnsi="楷体" w:eastAsia="楷体" w:cs="楷体"/>
          <w:bCs/>
          <w:sz w:val="32"/>
          <w:szCs w:val="32"/>
        </w:rPr>
      </w:pPr>
      <w:r>
        <w:rPr>
          <w:rFonts w:hint="eastAsia" w:ascii="楷体" w:hAnsi="楷体" w:eastAsia="楷体" w:cs="楷体"/>
          <w:bCs/>
          <w:sz w:val="32"/>
          <w:szCs w:val="32"/>
        </w:rPr>
        <w:t>（二）</w:t>
      </w:r>
      <w:r>
        <w:rPr>
          <w:rFonts w:hint="eastAsia" w:ascii="楷体" w:hAnsi="楷体" w:eastAsia="楷体" w:cs="楷体"/>
          <w:bCs/>
          <w:sz w:val="32"/>
          <w:szCs w:val="32"/>
          <w:lang w:eastAsia="zh-CN"/>
        </w:rPr>
        <w:t>单位</w:t>
      </w:r>
      <w:r>
        <w:rPr>
          <w:rFonts w:hint="eastAsia" w:ascii="楷体" w:hAnsi="楷体" w:eastAsia="楷体" w:cs="楷体"/>
          <w:bCs/>
          <w:sz w:val="32"/>
          <w:szCs w:val="32"/>
        </w:rPr>
        <w:t>决算中项目绩效自评结果（预算</w:t>
      </w:r>
      <w:r>
        <w:rPr>
          <w:rFonts w:hint="eastAsia" w:ascii="楷体" w:hAnsi="楷体" w:eastAsia="楷体" w:cs="楷体"/>
          <w:bCs/>
          <w:sz w:val="32"/>
          <w:szCs w:val="32"/>
          <w:lang w:eastAsia="zh-CN"/>
        </w:rPr>
        <w:t>单位</w:t>
      </w:r>
      <w:r>
        <w:rPr>
          <w:rFonts w:hint="eastAsia" w:ascii="楷体" w:hAnsi="楷体" w:eastAsia="楷体" w:cs="楷体"/>
          <w:bCs/>
          <w:sz w:val="32"/>
          <w:szCs w:val="32"/>
        </w:rPr>
        <w:t>、单位可根据实际情况反映重点项目绩效自评结果）</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参照如下格式说明（表述应与决算内容保持一致）：我</w:t>
      </w:r>
      <w:r>
        <w:rPr>
          <w:rFonts w:hint="eastAsia" w:ascii="仿宋_GB2312" w:eastAsia="仿宋_GB2312"/>
          <w:sz w:val="32"/>
          <w:szCs w:val="32"/>
          <w:lang w:eastAsia="zh-CN"/>
        </w:rPr>
        <w:t>单位</w:t>
      </w:r>
      <w:r>
        <w:rPr>
          <w:rFonts w:hint="eastAsia" w:ascii="仿宋_GB2312" w:eastAsia="仿宋_GB2312"/>
          <w:sz w:val="32"/>
          <w:szCs w:val="32"/>
        </w:rPr>
        <w:t>在</w:t>
      </w:r>
      <w:r>
        <w:rPr>
          <w:rFonts w:hint="eastAsia" w:ascii="仿宋_GB2312" w:eastAsia="仿宋_GB2312"/>
          <w:sz w:val="32"/>
          <w:szCs w:val="32"/>
          <w:lang w:eastAsia="zh-CN"/>
        </w:rPr>
        <w:t>单位</w:t>
      </w:r>
      <w:r>
        <w:rPr>
          <w:rFonts w:hint="eastAsia" w:ascii="仿宋_GB2312" w:eastAsia="仿宋_GB2312"/>
          <w:sz w:val="32"/>
          <w:szCs w:val="32"/>
        </w:rPr>
        <w:t>决算中反映</w:t>
      </w:r>
      <w:r>
        <w:rPr>
          <w:rFonts w:hint="eastAsia" w:ascii="仿宋_GB2312" w:eastAsia="仿宋_GB2312"/>
          <w:color w:val="FF0000"/>
          <w:sz w:val="32"/>
          <w:szCs w:val="32"/>
          <w:lang w:val="en-US" w:eastAsia="zh-CN"/>
        </w:rPr>
        <w:t>0</w:t>
      </w:r>
      <w:r>
        <w:rPr>
          <w:rFonts w:hint="eastAsia" w:ascii="仿宋_GB2312" w:eastAsia="仿宋_GB2312"/>
          <w:sz w:val="32"/>
          <w:szCs w:val="32"/>
        </w:rPr>
        <w:t>个项目绩效自评结果（包括项目绩效自评表和项目绩效自评报告）。</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项目绩效自评表：</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项目绩效自评报告：根据年初设定的绩效目标，项目绩效自评得分为分。全年预算数为</w:t>
      </w:r>
      <w:r>
        <w:rPr>
          <w:rFonts w:hint="eastAsia" w:ascii="仿宋_GB2312" w:eastAsia="仿宋_GB2312"/>
          <w:color w:val="FF0000"/>
          <w:sz w:val="32"/>
          <w:szCs w:val="32"/>
          <w:lang w:val="en-US" w:eastAsia="zh-CN"/>
        </w:rPr>
        <w:t>0</w:t>
      </w:r>
      <w:r>
        <w:rPr>
          <w:rFonts w:hint="eastAsia" w:ascii="仿宋_GB2312" w:eastAsia="仿宋_GB2312"/>
          <w:sz w:val="32"/>
          <w:szCs w:val="32"/>
        </w:rPr>
        <w:t>万元，执行数为</w:t>
      </w:r>
      <w:r>
        <w:rPr>
          <w:rFonts w:hint="eastAsia" w:ascii="仿宋_GB2312" w:eastAsia="仿宋_GB2312"/>
          <w:color w:val="FF0000"/>
          <w:sz w:val="32"/>
          <w:szCs w:val="32"/>
          <w:lang w:val="en-US" w:eastAsia="zh-CN"/>
        </w:rPr>
        <w:t>0</w:t>
      </w:r>
      <w:r>
        <w:rPr>
          <w:rFonts w:hint="eastAsia" w:ascii="仿宋_GB2312" w:eastAsia="仿宋_GB2312"/>
          <w:sz w:val="32"/>
          <w:szCs w:val="32"/>
        </w:rPr>
        <w:t>万元，完成预算的</w:t>
      </w:r>
      <w:r>
        <w:rPr>
          <w:rFonts w:hint="eastAsia" w:ascii="仿宋_GB2312" w:eastAsia="仿宋_GB2312"/>
          <w:color w:val="FF0000"/>
          <w:sz w:val="32"/>
          <w:szCs w:val="32"/>
          <w:lang w:val="en-US" w:eastAsia="zh-CN"/>
        </w:rPr>
        <w:t>0</w:t>
      </w:r>
      <w:r>
        <w:rPr>
          <w:rFonts w:hint="eastAsia" w:ascii="仿宋_GB2312" w:eastAsia="仿宋_GB2312"/>
          <w:sz w:val="32"/>
          <w:szCs w:val="32"/>
        </w:rPr>
        <w:t>%。项目绩效目标完成情况。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outlineLvl w:val="1"/>
        <w:rPr>
          <w:rFonts w:hint="eastAsia" w:ascii="楷体" w:hAnsi="楷体" w:eastAsia="楷体" w:cs="楷体"/>
          <w:bCs/>
          <w:sz w:val="32"/>
          <w:szCs w:val="32"/>
        </w:rPr>
      </w:pPr>
      <w:bookmarkStart w:id="108" w:name="_Toc13340"/>
      <w:r>
        <w:rPr>
          <w:rFonts w:hint="eastAsia" w:ascii="楷体" w:hAnsi="楷体" w:eastAsia="楷体" w:cs="楷体"/>
          <w:bCs/>
          <w:sz w:val="32"/>
          <w:szCs w:val="32"/>
        </w:rPr>
        <w:t>（三）</w:t>
      </w:r>
      <w:r>
        <w:rPr>
          <w:rFonts w:hint="eastAsia" w:ascii="楷体" w:hAnsi="楷体" w:eastAsia="楷体" w:cs="楷体"/>
          <w:bCs/>
          <w:sz w:val="32"/>
          <w:szCs w:val="32"/>
          <w:lang w:eastAsia="zh-CN"/>
        </w:rPr>
        <w:t>单位</w:t>
      </w:r>
      <w:r>
        <w:rPr>
          <w:rFonts w:hint="eastAsia" w:ascii="楷体" w:hAnsi="楷体" w:eastAsia="楷体" w:cs="楷体"/>
          <w:bCs/>
          <w:sz w:val="32"/>
          <w:szCs w:val="32"/>
        </w:rPr>
        <w:t>评价结果（预算</w:t>
      </w:r>
      <w:r>
        <w:rPr>
          <w:rFonts w:hint="eastAsia" w:ascii="楷体" w:hAnsi="楷体" w:eastAsia="楷体" w:cs="楷体"/>
          <w:bCs/>
          <w:sz w:val="32"/>
          <w:szCs w:val="32"/>
          <w:lang w:eastAsia="zh-CN"/>
        </w:rPr>
        <w:t>单位</w:t>
      </w:r>
      <w:r>
        <w:rPr>
          <w:rFonts w:hint="eastAsia" w:ascii="楷体" w:hAnsi="楷体" w:eastAsia="楷体" w:cs="楷体"/>
          <w:bCs/>
          <w:sz w:val="32"/>
          <w:szCs w:val="32"/>
        </w:rPr>
        <w:t>填写，</w:t>
      </w:r>
      <w:r>
        <w:rPr>
          <w:rFonts w:hint="eastAsia" w:ascii="楷体" w:hAnsi="楷体" w:eastAsia="楷体" w:cs="楷体"/>
          <w:bCs/>
          <w:sz w:val="32"/>
          <w:szCs w:val="32"/>
          <w:lang w:eastAsia="zh-CN"/>
        </w:rPr>
        <w:t>单位</w:t>
      </w:r>
      <w:r>
        <w:rPr>
          <w:rFonts w:hint="eastAsia" w:ascii="楷体" w:hAnsi="楷体" w:eastAsia="楷体" w:cs="楷体"/>
          <w:bCs/>
          <w:sz w:val="32"/>
          <w:szCs w:val="32"/>
        </w:rPr>
        <w:t>所属单位不需填写）</w:t>
      </w:r>
      <w:bookmarkEnd w:id="108"/>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sz w:val="32"/>
          <w:szCs w:val="32"/>
        </w:rPr>
      </w:pPr>
      <w:r>
        <w:rPr>
          <w:rFonts w:hint="eastAsia" w:ascii="仿宋_GB2312" w:hAnsi="仿宋_GB2312" w:eastAsia="仿宋_GB2312" w:cs="仿宋_GB2312"/>
          <w:kern w:val="0"/>
          <w:sz w:val="32"/>
          <w:szCs w:val="32"/>
          <w:lang w:eastAsia="zh-CN" w:bidi="ar"/>
        </w:rPr>
        <w:t>单位</w:t>
      </w:r>
      <w:r>
        <w:rPr>
          <w:rFonts w:hint="eastAsia" w:ascii="仿宋_GB2312" w:hAnsi="仿宋_GB2312" w:eastAsia="仿宋_GB2312" w:cs="仿宋_GB2312"/>
          <w:kern w:val="0"/>
          <w:sz w:val="32"/>
          <w:szCs w:val="32"/>
          <w:lang w:bidi="ar"/>
        </w:rPr>
        <w:t>评价项目数量在3个以内的，至少将1个</w:t>
      </w:r>
      <w:r>
        <w:rPr>
          <w:rFonts w:hint="eastAsia" w:ascii="仿宋_GB2312" w:hAnsi="仿宋_GB2312" w:eastAsia="仿宋_GB2312" w:cs="仿宋_GB2312"/>
          <w:kern w:val="0"/>
          <w:sz w:val="32"/>
          <w:szCs w:val="32"/>
          <w:lang w:eastAsia="zh-CN" w:bidi="ar"/>
        </w:rPr>
        <w:t>单位</w:t>
      </w:r>
      <w:r>
        <w:rPr>
          <w:rFonts w:hint="eastAsia" w:ascii="仿宋_GB2312" w:hAnsi="仿宋_GB2312" w:eastAsia="仿宋_GB2312" w:cs="仿宋_GB2312"/>
          <w:kern w:val="0"/>
          <w:sz w:val="32"/>
          <w:szCs w:val="32"/>
          <w:lang w:bidi="ar"/>
        </w:rPr>
        <w:t>评价报告向社会公开；</w:t>
      </w:r>
      <w:r>
        <w:rPr>
          <w:rFonts w:hint="eastAsia" w:ascii="仿宋_GB2312" w:hAnsi="仿宋_GB2312" w:eastAsia="仿宋_GB2312" w:cs="仿宋_GB2312"/>
          <w:kern w:val="0"/>
          <w:sz w:val="32"/>
          <w:szCs w:val="32"/>
          <w:lang w:eastAsia="zh-CN" w:bidi="ar"/>
        </w:rPr>
        <w:t>单位</w:t>
      </w:r>
      <w:r>
        <w:rPr>
          <w:rFonts w:hint="eastAsia" w:ascii="仿宋_GB2312" w:hAnsi="仿宋_GB2312" w:eastAsia="仿宋_GB2312" w:cs="仿宋_GB2312"/>
          <w:kern w:val="0"/>
          <w:sz w:val="32"/>
          <w:szCs w:val="32"/>
          <w:lang w:bidi="ar"/>
        </w:rPr>
        <w:t>评价项目数量大于3个的，至少将2个</w:t>
      </w:r>
      <w:r>
        <w:rPr>
          <w:rFonts w:hint="eastAsia" w:ascii="仿宋_GB2312" w:hAnsi="仿宋_GB2312" w:eastAsia="仿宋_GB2312" w:cs="仿宋_GB2312"/>
          <w:kern w:val="0"/>
          <w:sz w:val="32"/>
          <w:szCs w:val="32"/>
          <w:lang w:eastAsia="zh-CN" w:bidi="ar"/>
        </w:rPr>
        <w:t>单位</w:t>
      </w:r>
      <w:r>
        <w:rPr>
          <w:rFonts w:hint="eastAsia" w:ascii="仿宋_GB2312" w:hAnsi="仿宋_GB2312" w:eastAsia="仿宋_GB2312" w:cs="仿宋_GB2312"/>
          <w:kern w:val="0"/>
          <w:sz w:val="32"/>
          <w:szCs w:val="32"/>
          <w:lang w:bidi="ar"/>
        </w:rPr>
        <w:t>评价报告向社会公开。</w:t>
      </w:r>
      <w:r>
        <w:rPr>
          <w:rFonts w:hint="eastAsia" w:ascii="仿宋_GB2312" w:eastAsia="仿宋_GB2312"/>
          <w:sz w:val="32"/>
          <w:szCs w:val="32"/>
        </w:rPr>
        <w:t>报告框架可参照《海南省财政厅关于印发&lt;海南省项目支出绩效评价管理实施办法&gt;的通知》（琼财绩〔2020〕594号）填写。</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outlineLvl w:val="1"/>
        <w:rPr>
          <w:rFonts w:hint="eastAsia" w:ascii="楷体" w:hAnsi="楷体" w:eastAsia="楷体" w:cs="楷体"/>
          <w:bCs/>
          <w:sz w:val="32"/>
          <w:szCs w:val="32"/>
        </w:rPr>
      </w:pPr>
      <w:bookmarkStart w:id="109" w:name="_Toc10202"/>
      <w:r>
        <w:rPr>
          <w:rFonts w:hint="eastAsia" w:ascii="楷体" w:hAnsi="楷体" w:eastAsia="楷体" w:cs="楷体"/>
          <w:bCs/>
          <w:sz w:val="32"/>
          <w:szCs w:val="32"/>
        </w:rPr>
        <w:t>（四）财政评价结果（如有）</w:t>
      </w:r>
      <w:bookmarkEnd w:id="109"/>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lang w:val="zh-CN"/>
        </w:rPr>
        <w:t>反映财政单位组织开展的预算单位重点项目财政评价情况，如有，可将评价报告附后。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黑体" w:hAnsi="黑体" w:eastAsia="黑体" w:cs="黑体"/>
          <w:bCs/>
          <w:sz w:val="32"/>
          <w:szCs w:val="32"/>
        </w:rPr>
      </w:pPr>
      <w:r>
        <w:rPr>
          <w:rFonts w:hint="eastAsia" w:ascii="黑体" w:hAnsi="黑体" w:eastAsia="黑体" w:cs="黑体"/>
          <w:bCs/>
          <w:sz w:val="32"/>
          <w:szCs w:val="32"/>
        </w:rPr>
        <w:t>十一、其他重要事项情况说明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outlineLvl w:val="1"/>
        <w:rPr>
          <w:rFonts w:hint="eastAsia" w:ascii="楷体" w:hAnsi="楷体" w:eastAsia="楷体" w:cs="楷体"/>
          <w:bCs/>
          <w:sz w:val="32"/>
          <w:szCs w:val="32"/>
        </w:rPr>
      </w:pPr>
      <w:bookmarkStart w:id="110" w:name="_Toc18325_WPSOffice_Level2"/>
      <w:bookmarkStart w:id="111" w:name="_Toc15565_WPSOffice_Level2"/>
      <w:bookmarkStart w:id="112" w:name="_Toc5978_WPSOffice_Level2"/>
      <w:bookmarkStart w:id="113" w:name="_Toc32639_WPSOffice_Level2"/>
      <w:bookmarkStart w:id="114" w:name="_Toc23598_WPSOffice_Level2"/>
      <w:bookmarkStart w:id="115" w:name="_Toc5436"/>
      <w:bookmarkStart w:id="116" w:name="_Toc15262_WPSOffice_Level2"/>
      <w:r>
        <w:rPr>
          <w:rFonts w:hint="eastAsia" w:ascii="楷体" w:hAnsi="楷体" w:eastAsia="楷体" w:cs="楷体"/>
          <w:bCs/>
          <w:sz w:val="32"/>
          <w:szCs w:val="32"/>
        </w:rPr>
        <w:t>（一）机关运行经费支出情况</w:t>
      </w:r>
      <w:bookmarkEnd w:id="110"/>
      <w:bookmarkEnd w:id="111"/>
      <w:bookmarkEnd w:id="112"/>
      <w:bookmarkEnd w:id="113"/>
      <w:bookmarkEnd w:id="114"/>
      <w:bookmarkEnd w:id="115"/>
      <w:bookmarkEnd w:id="116"/>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w:t>
      </w:r>
      <w:r>
        <w:rPr>
          <w:rFonts w:hint="eastAsia" w:ascii="仿宋_GB2312" w:hAnsi="ˎ̥" w:eastAsia="仿宋_GB2312"/>
          <w:sz w:val="32"/>
          <w:szCs w:val="32"/>
          <w:lang w:eastAsia="zh-CN"/>
        </w:rPr>
        <w:t>屯昌县南吕镇</w:t>
      </w:r>
      <w:r>
        <w:rPr>
          <w:rFonts w:hint="eastAsia" w:ascii="仿宋_GB2312" w:hAnsi="ˎ̥" w:eastAsia="仿宋_GB2312"/>
          <w:color w:val="FF0000"/>
          <w:sz w:val="32"/>
          <w:szCs w:val="32"/>
          <w:lang w:val="en-US" w:eastAsia="zh-CN"/>
        </w:rPr>
        <w:t>南吕中学</w:t>
      </w:r>
      <w:r>
        <w:rPr>
          <w:rFonts w:hint="eastAsia" w:ascii="仿宋_GB2312" w:hAnsi="ˎ̥" w:eastAsia="仿宋_GB2312"/>
          <w:sz w:val="32"/>
          <w:szCs w:val="32"/>
          <w:lang w:eastAsia="zh-CN"/>
        </w:rPr>
        <w:t>单位</w:t>
      </w:r>
      <w:r>
        <w:rPr>
          <w:rFonts w:hint="eastAsia" w:ascii="仿宋_GB2312" w:hAnsi="ˎ̥" w:eastAsia="仿宋_GB2312"/>
          <w:sz w:val="32"/>
          <w:szCs w:val="32"/>
        </w:rPr>
        <w:t>机关运行经费</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万元（为</w:t>
      </w:r>
      <w:r>
        <w:rPr>
          <w:rFonts w:hint="eastAsia" w:ascii="仿宋_GB2312" w:hAnsi="ˎ̥" w:eastAsia="仿宋_GB2312"/>
          <w:sz w:val="32"/>
          <w:szCs w:val="32"/>
          <w:lang w:eastAsia="zh-CN"/>
        </w:rPr>
        <w:t>单位</w:t>
      </w:r>
      <w:r>
        <w:rPr>
          <w:rFonts w:hint="eastAsia" w:ascii="仿宋_GB2312" w:hAnsi="ˎ̥" w:eastAsia="仿宋_GB2312"/>
          <w:sz w:val="32"/>
          <w:szCs w:val="32"/>
        </w:rPr>
        <w:t>决算中行政单位和参公事业单位财政拨款基本支出中公用经费支出之和，事业单位没有机关运行经费支出），比年初预算增加（减少）</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w:t>
      </w:r>
      <w:r>
        <w:rPr>
          <w:rFonts w:hint="eastAsia" w:ascii="仿宋_GB2312" w:hAnsi="ˎ̥" w:eastAsia="仿宋_GB2312"/>
          <w:sz w:val="32"/>
          <w:szCs w:val="32"/>
          <w:lang w:val="en-US" w:eastAsia="zh-CN"/>
        </w:rPr>
        <w:t>完成预算的</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w:t>
      </w:r>
      <w:r>
        <w:rPr>
          <w:rFonts w:hint="eastAsia" w:ascii="仿宋_GB2312" w:hAnsi="ˎ̥" w:eastAsia="仿宋_GB2312"/>
          <w:sz w:val="32"/>
          <w:szCs w:val="32"/>
          <w:lang w:eastAsia="zh-CN"/>
        </w:rPr>
        <w:t>；</w:t>
      </w:r>
      <w:r>
        <w:rPr>
          <w:rFonts w:hint="eastAsia" w:ascii="仿宋_GB2312" w:hAnsi="ˎ̥" w:eastAsia="仿宋_GB2312"/>
          <w:sz w:val="32"/>
          <w:szCs w:val="32"/>
          <w:lang w:val="en-US" w:eastAsia="zh-CN"/>
        </w:rPr>
        <w:t>与2023年度相比，机关运行经费</w:t>
      </w:r>
      <w:r>
        <w:rPr>
          <w:rFonts w:hint="eastAsia" w:ascii="仿宋_GB2312" w:hAnsi="ˎ̥" w:eastAsia="仿宋_GB2312"/>
          <w:sz w:val="32"/>
          <w:szCs w:val="32"/>
        </w:rPr>
        <w:t>增加（减少）</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w:t>
      </w:r>
      <w:r>
        <w:rPr>
          <w:rFonts w:hint="eastAsia" w:ascii="仿宋_GB2312" w:hAnsi="ˎ̥" w:eastAsia="仿宋_GB2312"/>
          <w:sz w:val="32"/>
          <w:szCs w:val="32"/>
          <w:lang w:eastAsia="zh-CN"/>
        </w:rPr>
        <w:t>，</w:t>
      </w:r>
      <w:r>
        <w:rPr>
          <w:rFonts w:hint="eastAsia" w:ascii="仿宋_GB2312" w:hAnsi="ˎ̥" w:eastAsia="仿宋_GB2312"/>
          <w:sz w:val="32"/>
          <w:szCs w:val="32"/>
          <w:lang w:val="en-US" w:eastAsia="zh-CN"/>
        </w:rPr>
        <w:t>增长（下降）</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lang w:val="en-US" w:eastAsia="zh-CN"/>
        </w:rPr>
        <w:t>%。</w:t>
      </w:r>
      <w:r>
        <w:rPr>
          <w:rFonts w:hint="eastAsia" w:ascii="仿宋_GB2312" w:hAnsi="ˎ̥" w:eastAsia="仿宋_GB2312"/>
          <w:sz w:val="32"/>
          <w:szCs w:val="32"/>
        </w:rPr>
        <w:t>主要原因是。</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outlineLvl w:val="1"/>
        <w:rPr>
          <w:rFonts w:hint="eastAsia" w:ascii="楷体" w:hAnsi="楷体" w:eastAsia="楷体" w:cs="楷体"/>
          <w:bCs/>
          <w:sz w:val="32"/>
          <w:szCs w:val="32"/>
        </w:rPr>
      </w:pPr>
      <w:bookmarkStart w:id="117" w:name="_Toc3131_WPSOffice_Level2"/>
      <w:bookmarkStart w:id="118" w:name="_Toc32689_WPSOffice_Level2"/>
      <w:bookmarkStart w:id="119" w:name="_Toc13084_WPSOffice_Level2"/>
      <w:bookmarkStart w:id="120" w:name="_Toc13365"/>
      <w:bookmarkStart w:id="121" w:name="_Toc30383_WPSOffice_Level2"/>
      <w:bookmarkStart w:id="122" w:name="_Toc23966_WPSOffice_Level2"/>
      <w:bookmarkStart w:id="123" w:name="_Toc25333_WPSOffice_Level2"/>
      <w:r>
        <w:rPr>
          <w:rFonts w:hint="eastAsia" w:ascii="楷体" w:hAnsi="楷体" w:eastAsia="楷体" w:cs="楷体"/>
          <w:bCs/>
          <w:sz w:val="32"/>
          <w:szCs w:val="32"/>
        </w:rPr>
        <w:t>（二）政府采购支出情况</w:t>
      </w:r>
      <w:bookmarkEnd w:id="117"/>
      <w:bookmarkEnd w:id="118"/>
      <w:bookmarkEnd w:id="119"/>
      <w:bookmarkEnd w:id="120"/>
      <w:bookmarkEnd w:id="121"/>
      <w:bookmarkEnd w:id="122"/>
      <w:bookmarkEnd w:id="123"/>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left"/>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w:t>
      </w:r>
      <w:r>
        <w:rPr>
          <w:rFonts w:hint="eastAsia" w:ascii="仿宋_GB2312" w:hAnsi="ˎ̥" w:eastAsia="仿宋_GB2312"/>
          <w:sz w:val="32"/>
          <w:szCs w:val="32"/>
          <w:lang w:eastAsia="zh-CN"/>
        </w:rPr>
        <w:t>单位</w:t>
      </w:r>
      <w:r>
        <w:rPr>
          <w:rFonts w:hint="eastAsia" w:ascii="仿宋_GB2312" w:hAnsi="ˎ̥" w:eastAsia="仿宋_GB2312"/>
          <w:sz w:val="32"/>
          <w:szCs w:val="32"/>
        </w:rPr>
        <w:t>政府采购支出总额</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万元，其中：政府采购货物支出</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万元、政府采购工程支出</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万元、政府采购服务支出</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万元。授予中小企业合同金额</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万元，占政府采购支出总额的</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%，其中：授予小微企业合同金额</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万元，占</w:t>
      </w:r>
      <w:r>
        <w:rPr>
          <w:rFonts w:hint="eastAsia" w:ascii="仿宋_GB2312" w:hAnsi="仿宋_GB2312" w:eastAsia="仿宋_GB2312" w:cs="仿宋_GB2312"/>
          <w:kern w:val="0"/>
          <w:sz w:val="32"/>
          <w:szCs w:val="32"/>
          <w:lang w:bidi="ar"/>
        </w:rPr>
        <w:t>授予中小企业合同金额</w:t>
      </w:r>
      <w:r>
        <w:rPr>
          <w:rFonts w:hint="eastAsia" w:ascii="仿宋_GB2312" w:hAnsi="仿宋_GB2312" w:eastAsia="仿宋_GB2312" w:cs="仿宋_GB2312"/>
          <w:sz w:val="32"/>
          <w:szCs w:val="32"/>
        </w:rPr>
        <w:t>的</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outlineLvl w:val="1"/>
        <w:rPr>
          <w:rFonts w:hint="eastAsia" w:ascii="楷体" w:hAnsi="楷体" w:eastAsia="楷体" w:cs="楷体"/>
          <w:bCs/>
          <w:sz w:val="32"/>
          <w:szCs w:val="32"/>
        </w:rPr>
      </w:pPr>
      <w:bookmarkStart w:id="124" w:name="_Toc527_WPSOffice_Level2"/>
      <w:bookmarkStart w:id="125" w:name="_Toc29584_WPSOffice_Level2"/>
      <w:bookmarkStart w:id="126" w:name="_Toc10902_WPSOffice_Level2"/>
      <w:bookmarkStart w:id="127" w:name="_Toc19989_WPSOffice_Level2"/>
      <w:bookmarkStart w:id="128" w:name="_Toc15129_WPSOffice_Level2"/>
      <w:bookmarkStart w:id="129" w:name="_Toc6016_WPSOffice_Level2"/>
      <w:bookmarkStart w:id="130" w:name="_Toc7967"/>
      <w:r>
        <w:rPr>
          <w:rFonts w:hint="eastAsia" w:ascii="楷体" w:hAnsi="楷体" w:eastAsia="楷体" w:cs="楷体"/>
          <w:bCs/>
          <w:sz w:val="32"/>
          <w:szCs w:val="32"/>
        </w:rPr>
        <w:t>（三）国有资产占用情况</w:t>
      </w:r>
      <w:bookmarkEnd w:id="124"/>
      <w:bookmarkEnd w:id="125"/>
      <w:bookmarkEnd w:id="126"/>
      <w:bookmarkEnd w:id="127"/>
      <w:bookmarkEnd w:id="128"/>
      <w:bookmarkEnd w:id="129"/>
      <w:bookmarkEnd w:id="130"/>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仿宋_GB2312" w:hAnsi="ˎ̥" w:eastAsia="仿宋_GB2312"/>
          <w:sz w:val="32"/>
          <w:szCs w:val="32"/>
          <w:lang w:val="en-US" w:eastAsia="zh-CN"/>
        </w:rPr>
      </w:pPr>
      <w:r>
        <w:rPr>
          <w:rFonts w:hint="eastAsia" w:ascii="仿宋_GB2312" w:hAnsi="ˎ̥" w:eastAsia="仿宋_GB2312"/>
          <w:bCs/>
          <w:sz w:val="32"/>
          <w:szCs w:val="32"/>
        </w:rPr>
        <w:t>截至</w:t>
      </w:r>
      <w:r>
        <w:rPr>
          <w:rFonts w:hint="default" w:ascii="仿宋_GB2312" w:hAnsi="ˎ̥" w:eastAsia="仿宋_GB2312"/>
          <w:bCs/>
          <w:sz w:val="32"/>
          <w:szCs w:val="32"/>
          <w:lang w:val="en-US"/>
        </w:rPr>
        <w:t>2024</w:t>
      </w:r>
      <w:r>
        <w:rPr>
          <w:rFonts w:hint="eastAsia" w:ascii="仿宋_GB2312" w:hAnsi="ˎ̥" w:eastAsia="仿宋_GB2312"/>
          <w:bCs/>
          <w:sz w:val="32"/>
          <w:szCs w:val="32"/>
        </w:rPr>
        <w:t>年12月31日，本</w:t>
      </w:r>
      <w:r>
        <w:rPr>
          <w:rFonts w:hint="eastAsia" w:ascii="仿宋_GB2312" w:hAnsi="ˎ̥" w:eastAsia="仿宋_GB2312"/>
          <w:bCs/>
          <w:sz w:val="32"/>
          <w:szCs w:val="32"/>
          <w:lang w:eastAsia="zh-CN"/>
        </w:rPr>
        <w:t>单位</w:t>
      </w:r>
      <w:r>
        <w:rPr>
          <w:rFonts w:hint="eastAsia" w:ascii="仿宋_GB2312" w:hAnsi="ˎ̥" w:eastAsia="仿宋_GB2312"/>
          <w:bCs/>
          <w:sz w:val="32"/>
          <w:szCs w:val="32"/>
        </w:rPr>
        <w:t>拥有</w:t>
      </w:r>
      <w:r>
        <w:rPr>
          <w:rFonts w:hint="eastAsia" w:ascii="仿宋_GB2312" w:hAnsi="ˎ̥" w:eastAsia="仿宋_GB2312"/>
          <w:sz w:val="32"/>
          <w:szCs w:val="32"/>
        </w:rPr>
        <w:t>房屋面积</w:t>
      </w:r>
      <w:r>
        <w:rPr>
          <w:rFonts w:ascii="仿宋_GB2312" w:hAnsi="ˎ̥"/>
          <w:sz w:val="32"/>
          <w:szCs w:val="32"/>
        </w:rPr>
        <w:t>13743</w:t>
      </w:r>
      <w:r>
        <w:rPr>
          <w:rFonts w:hint="eastAsia" w:ascii="仿宋_GB2312" w:hAnsi="ˎ̥" w:eastAsia="仿宋_GB2312"/>
          <w:sz w:val="32"/>
          <w:szCs w:val="32"/>
        </w:rPr>
        <w:t>平方米</w:t>
      </w:r>
      <w:r>
        <w:rPr>
          <w:rFonts w:hint="eastAsia" w:ascii="仿宋_GB2312" w:hAnsi="ˎ̥" w:eastAsia="仿宋_GB2312"/>
          <w:sz w:val="32"/>
          <w:szCs w:val="32"/>
          <w:lang w:eastAsia="zh-CN"/>
        </w:rPr>
        <w:t>。</w:t>
      </w:r>
      <w:r>
        <w:rPr>
          <w:rFonts w:hint="eastAsia" w:ascii="仿宋_GB2312" w:hAnsi="ˎ̥" w:eastAsia="仿宋_GB2312"/>
          <w:sz w:val="32"/>
          <w:szCs w:val="32"/>
        </w:rPr>
        <w:t>本</w:t>
      </w:r>
      <w:r>
        <w:rPr>
          <w:rFonts w:hint="eastAsia" w:ascii="仿宋_GB2312" w:hAnsi="ˎ̥" w:eastAsia="仿宋_GB2312"/>
          <w:sz w:val="32"/>
          <w:szCs w:val="32"/>
          <w:lang w:eastAsia="zh-CN"/>
        </w:rPr>
        <w:t>单位</w:t>
      </w:r>
      <w:r>
        <w:rPr>
          <w:rFonts w:hint="eastAsia" w:ascii="仿宋_GB2312" w:hAnsi="ˎ̥" w:eastAsia="仿宋_GB2312"/>
          <w:sz w:val="32"/>
          <w:szCs w:val="32"/>
        </w:rPr>
        <w:t>共有车辆</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辆，其中，副部（省）级及以上领导用车</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辆、主要负责人用车</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辆、机要通信用车</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辆、应急保障用车</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辆、执法执勤用车</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辆、特种专业技术用车</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辆、离退休干部服务用车</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辆、其他用车</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辆，其他用车主要是。</w:t>
      </w:r>
      <w:r>
        <w:rPr>
          <w:rFonts w:hint="eastAsia" w:ascii="仿宋_GB2312" w:hAnsi="ˎ̥" w:eastAsia="仿宋_GB2312"/>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黑体" w:hAnsi="ˎ̥" w:eastAsia="黑体"/>
          <w:sz w:val="32"/>
          <w:szCs w:val="32"/>
        </w:rPr>
      </w:pPr>
      <w:r>
        <w:rPr>
          <w:rFonts w:hint="eastAsia" w:ascii="仿宋_GB2312" w:hAnsi="ˎ̥" w:eastAsia="仿宋_GB2312"/>
          <w:sz w:val="32"/>
          <w:szCs w:val="32"/>
        </w:rPr>
        <w:t>单价100万元（含）以上设备（不含车辆）</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台（套）。</w:t>
      </w:r>
      <w:bookmarkStart w:id="131" w:name="_Toc17580_WPSOffice_Level1"/>
      <w:bookmarkStart w:id="132" w:name="_Toc8874_WPSOffice_Level1"/>
      <w:bookmarkStart w:id="133" w:name="_Toc8808_WPSOffice_Level1"/>
      <w:bookmarkStart w:id="134" w:name="_Toc11039_WPSOffice_Level1"/>
      <w:bookmarkStart w:id="135" w:name="_Toc4398_WPSOffice_Level1"/>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outlineLvl w:val="0"/>
        <w:rPr>
          <w:rFonts w:hint="eastAsia" w:ascii="黑体" w:hAnsi="ˎ̥" w:eastAsia="黑体"/>
          <w:sz w:val="32"/>
          <w:szCs w:val="32"/>
        </w:rPr>
      </w:pPr>
      <w:bookmarkStart w:id="136" w:name="_Toc20300"/>
      <w:r>
        <w:rPr>
          <w:rFonts w:hint="eastAsia" w:ascii="黑体" w:hAnsi="ˎ̥" w:eastAsia="黑体"/>
          <w:sz w:val="32"/>
          <w:szCs w:val="32"/>
        </w:rPr>
        <w:t>第四部分  名词解释</w:t>
      </w:r>
      <w:bookmarkEnd w:id="131"/>
      <w:bookmarkEnd w:id="132"/>
      <w:bookmarkEnd w:id="133"/>
      <w:bookmarkEnd w:id="134"/>
      <w:bookmarkEnd w:id="135"/>
      <w:bookmarkEnd w:id="136"/>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sz w:val="32"/>
          <w:szCs w:val="32"/>
        </w:rPr>
      </w:pPr>
    </w:p>
    <w:p>
      <w:pPr>
        <w:keepNext w:val="0"/>
        <w:keepLines w:val="0"/>
        <w:pageBreakBefore w:val="0"/>
        <w:widowControl w:val="0"/>
        <w:numPr>
          <w:ilvl w:val="0"/>
          <w:numId w:val="2"/>
        </w:numPr>
        <w:kinsoku/>
        <w:wordWrap/>
        <w:overflowPunct/>
        <w:topLinePunct w:val="0"/>
        <w:autoSpaceDE/>
        <w:autoSpaceDN/>
        <w:bidi w:val="0"/>
        <w:adjustRightInd/>
        <w:snapToGrid/>
        <w:spacing w:line="578" w:lineRule="exact"/>
        <w:ind w:firstLine="640" w:firstLineChars="200"/>
        <w:textAlignment w:val="auto"/>
        <w:outlineLvl w:val="1"/>
        <w:rPr>
          <w:rFonts w:hint="eastAsia" w:ascii="仿宋_GB2312" w:hAnsi="ˎ̥" w:eastAsia="仿宋_GB2312"/>
          <w:sz w:val="32"/>
          <w:szCs w:val="32"/>
        </w:rPr>
      </w:pPr>
      <w:bookmarkStart w:id="137" w:name="_Toc21174"/>
      <w:r>
        <w:rPr>
          <w:rFonts w:hint="eastAsia" w:ascii="仿宋_GB2312" w:hAnsi="ˎ̥" w:eastAsia="仿宋_GB2312"/>
          <w:sz w:val="32"/>
          <w:szCs w:val="32"/>
        </w:rPr>
        <w:t>财政拨款收入：指同级政府财政</w:t>
      </w:r>
      <w:r>
        <w:rPr>
          <w:rFonts w:hint="eastAsia" w:ascii="仿宋_GB2312" w:hAnsi="ˎ̥" w:eastAsia="仿宋_GB2312"/>
          <w:sz w:val="32"/>
          <w:szCs w:val="32"/>
          <w:lang w:eastAsia="zh-CN"/>
        </w:rPr>
        <w:t>单位</w:t>
      </w:r>
      <w:r>
        <w:rPr>
          <w:rFonts w:hint="eastAsia" w:ascii="仿宋_GB2312" w:hAnsi="ˎ̥" w:eastAsia="仿宋_GB2312"/>
          <w:sz w:val="32"/>
          <w:szCs w:val="32"/>
        </w:rPr>
        <w:t>当年拨付的各类财政拨款。</w:t>
      </w:r>
      <w:bookmarkEnd w:id="137"/>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二、上级补助收入：指事业单位从主管</w:t>
      </w:r>
      <w:r>
        <w:rPr>
          <w:rFonts w:hint="eastAsia" w:ascii="仿宋_GB2312" w:hAnsi="ˎ̥" w:eastAsia="仿宋_GB2312"/>
          <w:sz w:val="32"/>
          <w:szCs w:val="32"/>
          <w:lang w:eastAsia="zh-CN"/>
        </w:rPr>
        <w:t>单位</w:t>
      </w:r>
      <w:r>
        <w:rPr>
          <w:rFonts w:hint="eastAsia" w:ascii="仿宋_GB2312" w:hAnsi="ˎ̥" w:eastAsia="仿宋_GB2312"/>
          <w:sz w:val="32"/>
          <w:szCs w:val="32"/>
        </w:rPr>
        <w:t>和上级单位取得的非财政补助收入。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三、事业收入：指事业单位开展专业业务活动及辅助活动取得的收入。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四、经营收入：指事业单位在专业业务活动及其辅助活动之外开展非独立核算经营活动取得的收入。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五、附属单位上缴收入：指事业单位取得附属独立核算单位根据有关规定上缴的收入。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六、其他收入：指除上述“财政拨款收入”“事业收入”“上级补助收入”“经营收入”“附属单位上缴收入”等以外的收入。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七、使用非财政拨款结余：指事业单位在当年的“财政拨款收入”“事业收入”“经营收入”“其他收入”等不足以安排当年支出的情况下，使用非同级财政拨款结余资金弥补本年度收支缺口。</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八、年初结转和结余：指以前年度尚未完成、结转到本年按有关规定继续使用的资金，或项目已完成等产生的结余资金。</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九、结余分配：指事业单位缴纳企业所得税以及从非财政拨款结余或经营结余中提取各类结余的情况。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十、年末结转和结余：指本年度或以前年度预算安排、因客观条件发生变化无法按原计划实施，需要延迟到以后年度按有关规定继续使用的资金（不包括事业单位非财政拨款结余和专用结余）。</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十一、基本支出：指为保障机构正常运转、完成日常工作任务而发生的人员支出和公用支出。</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十二、项目支出：指在基本支出之外为完成特定行政任务和事业发展目标所发生的支出。</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十三、经营支出：指事业单位在专业业务活动及其辅助活动之外开展非独立核算经营活动发生的支出。</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四、“三公”经费：纳入本级财政预决算管理的“三公”经费，是指用一般公共预算财政拨款、政府性基金预算财政拨款及国有资本经营预算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及燃料费、维修费、过路过桥费、保险费、安全奖励费用等支出；公务接待费反映单位按规定开支的各类公务接待（含外宾接待）费用。</w:t>
      </w:r>
    </w:p>
    <w:p>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hint="eastAsia" w:ascii="仿宋_GB2312" w:hAnsi="ˎ̥" w:eastAsia="仿宋_GB2312"/>
          <w:sz w:val="32"/>
          <w:szCs w:val="32"/>
        </w:rPr>
      </w:pPr>
      <w:r>
        <w:rPr>
          <w:rFonts w:hint="eastAsia" w:ascii="仿宋_GB2312" w:hAnsi="ˎ̥" w:eastAsia="仿宋_GB2312"/>
          <w:sz w:val="32"/>
          <w:szCs w:val="32"/>
        </w:rPr>
        <w:t>十五、机关运行经费：为保障行政单位（含参照公务员法管理的事业单位）运行使用一般公共预算财政拨款安排的基本支出经费用于购买货物和服务的各项资金，包括办公及印刷费、邮电费、差旅费、会议费、福利费、日常维修费、专用材料及一般设备购置费、办公用房水电费、办公用房取暖费、办公用房物业管理费、公务用车运行维护费以及其他费用等。</w:t>
      </w:r>
    </w:p>
    <w:p>
      <w:pPr>
        <w:keepNext w:val="0"/>
        <w:keepLines w:val="0"/>
        <w:pageBreakBefore w:val="0"/>
        <w:widowControl w:val="0"/>
        <w:kinsoku/>
        <w:wordWrap/>
        <w:overflowPunct/>
        <w:topLinePunct w:val="0"/>
        <w:autoSpaceDE/>
        <w:autoSpaceDN/>
        <w:bidi w:val="0"/>
        <w:adjustRightInd/>
        <w:snapToGrid/>
        <w:spacing w:line="578" w:lineRule="exact"/>
        <w:ind w:firstLine="645"/>
        <w:textAlignment w:val="auto"/>
        <w:outlineLvl w:val="1"/>
        <w:rPr>
          <w:rFonts w:ascii="仿宋_GB2312" w:hAnsi="ˎ̥" w:eastAsia="仿宋_GB2312"/>
          <w:sz w:val="32"/>
          <w:szCs w:val="32"/>
        </w:rPr>
      </w:pPr>
      <w:bookmarkStart w:id="138" w:name="_Toc6290"/>
      <w:r>
        <w:rPr>
          <w:rFonts w:hint="eastAsia" w:ascii="仿宋_GB2312" w:hAnsi="ˎ̥" w:eastAsia="仿宋_GB2312"/>
          <w:sz w:val="32"/>
          <w:szCs w:val="32"/>
        </w:rPr>
        <w:t>十六、</w:t>
      </w:r>
      <w:r>
        <w:rPr>
          <w:rFonts w:ascii="仿宋_GB2312" w:hAnsi="ˎ̥" w:eastAsia="仿宋_GB2312"/>
          <w:sz w:val="32"/>
          <w:szCs w:val="32"/>
        </w:rPr>
        <w:t>支出功能分类：</w:t>
      </w:r>
      <w:bookmarkEnd w:id="138"/>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pPr>
      <w:r>
        <w:rPr>
          <w:rFonts w:hint="eastAsia" w:ascii="仿宋_GB2312" w:hAnsi="ˎ̥" w:eastAsia="仿宋_GB2312"/>
          <w:sz w:val="32"/>
          <w:szCs w:val="32"/>
        </w:rPr>
        <w:t>支出功能分类的名词解释，各</w:t>
      </w:r>
      <w:r>
        <w:rPr>
          <w:rFonts w:hint="eastAsia" w:ascii="仿宋_GB2312" w:hAnsi="ˎ̥" w:eastAsia="仿宋_GB2312"/>
          <w:sz w:val="32"/>
          <w:szCs w:val="32"/>
          <w:lang w:val="en-US" w:eastAsia="zh-CN"/>
        </w:rPr>
        <w:t>预算</w:t>
      </w:r>
      <w:r>
        <w:rPr>
          <w:rFonts w:hint="eastAsia" w:ascii="仿宋_GB2312" w:hAnsi="ˎ̥" w:eastAsia="仿宋_GB2312"/>
          <w:sz w:val="32"/>
          <w:szCs w:val="32"/>
          <w:lang w:eastAsia="zh-CN"/>
        </w:rPr>
        <w:t>单位、</w:t>
      </w:r>
      <w:r>
        <w:rPr>
          <w:rFonts w:hint="eastAsia" w:ascii="仿宋_GB2312" w:hAnsi="ˎ̥" w:eastAsia="仿宋_GB2312"/>
          <w:sz w:val="32"/>
          <w:szCs w:val="32"/>
        </w:rPr>
        <w:t>单位根据实际支出情况填列，可参阅财政部印发的《</w:t>
      </w:r>
      <w:r>
        <w:rPr>
          <w:rFonts w:hint="default" w:ascii="仿宋_GB2312" w:hAnsi="ˎ̥" w:eastAsia="仿宋_GB2312"/>
          <w:sz w:val="32"/>
          <w:szCs w:val="32"/>
          <w:lang w:val="en-US"/>
        </w:rPr>
        <w:t>2024</w:t>
      </w:r>
      <w:r>
        <w:rPr>
          <w:rFonts w:hint="eastAsia" w:ascii="仿宋_GB2312" w:hAnsi="ˎ̥" w:eastAsia="仿宋_GB2312"/>
          <w:sz w:val="32"/>
          <w:szCs w:val="32"/>
        </w:rPr>
        <w:t>年政府收支分类科目》</w:t>
      </w:r>
      <w:r>
        <w:rPr>
          <w:rFonts w:hint="eastAsia" w:ascii="仿宋_GB2312" w:hAnsi="ˎ̥" w:eastAsia="仿宋_GB2312"/>
          <w:sz w:val="32"/>
          <w:szCs w:val="32"/>
          <w:lang w:eastAsia="zh-CN"/>
        </w:rPr>
        <w:t>。</w:t>
      </w:r>
    </w:p>
    <w:sectPr>
      <w:footerReference r:id="rId3" w:type="default"/>
      <w:footerReference r:id="rId4" w:type="even"/>
      <w:pgSz w:w="11906" w:h="16838"/>
      <w:pgMar w:top="2098" w:right="1474" w:bottom="1984" w:left="158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ˎ̥">
    <w:altName w:val="微软雅黑"/>
    <w:panose1 w:val="00000000000000000000"/>
    <w:charset w:val="00"/>
    <w:family w:val="roman"/>
    <w:pitch w:val="default"/>
    <w:sig w:usb0="00000000" w:usb1="00000000" w:usb2="00000000" w:usb3="00000000" w:csb0="00040001" w:csb1="00000000"/>
  </w:font>
  <w:font w:name="楷体">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r>
      <w:fldChar w:fldCharType="begin"/>
    </w:r>
    <w:r>
      <w:rPr>
        <w:rStyle w:val="9"/>
      </w:rPr>
      <w:instrText xml:space="preserve">PAGE  </w:instrText>
    </w:r>
    <w:r>
      <w:fldChar w:fldCharType="separate"/>
    </w:r>
    <w:r>
      <w:rPr>
        <w:rStyle w:val="9"/>
      </w:rPr>
      <w:t>18</w:t>
    </w:r>
    <w:r>
      <w:fldChar w:fldCharType="end"/>
    </w: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r>
      <w:fldChar w:fldCharType="begin"/>
    </w:r>
    <w:r>
      <w:rPr>
        <w:rStyle w:val="9"/>
      </w:rPr>
      <w:instrText xml:space="preserve">PAGE  </w:instrText>
    </w:r>
    <w:r>
      <w:fldChar w:fldCharType="separate"/>
    </w:r>
    <w:r>
      <w:fldChar w:fldCharType="end"/>
    </w:r>
  </w:p>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FFC2DCC"/>
    <w:multiLevelType w:val="singleLevel"/>
    <w:tmpl w:val="AFFC2DCC"/>
    <w:lvl w:ilvl="0" w:tentative="0">
      <w:start w:val="1"/>
      <w:numFmt w:val="chineseCounting"/>
      <w:suff w:val="nothing"/>
      <w:lvlText w:val="%1、"/>
      <w:lvlJc w:val="left"/>
      <w:rPr>
        <w:rFonts w:hint="eastAsia"/>
      </w:rPr>
    </w:lvl>
  </w:abstractNum>
  <w:abstractNum w:abstractNumId="1">
    <w:nsid w:val="6710BD57"/>
    <w:multiLevelType w:val="singleLevel"/>
    <w:tmpl w:val="6710BD57"/>
    <w:lvl w:ilvl="0" w:tentative="0">
      <w:start w:val="1"/>
      <w:numFmt w:val="chineseCounting"/>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VlZThlZDk5ZTQ4MTFjNGY3MjIxNTdiOWMzZmQwMWMifQ=="/>
  </w:docVars>
  <w:rsids>
    <w:rsidRoot w:val="A7F73C99"/>
    <w:rsid w:val="00064A91"/>
    <w:rsid w:val="000718C4"/>
    <w:rsid w:val="000779B0"/>
    <w:rsid w:val="001E4E23"/>
    <w:rsid w:val="001E510D"/>
    <w:rsid w:val="001F28C1"/>
    <w:rsid w:val="001F4EC0"/>
    <w:rsid w:val="00213789"/>
    <w:rsid w:val="002A6E07"/>
    <w:rsid w:val="0034456B"/>
    <w:rsid w:val="003D2F77"/>
    <w:rsid w:val="004C755C"/>
    <w:rsid w:val="004D515A"/>
    <w:rsid w:val="004D5572"/>
    <w:rsid w:val="0050273F"/>
    <w:rsid w:val="00513897"/>
    <w:rsid w:val="00530C81"/>
    <w:rsid w:val="005C43A2"/>
    <w:rsid w:val="005E64FB"/>
    <w:rsid w:val="005F5987"/>
    <w:rsid w:val="00602EED"/>
    <w:rsid w:val="006B0D64"/>
    <w:rsid w:val="00731FC7"/>
    <w:rsid w:val="00740E64"/>
    <w:rsid w:val="00754F6E"/>
    <w:rsid w:val="007A4101"/>
    <w:rsid w:val="008232A9"/>
    <w:rsid w:val="00896ADB"/>
    <w:rsid w:val="009A2744"/>
    <w:rsid w:val="00A54A37"/>
    <w:rsid w:val="00A70448"/>
    <w:rsid w:val="00AA19F3"/>
    <w:rsid w:val="00AC28EE"/>
    <w:rsid w:val="00AC3F0E"/>
    <w:rsid w:val="00B36E61"/>
    <w:rsid w:val="00B409FF"/>
    <w:rsid w:val="00B4133E"/>
    <w:rsid w:val="00B54DE8"/>
    <w:rsid w:val="00B63E9E"/>
    <w:rsid w:val="00BC0439"/>
    <w:rsid w:val="00C04C21"/>
    <w:rsid w:val="00C7436A"/>
    <w:rsid w:val="00CA0F14"/>
    <w:rsid w:val="00CA536B"/>
    <w:rsid w:val="00CB0D1E"/>
    <w:rsid w:val="00CD6E49"/>
    <w:rsid w:val="00CD794A"/>
    <w:rsid w:val="00DB612B"/>
    <w:rsid w:val="00DC2A37"/>
    <w:rsid w:val="00E07782"/>
    <w:rsid w:val="00E70EA3"/>
    <w:rsid w:val="00F0336A"/>
    <w:rsid w:val="00F06DA9"/>
    <w:rsid w:val="00F103D6"/>
    <w:rsid w:val="00F25220"/>
    <w:rsid w:val="00FA2884"/>
    <w:rsid w:val="00FC03DC"/>
    <w:rsid w:val="00FC5708"/>
    <w:rsid w:val="09201287"/>
    <w:rsid w:val="0CF47456"/>
    <w:rsid w:val="0FC80124"/>
    <w:rsid w:val="113373E5"/>
    <w:rsid w:val="136F98C7"/>
    <w:rsid w:val="17427E68"/>
    <w:rsid w:val="1755065F"/>
    <w:rsid w:val="1AFC29C9"/>
    <w:rsid w:val="1CA52F2E"/>
    <w:rsid w:val="1E3630B9"/>
    <w:rsid w:val="23101BE3"/>
    <w:rsid w:val="26EEC2B5"/>
    <w:rsid w:val="28A80261"/>
    <w:rsid w:val="29472309"/>
    <w:rsid w:val="2A842119"/>
    <w:rsid w:val="2B406E77"/>
    <w:rsid w:val="2C2A0C43"/>
    <w:rsid w:val="2D1E73A5"/>
    <w:rsid w:val="317203D3"/>
    <w:rsid w:val="32717154"/>
    <w:rsid w:val="34B63260"/>
    <w:rsid w:val="37FDA7E2"/>
    <w:rsid w:val="39736669"/>
    <w:rsid w:val="3A314D88"/>
    <w:rsid w:val="3A746883"/>
    <w:rsid w:val="3CA15DE9"/>
    <w:rsid w:val="3DD2254E"/>
    <w:rsid w:val="3FE61EE5"/>
    <w:rsid w:val="406508EE"/>
    <w:rsid w:val="408D6263"/>
    <w:rsid w:val="41B40CEE"/>
    <w:rsid w:val="47F6649C"/>
    <w:rsid w:val="48317291"/>
    <w:rsid w:val="485F7024"/>
    <w:rsid w:val="48E70666"/>
    <w:rsid w:val="4C6877E5"/>
    <w:rsid w:val="4D6A468D"/>
    <w:rsid w:val="4EA86137"/>
    <w:rsid w:val="56CA7FD0"/>
    <w:rsid w:val="57396B07"/>
    <w:rsid w:val="57FA38D1"/>
    <w:rsid w:val="5F7D3333"/>
    <w:rsid w:val="61385890"/>
    <w:rsid w:val="62DB0C58"/>
    <w:rsid w:val="687436E1"/>
    <w:rsid w:val="6DA45C50"/>
    <w:rsid w:val="6E9A7825"/>
    <w:rsid w:val="6F670F9B"/>
    <w:rsid w:val="720D425E"/>
    <w:rsid w:val="737450E0"/>
    <w:rsid w:val="74054476"/>
    <w:rsid w:val="742F38C4"/>
    <w:rsid w:val="74AB66DC"/>
    <w:rsid w:val="74C4154C"/>
    <w:rsid w:val="75956FFF"/>
    <w:rsid w:val="77AA2D01"/>
    <w:rsid w:val="7ACE4ED2"/>
    <w:rsid w:val="7CDE1DBD"/>
    <w:rsid w:val="7D44446E"/>
    <w:rsid w:val="7D943A85"/>
    <w:rsid w:val="7DB0448C"/>
    <w:rsid w:val="7E5F9AA4"/>
    <w:rsid w:val="8FFC8888"/>
    <w:rsid w:val="A7F73C99"/>
    <w:rsid w:val="BFFE3BF4"/>
    <w:rsid w:val="DFEBDA37"/>
    <w:rsid w:val="EF6FCA1D"/>
    <w:rsid w:val="EFFF57D6"/>
    <w:rsid w:val="FD33A2D0"/>
    <w:rsid w:val="FF7FA20F"/>
    <w:rsid w:val="FFFE81A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link w:val="11"/>
    <w:qFormat/>
    <w:uiPriority w:val="0"/>
    <w:pPr>
      <w:jc w:val="left"/>
    </w:pPr>
  </w:style>
  <w:style w:type="paragraph" w:styleId="3">
    <w:name w:val="Balloon Text"/>
    <w:basedOn w:val="1"/>
    <w:link w:val="12"/>
    <w:qFormat/>
    <w:uiPriority w:val="0"/>
    <w:rPr>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4"/>
    <w:qFormat/>
    <w:uiPriority w:val="0"/>
    <w:rPr>
      <w:b/>
      <w:bCs/>
    </w:rPr>
  </w:style>
  <w:style w:type="character" w:styleId="9">
    <w:name w:val="page number"/>
    <w:qFormat/>
    <w:uiPriority w:val="0"/>
  </w:style>
  <w:style w:type="character" w:styleId="10">
    <w:name w:val="annotation reference"/>
    <w:qFormat/>
    <w:uiPriority w:val="0"/>
    <w:rPr>
      <w:sz w:val="21"/>
      <w:szCs w:val="21"/>
    </w:rPr>
  </w:style>
  <w:style w:type="character" w:customStyle="1" w:styleId="11">
    <w:name w:val="批注文字 Char"/>
    <w:link w:val="2"/>
    <w:qFormat/>
    <w:uiPriority w:val="0"/>
    <w:rPr>
      <w:kern w:val="2"/>
      <w:sz w:val="21"/>
      <w:szCs w:val="24"/>
    </w:rPr>
  </w:style>
  <w:style w:type="character" w:customStyle="1" w:styleId="12">
    <w:name w:val="批注框文本 Char"/>
    <w:link w:val="3"/>
    <w:qFormat/>
    <w:uiPriority w:val="0"/>
    <w:rPr>
      <w:kern w:val="2"/>
      <w:sz w:val="18"/>
      <w:szCs w:val="18"/>
    </w:rPr>
  </w:style>
  <w:style w:type="character" w:customStyle="1" w:styleId="13">
    <w:name w:val="页眉 Char"/>
    <w:link w:val="5"/>
    <w:qFormat/>
    <w:uiPriority w:val="0"/>
    <w:rPr>
      <w:kern w:val="2"/>
      <w:sz w:val="18"/>
      <w:szCs w:val="18"/>
    </w:rPr>
  </w:style>
  <w:style w:type="character" w:customStyle="1" w:styleId="14">
    <w:name w:val="批注主题 Char"/>
    <w:link w:val="6"/>
    <w:qFormat/>
    <w:uiPriority w:val="0"/>
    <w:rPr>
      <w:b/>
      <w:bCs/>
      <w:kern w:val="2"/>
      <w:sz w:val="21"/>
      <w:szCs w:val="24"/>
    </w:rPr>
  </w:style>
  <w:style w:type="paragraph" w:customStyle="1" w:styleId="15">
    <w:name w:val="WPSOffice手动目录 1"/>
    <w:qFormat/>
    <w:uiPriority w:val="0"/>
    <w:rPr>
      <w:rFonts w:ascii="Times New Roman" w:hAnsi="Times New Roman" w:eastAsia="宋体" w:cs="Times New Roman"/>
      <w:lang w:val="en-US" w:eastAsia="zh-CN" w:bidi="ar-SA"/>
    </w:rPr>
  </w:style>
  <w:style w:type="paragraph" w:customStyle="1" w:styleId="16">
    <w:name w:val="WPSOffice手动目录 2"/>
    <w:qFormat/>
    <w:uiPriority w:val="0"/>
    <w:pPr>
      <w:ind w:leftChars="200"/>
    </w:pPr>
    <w:rPr>
      <w:rFonts w:ascii="Times New Roman" w:hAnsi="Times New Roman" w:eastAsia="宋体" w:cs="Times New Roman"/>
      <w:lang w:val="en-US" w:eastAsia="zh-CN" w:bidi="ar-SA"/>
    </w:rPr>
  </w:style>
  <w:style w:type="paragraph" w:customStyle="1" w:styleId="17">
    <w:name w:val="正文1 Char Char Char"/>
    <w:basedOn w:val="1"/>
    <w:qFormat/>
    <w:uiPriority w:val="0"/>
    <w:pPr>
      <w:spacing w:line="360" w:lineRule="auto"/>
      <w:ind w:firstLine="20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7196</Words>
  <Characters>8114</Characters>
  <Lines>67</Lines>
  <Paragraphs>18</Paragraphs>
  <TotalTime>0</TotalTime>
  <ScaleCrop>false</ScaleCrop>
  <LinksUpToDate>false</LinksUpToDate>
  <CharactersWithSpaces>8200</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2024-07-24T03:26:00Z</dcterms:created>
  <dc:creator>uos</dc:creator>
  <cp:lastModifiedBy>子净</cp:lastModifiedBy>
  <cp:lastPrinted>2023-08-03T00:58:00Z</cp:lastPrinted>
  <dcterms:modified xsi:type="dcterms:W3CDTF">2025-10-27T02:07:24Z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ICV">
    <vt:lpwstr>03AE7F14E2DC4BACB053764200FF950D_13</vt:lpwstr>
  </property>
  <property fmtid="{D5CDD505-2E9C-101B-9397-08002B2CF9AE}" pid="4" name="KSOTemplateDocerSaveRecord">
    <vt:lpwstr>eyJoZGlkIjoiOGQyNzM1MzBlNzVmYzg5OGU4MGEyZDUzNDI0YTVhMWUiLCJ1c2VySWQiOiI1MTM5NjE2NzAifQ==</vt:lpwstr>
  </property>
</Properties>
</file>