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屯昌县枫木镇枫木中心小学2024年度</w:t>
      </w:r>
      <w:r>
        <w:rPr>
          <w:rFonts w:hint="eastAsia" w:asciiTheme="majorEastAsia" w:hAnsiTheme="majorEastAsia" w:eastAsiaTheme="majorEastAsia" w:cstheme="majorEastAsia"/>
          <w:b/>
          <w:bCs/>
          <w:sz w:val="44"/>
          <w:szCs w:val="44"/>
          <w:lang w:val="en-US" w:eastAsia="zh-CN"/>
        </w:rPr>
        <w:t>单位</w:t>
      </w:r>
      <w:r>
        <w:rPr>
          <w:rFonts w:hint="eastAsia" w:asciiTheme="majorEastAsia" w:hAnsiTheme="majorEastAsia" w:eastAsiaTheme="majorEastAsia" w:cstheme="majorEastAsia"/>
          <w:b/>
          <w:bCs/>
          <w:sz w:val="44"/>
          <w:szCs w:val="44"/>
        </w:rPr>
        <w:t>决算公开报告</w:t>
      </w:r>
    </w:p>
    <w:p>
      <w:pPr>
        <w:spacing w:line="578" w:lineRule="exact"/>
        <w:jc w:val="center"/>
        <w:rPr>
          <w:rFonts w:ascii="黑体" w:hAnsi="ˎ̥" w:eastAsia="黑体"/>
          <w:b/>
          <w:sz w:val="32"/>
          <w:szCs w:val="32"/>
        </w:rPr>
      </w:pPr>
    </w:p>
    <w:p>
      <w:pPr>
        <w:spacing w:line="578" w:lineRule="exact"/>
        <w:jc w:val="center"/>
        <w:rPr>
          <w:rFonts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sz w:val="32"/>
          <w:szCs w:val="32"/>
        </w:rPr>
      </w:pPr>
      <w:r>
        <w:fldChar w:fldCharType="begin"/>
      </w:r>
      <w:r>
        <w:instrText xml:space="preserve"> HYPERLINK \l "_Toc1704_WPSOffice_Level1" </w:instrText>
      </w:r>
      <w: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"_Toc20274_WPSOffice_Level2" </w:instrText>
      </w:r>
      <w:r>
        <w:fldChar w:fldCharType="separate"/>
      </w:r>
      <w:r>
        <w:rPr>
          <w:rFonts w:hint="eastAsia" w:ascii="仿宋" w:hAnsi="仿宋" w:eastAsia="仿宋" w:cs="仿宋"/>
          <w:sz w:val="32"/>
          <w:szCs w:val="32"/>
        </w:rPr>
        <w:t>一、单位职责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"_Toc4833_WPSOffice_Level2" </w:instrText>
      </w:r>
      <w: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sz w:val="32"/>
          <w:szCs w:val="32"/>
        </w:rPr>
      </w:pPr>
      <w:r>
        <w:fldChar w:fldCharType="begin"/>
      </w:r>
      <w:r>
        <w:instrText xml:space="preserve"> HYPERLINK \l "_Toc28253_WPSOffice_Level1" </w:instrText>
      </w:r>
      <w:r>
        <w:fldChar w:fldCharType="separate"/>
      </w:r>
      <w:r>
        <w:rPr>
          <w:rFonts w:hint="eastAsia" w:ascii="黑体" w:hAnsi="ˎ̥" w:eastAsia="黑体"/>
          <w:sz w:val="32"/>
          <w:szCs w:val="32"/>
        </w:rPr>
        <w:t xml:space="preserve">第二部分  </w:t>
      </w:r>
      <w:r>
        <w:rPr>
          <w:rFonts w:ascii="黑体" w:hAnsi="ˎ̥" w:eastAsia="黑体"/>
          <w:sz w:val="32"/>
          <w:szCs w:val="32"/>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bookmarkStart w:id="120" w:name="_GoBack"/>
      <w:bookmarkEnd w:id="120"/>
    </w:p>
    <w:p>
      <w:pPr>
        <w:pStyle w:val="15"/>
        <w:tabs>
          <w:tab w:val="right" w:leader="dot" w:pos="8306"/>
        </w:tabs>
        <w:spacing w:line="578" w:lineRule="exact"/>
        <w:rPr>
          <w:sz w:val="32"/>
          <w:szCs w:val="32"/>
        </w:rPr>
      </w:pPr>
      <w:r>
        <w:fldChar w:fldCharType="begin"/>
      </w:r>
      <w:r>
        <w:instrText xml:space="preserve"> HYPERLINK \l "_Toc27590_WPSOffice_Level1" </w:instrText>
      </w:r>
      <w:r>
        <w:fldChar w:fldCharType="separate"/>
      </w:r>
      <w:r>
        <w:rPr>
          <w:rFonts w:hint="eastAsia" w:ascii="黑体" w:hAnsi="黑体" w:eastAsia="黑体" w:cs="黑体"/>
          <w:sz w:val="32"/>
          <w:szCs w:val="32"/>
        </w:rPr>
        <w:t>第三部分</w:t>
      </w:r>
      <w:r>
        <w:rPr>
          <w:rFonts w:hint="eastAsia"/>
          <w:sz w:val="32"/>
          <w:szCs w:val="32"/>
        </w:rPr>
        <w:t xml:space="preserve">  </w:t>
      </w:r>
      <w:r>
        <w:rPr>
          <w:rFonts w:ascii="黑体" w:hAnsi="ˎ̥" w:eastAsia="黑体"/>
          <w:sz w:val="32"/>
          <w:szCs w:val="32"/>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"_Toc21737_WPSOffice_Level2" </w:instrText>
      </w:r>
      <w: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四、财政拨款收入支出决算总体情况说明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bCs/>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ascii="黑体" w:hAnsi="ˎ̥"/>
          <w:b/>
          <w:sz w:val="32"/>
          <w:szCs w:val="32"/>
        </w:rPr>
      </w:pPr>
      <w:r>
        <w:fldChar w:fldCharType="begin"/>
      </w:r>
      <w:r>
        <w:instrText xml:space="preserve"> HYPERLINK \l "_Toc15425_WPSOffice_Level1" </w:instrText>
      </w:r>
      <w: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rPr>
          <w:rFonts w:ascii="黑体" w:hAnsi="ˎ̥" w:eastAsia="黑体"/>
          <w:sz w:val="32"/>
          <w:szCs w:val="32"/>
        </w:rPr>
      </w:pPr>
      <w:bookmarkStart w:id="2" w:name="_Toc10720_WPSOffice_Level1"/>
      <w:bookmarkStart w:id="3" w:name="_Toc22941_WPSOffice_Level1"/>
      <w:bookmarkStart w:id="4" w:name="_Toc10049_WPSOffice_Level1"/>
      <w:bookmarkStart w:id="5" w:name="_Toc32433_WPSOffice_Level1"/>
      <w:bookmarkStart w:id="6" w:name="_Toc1704_WPSOffice_Level1"/>
      <w:bookmarkStart w:id="7" w:name="_Toc23465_WPSOffice_Level1"/>
      <w:bookmarkStart w:id="8" w:name="_Toc26580_WPSOffice_Level2"/>
      <w:bookmarkStart w:id="9" w:name="_Toc24238_WPSOffice_Level2"/>
      <w:bookmarkStart w:id="10" w:name="_Toc14159_WPSOffice_Level2"/>
      <w:bookmarkStart w:id="11" w:name="_Toc20205_WPSOffice_Level2"/>
      <w:bookmarkStart w:id="12" w:name="_Toc32622_WPSOffice_Level2"/>
      <w:bookmarkStart w:id="13" w:name="_Toc20274_WPSOffice_Level2"/>
    </w:p>
    <w:p>
      <w:pPr>
        <w:spacing w:line="578" w:lineRule="exact"/>
        <w:jc w:val="center"/>
        <w:rPr>
          <w:rFonts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ascii="楷体" w:hAnsi="楷体" w:eastAsia="楷体" w:cs="楷体"/>
          <w:sz w:val="32"/>
          <w:szCs w:val="32"/>
        </w:rPr>
      </w:pPr>
    </w:p>
    <w:bookmarkEnd w:id="8"/>
    <w:bookmarkEnd w:id="9"/>
    <w:bookmarkEnd w:id="10"/>
    <w:bookmarkEnd w:id="11"/>
    <w:bookmarkEnd w:id="12"/>
    <w:bookmarkEnd w:id="13"/>
    <w:p>
      <w:pPr>
        <w:spacing w:line="578" w:lineRule="exact"/>
        <w:ind w:left="567"/>
        <w:rPr>
          <w:rFonts w:hint="eastAsia" w:ascii="仿宋" w:hAnsi="仿宋" w:eastAsia="仿宋" w:cs="仿宋"/>
          <w:kern w:val="0"/>
          <w:sz w:val="30"/>
          <w:szCs w:val="30"/>
        </w:rPr>
      </w:pPr>
      <w:bookmarkStart w:id="14" w:name="_Toc24059_WPSOffice_Level2"/>
      <w:bookmarkStart w:id="15" w:name="_Toc17796_WPSOffice_Level2"/>
      <w:bookmarkStart w:id="16" w:name="_Toc24474_WPSOffice_Level2"/>
      <w:bookmarkStart w:id="17" w:name="_Toc4833_WPSOffice_Level2"/>
      <w:bookmarkStart w:id="18" w:name="_Toc6572_WPSOffice_Level2"/>
      <w:r>
        <w:rPr>
          <w:rFonts w:hint="eastAsia" w:ascii="黑体" w:hAnsi="黑体" w:eastAsia="黑体" w:cs="黑体"/>
          <w:sz w:val="32"/>
          <w:szCs w:val="32"/>
        </w:rPr>
        <w:t>一、单位职责</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 xml:space="preserve"> </w:t>
      </w:r>
      <w:r>
        <w:rPr>
          <w:rFonts w:ascii="仿宋" w:hAnsi="仿宋" w:eastAsia="仿宋" w:cs="仿宋"/>
          <w:kern w:val="0"/>
          <w:sz w:val="30"/>
          <w:szCs w:val="30"/>
        </w:rPr>
        <w:t xml:space="preserve">    </w:t>
      </w:r>
      <w:r>
        <w:rPr>
          <w:rFonts w:hint="eastAsia" w:ascii="仿宋" w:hAnsi="仿宋" w:eastAsia="仿宋" w:cs="仿宋"/>
          <w:kern w:val="0"/>
          <w:sz w:val="30"/>
          <w:szCs w:val="30"/>
        </w:rPr>
        <w:t>研究拟定全校教育发展战略法，贯彻执行党和国家的教育方针、政策、法规；研究拟定学校发展规划和年度计划组织实施教育体制和办学体制改革。其主要职责是管理和指导学校基础教育工作，确保普及九年义务教育工作成果，管理学校教育经费执行财务管理制度；负责和指导学校教职工的思想政治工作。</w:t>
      </w:r>
    </w:p>
    <w:p>
      <w:pPr>
        <w:spacing w:line="578" w:lineRule="exact"/>
        <w:ind w:left="567"/>
        <w:rPr>
          <w:rFonts w:ascii="黑体" w:hAnsi="黑体" w:eastAsia="黑体" w:cs="黑体"/>
          <w:sz w:val="32"/>
          <w:szCs w:val="32"/>
        </w:rPr>
      </w:pPr>
    </w:p>
    <w:p>
      <w:pPr>
        <w:spacing w:line="578" w:lineRule="exact"/>
        <w:ind w:left="567"/>
        <w:rPr>
          <w:rFonts w:hint="eastAsia" w:ascii="黑体" w:hAnsi="黑体" w:eastAsia="黑体" w:cs="黑体"/>
          <w:sz w:val="32"/>
          <w:szCs w:val="32"/>
        </w:rPr>
      </w:pPr>
      <w:r>
        <w:rPr>
          <w:rFonts w:hint="eastAsia" w:ascii="黑体" w:hAnsi="黑体" w:eastAsia="黑体" w:cs="黑体"/>
          <w:sz w:val="32"/>
          <w:szCs w:val="32"/>
        </w:rPr>
        <w:t>二、机构设置</w:t>
      </w:r>
      <w:bookmarkEnd w:id="14"/>
      <w:bookmarkEnd w:id="15"/>
      <w:bookmarkEnd w:id="16"/>
      <w:bookmarkEnd w:id="17"/>
      <w:bookmarkEnd w:id="18"/>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纳入屯昌县枫木镇枫木中心小学2024年度</w:t>
      </w:r>
      <w:r>
        <w:rPr>
          <w:rFonts w:hint="eastAsia" w:ascii="仿宋_GB2312" w:hAnsi="ˎ̥" w:eastAsia="仿宋_GB2312" w:cs="仿宋_GB2312"/>
          <w:kern w:val="0"/>
          <w:sz w:val="32"/>
          <w:szCs w:val="32"/>
          <w:lang w:val="en-US" w:eastAsia="zh-CN"/>
        </w:rPr>
        <w:t>单位</w:t>
      </w:r>
      <w:r>
        <w:rPr>
          <w:rFonts w:hint="eastAsia" w:ascii="仿宋_GB2312" w:hAnsi="ˎ̥" w:eastAsia="仿宋_GB2312" w:cs="仿宋_GB2312"/>
          <w:kern w:val="0"/>
          <w:sz w:val="32"/>
          <w:szCs w:val="32"/>
        </w:rPr>
        <w:t>决算编制范围的二级预算单位包括：</w:t>
      </w:r>
    </w:p>
    <w:p>
      <w:pPr>
        <w:widowControl/>
        <w:spacing w:before="100" w:beforeAutospacing="1" w:after="100" w:afterAutospacing="1"/>
        <w:ind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（一）</w:t>
      </w:r>
      <w:r>
        <w:rPr>
          <w:rFonts w:hint="eastAsia" w:ascii="仿宋_GB2312" w:hAnsi="ˎ̥" w:eastAsia="仿宋_GB2312" w:cs="仿宋_GB2312"/>
          <w:kern w:val="0"/>
          <w:sz w:val="32"/>
          <w:szCs w:val="32"/>
        </w:rPr>
        <w:t>屯昌县枫木镇枫木中心小学</w:t>
      </w:r>
      <w:r>
        <w:rPr>
          <w:rFonts w:hint="eastAsia" w:ascii="楷体" w:hAnsi="楷体" w:eastAsia="楷体" w:cs="楷体"/>
          <w:kern w:val="0"/>
          <w:sz w:val="32"/>
          <w:szCs w:val="32"/>
        </w:rPr>
        <w:t>本级</w:t>
      </w:r>
    </w:p>
    <w:p>
      <w:pPr>
        <w:spacing w:line="578" w:lineRule="exact"/>
        <w:jc w:val="center"/>
        <w:rPr>
          <w:rFonts w:ascii="黑体" w:hAnsi="ˎ̥" w:eastAsia="黑体"/>
          <w:sz w:val="32"/>
          <w:szCs w:val="32"/>
        </w:rPr>
      </w:pPr>
      <w:bookmarkStart w:id="19" w:name="_Toc30451_WPSOffice_Level1"/>
      <w:bookmarkStart w:id="20" w:name="_Toc15521_WPSOffice_Level1"/>
      <w:bookmarkStart w:id="21" w:name="_Toc6234_WPSOffice_Level1"/>
      <w:bookmarkStart w:id="22" w:name="_Toc8164_WPSOffice_Level1"/>
      <w:bookmarkStart w:id="23" w:name="_Toc30690_WPSOffice_Level1"/>
      <w:bookmarkStart w:id="24" w:name="_Toc28253_WPSOffice_Level1"/>
      <w:bookmarkStart w:id="25" w:name="_Toc8867_WPSOffice_Level2"/>
      <w:bookmarkStart w:id="26" w:name="_Toc11518_WPSOffice_Level2"/>
      <w:bookmarkStart w:id="27" w:name="_Toc6211_WPSOffice_Level2"/>
      <w:bookmarkStart w:id="28" w:name="_Toc4029_WPSOffice_Level2"/>
      <w:bookmarkStart w:id="29" w:name="_Toc32695_WPSOffice_Level2"/>
      <w:bookmarkStart w:id="30" w:name="_Toc32472_WPSOffice_Level2"/>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r>
        <w:rPr>
          <w:rFonts w:hint="eastAsia" w:ascii="黑体" w:hAnsi="ˎ̥" w:eastAsia="黑体"/>
          <w:sz w:val="32"/>
          <w:szCs w:val="32"/>
        </w:rPr>
        <w:t xml:space="preserve">第二部分  </w:t>
      </w:r>
      <w:r>
        <w:rPr>
          <w:rFonts w:ascii="黑体" w:hAnsi="ˎ̥" w:eastAsia="黑体"/>
          <w:sz w:val="32"/>
          <w:szCs w:val="32"/>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ascii="黑体" w:hAnsi="黑体" w:eastAsia="黑体" w:cs="黑体"/>
          <w:sz w:val="32"/>
          <w:szCs w:val="32"/>
        </w:rPr>
      </w:pPr>
    </w:p>
    <w:p>
      <w:pPr>
        <w:spacing w:line="578" w:lineRule="exact"/>
        <w:ind w:firstLine="645"/>
        <w:rPr>
          <w:rFonts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ascii="黑体" w:hAnsi="黑体" w:eastAsia="黑体" w:cs="黑体"/>
          <w:sz w:val="32"/>
          <w:szCs w:val="32"/>
        </w:rPr>
      </w:pPr>
      <w:bookmarkStart w:id="31" w:name="_Toc25608_WPSOffice_Level2"/>
      <w:bookmarkStart w:id="32" w:name="_Toc14349_WPSOffice_Level2"/>
      <w:bookmarkStart w:id="33" w:name="_Toc23139_WPSOffice_Level2"/>
      <w:bookmarkStart w:id="34" w:name="_Toc28622_WPSOffice_Level2"/>
      <w:bookmarkStart w:id="35" w:name="_Toc26621_WPSOffice_Level2"/>
      <w:bookmarkStart w:id="36" w:name="_Toc30334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858_WPSOffice_Level2"/>
      <w:bookmarkStart w:id="38" w:name="_Toc5489_WPSOffice_Level2"/>
      <w:bookmarkStart w:id="39" w:name="_Toc14658_WPSOffice_Level2"/>
      <w:bookmarkStart w:id="40" w:name="_Toc17626_WPSOffice_Level2"/>
      <w:bookmarkStart w:id="41" w:name="_Toc3262_WPSOffice_Level2"/>
      <w:bookmarkStart w:id="42" w:name="_Toc13854_WPSOffice_Level2"/>
    </w:p>
    <w:p>
      <w:pPr>
        <w:spacing w:line="578" w:lineRule="exact"/>
        <w:ind w:firstLine="645"/>
        <w:rPr>
          <w:rFonts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3591_WPSOffice_Level2"/>
      <w:bookmarkStart w:id="44" w:name="_Toc23493_WPSOffice_Level2"/>
      <w:bookmarkStart w:id="45" w:name="_Toc7988_WPSOffice_Level2"/>
      <w:bookmarkStart w:id="46" w:name="_Toc21415_WPSOffice_Level2"/>
      <w:bookmarkStart w:id="47" w:name="_Toc13701_WPSOffice_Level2"/>
      <w:bookmarkStart w:id="48" w:name="_Toc4265_WPSOffice_Level2"/>
    </w:p>
    <w:p>
      <w:pPr>
        <w:spacing w:line="578" w:lineRule="exact"/>
        <w:ind w:firstLine="645"/>
        <w:rPr>
          <w:rFonts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ascii="黑体" w:hAnsi="黑体" w:eastAsia="黑体" w:cs="黑体"/>
          <w:sz w:val="32"/>
          <w:szCs w:val="32"/>
        </w:rPr>
      </w:pPr>
      <w:bookmarkStart w:id="49" w:name="_Toc23829_WPSOffice_Level2"/>
      <w:bookmarkStart w:id="50" w:name="_Toc22783_WPSOffice_Level2"/>
      <w:bookmarkStart w:id="51" w:name="_Toc7879_WPSOffice_Level2"/>
      <w:bookmarkStart w:id="52" w:name="_Toc25166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25362_WPSOffice_Level2"/>
      <w:bookmarkStart w:id="56" w:name="_Toc17833_WPSOffice_Level2"/>
      <w:bookmarkStart w:id="57" w:name="_Toc17283_WPSOffice_Level2"/>
      <w:bookmarkStart w:id="58" w:name="_Toc2632_WPSOffice_Level2"/>
      <w:bookmarkStart w:id="59" w:name="_Toc5343_WPSOffice_Level2"/>
      <w:bookmarkStart w:id="60" w:name="_Toc8373_WPSOffice_Level2"/>
    </w:p>
    <w:p>
      <w:pPr>
        <w:spacing w:line="578" w:lineRule="exact"/>
        <w:ind w:firstLine="645"/>
        <w:rPr>
          <w:rFonts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ascii="黑体" w:hAnsi="黑体" w:eastAsia="黑体" w:cs="黑体"/>
          <w:sz w:val="32"/>
          <w:szCs w:val="32"/>
        </w:rPr>
      </w:pPr>
      <w:bookmarkStart w:id="61" w:name="_Toc6020_WPSOffice_Level2"/>
      <w:bookmarkStart w:id="62" w:name="_Toc1533_WPSOffice_Level2"/>
      <w:bookmarkStart w:id="63" w:name="_Toc11799_WPSOffice_Level2"/>
      <w:bookmarkStart w:id="64" w:name="_Toc5594_WPSOffice_Level2"/>
      <w:bookmarkStart w:id="65" w:name="_Toc21310_WPSOffice_Level2"/>
      <w:bookmarkStart w:id="66" w:name="_Toc13345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ascii="黑体" w:hAnsi="黑体" w:eastAsia="黑体" w:cs="黑体"/>
          <w:sz w:val="32"/>
          <w:szCs w:val="32"/>
        </w:rPr>
      </w:pPr>
      <w:bookmarkStart w:id="67" w:name="_Toc19961_WPSOffice_Level2"/>
      <w:bookmarkStart w:id="68" w:name="_Toc1820_WPSOffice_Level2"/>
      <w:bookmarkStart w:id="69" w:name="_Toc29886_WPSOffice_Level2"/>
      <w:bookmarkStart w:id="70" w:name="_Toc9377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ascii="仿宋" w:hAnsi="仿宋" w:eastAsia="仿宋" w:cs="仿宋"/>
          <w:sz w:val="32"/>
          <w:szCs w:val="32"/>
        </w:rPr>
      </w:pPr>
      <w:r>
        <w:rPr>
          <w:rFonts w:hint="eastAsia" w:ascii="仿宋" w:hAnsi="仿宋" w:eastAsia="仿宋" w:cs="仿宋"/>
          <w:sz w:val="32"/>
          <w:szCs w:val="32"/>
        </w:rPr>
        <w:t xml:space="preserve">以上报表见附件1。   </w:t>
      </w:r>
    </w:p>
    <w:p>
      <w:pPr>
        <w:spacing w:line="578" w:lineRule="exact"/>
        <w:rPr>
          <w:rFonts w:ascii="黑体" w:hAnsi="黑体" w:eastAsia="黑体" w:cs="黑体"/>
          <w:sz w:val="32"/>
          <w:szCs w:val="32"/>
        </w:rPr>
      </w:pPr>
    </w:p>
    <w:p>
      <w:pPr>
        <w:spacing w:line="578" w:lineRule="exact"/>
        <w:jc w:val="center"/>
        <w:rPr>
          <w:rFonts w:ascii="黑体" w:hAnsi="ˎ̥" w:eastAsia="黑体"/>
          <w:sz w:val="32"/>
          <w:szCs w:val="32"/>
        </w:rPr>
      </w:pPr>
      <w:bookmarkStart w:id="71" w:name="_Toc29683_WPSOffice_Level1"/>
      <w:bookmarkStart w:id="72" w:name="_Toc27590_WPSOffice_Level1"/>
      <w:bookmarkStart w:id="73" w:name="_Toc16686_WPSOffice_Level1"/>
      <w:bookmarkStart w:id="74" w:name="_Toc4402_WPSOffice_Level1"/>
      <w:bookmarkStart w:id="75" w:name="_Toc31264_WPSOffice_Level1"/>
      <w:bookmarkStart w:id="76" w:name="_Toc28629_WPSOffice_Level1"/>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p>
    <w:p>
      <w:pPr>
        <w:spacing w:line="578" w:lineRule="exact"/>
        <w:jc w:val="center"/>
        <w:rPr>
          <w:rFonts w:ascii="黑体" w:hAnsi="ˎ̥" w:eastAsia="黑体"/>
          <w:sz w:val="32"/>
          <w:szCs w:val="32"/>
        </w:rPr>
      </w:pPr>
      <w:r>
        <w:rPr>
          <w:rFonts w:hint="eastAsia" w:ascii="黑体" w:hAnsi="ˎ̥" w:eastAsia="黑体"/>
          <w:sz w:val="32"/>
          <w:szCs w:val="32"/>
        </w:rPr>
        <w:t xml:space="preserve">第三部分  </w:t>
      </w:r>
      <w:r>
        <w:rPr>
          <w:rFonts w:ascii="黑体" w:hAnsi="ˎ̥" w:eastAsia="黑体"/>
          <w:sz w:val="32"/>
          <w:szCs w:val="32"/>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ascii="黑体" w:hAnsi="ˎ̥" w:eastAsia="黑体"/>
          <w:sz w:val="32"/>
          <w:szCs w:val="32"/>
        </w:rPr>
      </w:pPr>
    </w:p>
    <w:p>
      <w:pPr>
        <w:widowControl/>
        <w:spacing w:before="100" w:beforeAutospacing="1" w:after="100" w:afterAutospacing="1"/>
        <w:ind w:firstLine="640" w:firstLineChars="200"/>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ascii="仿宋_GB2312" w:hAnsi="ˎ̥" w:eastAsia="仿宋_GB2312"/>
          <w:sz w:val="32"/>
          <w:szCs w:val="32"/>
        </w:rPr>
        <w:t>2024</w:t>
      </w:r>
      <w:r>
        <w:rPr>
          <w:rFonts w:hint="eastAsia" w:ascii="仿宋_GB2312" w:hAnsi="ˎ̥" w:eastAsia="仿宋_GB2312"/>
          <w:sz w:val="32"/>
          <w:szCs w:val="32"/>
        </w:rPr>
        <w:t>年度收入总计</w:t>
      </w:r>
      <w:r>
        <w:rPr>
          <w:rFonts w:ascii="仿宋_GB2312" w:hAnsi="ˎ̥" w:eastAsia="仿宋_GB2312"/>
          <w:sz w:val="32"/>
          <w:szCs w:val="32"/>
        </w:rPr>
        <w:t>2,488.83</w:t>
      </w:r>
      <w:r>
        <w:rPr>
          <w:rFonts w:hint="eastAsia" w:ascii="仿宋_GB2312" w:hAnsi="ˎ̥" w:eastAsia="仿宋_GB2312"/>
          <w:sz w:val="32"/>
          <w:szCs w:val="32"/>
        </w:rPr>
        <w:t>万元，支出总计</w:t>
      </w:r>
      <w:r>
        <w:rPr>
          <w:rFonts w:ascii="仿宋_GB2312" w:hAnsi="ˎ̥" w:eastAsia="仿宋_GB2312"/>
          <w:sz w:val="32"/>
          <w:szCs w:val="32"/>
        </w:rPr>
        <w:t>2,488.83</w:t>
      </w:r>
      <w:r>
        <w:rPr>
          <w:rFonts w:hint="eastAsia" w:ascii="仿宋_GB2312" w:hAnsi="ˎ̥" w:eastAsia="仿宋_GB2312"/>
          <w:sz w:val="32"/>
          <w:szCs w:val="32"/>
        </w:rPr>
        <w:t>万元，与</w:t>
      </w:r>
      <w:r>
        <w:rPr>
          <w:rFonts w:ascii="仿宋_GB2312" w:hAnsi="ˎ̥" w:eastAsia="仿宋_GB2312"/>
          <w:sz w:val="32"/>
          <w:szCs w:val="32"/>
        </w:rPr>
        <w:t>2023</w:t>
      </w:r>
      <w:r>
        <w:rPr>
          <w:rFonts w:hint="eastAsia" w:ascii="仿宋_GB2312" w:hAnsi="ˎ̥" w:eastAsia="仿宋_GB2312"/>
          <w:sz w:val="32"/>
          <w:szCs w:val="32"/>
        </w:rPr>
        <w:t>年度相比，收入、支出总计各减少185.30万元，下降6.93%。主要原因：</w:t>
      </w:r>
      <w:r>
        <w:rPr>
          <w:rFonts w:hint="eastAsia" w:ascii="仿宋_GB2312" w:hAnsi="ˎ̥" w:eastAsia="仿宋_GB2312" w:cs="仿宋_GB2312"/>
          <w:kern w:val="0"/>
          <w:sz w:val="32"/>
          <w:szCs w:val="32"/>
        </w:rPr>
        <w:t>一是教育支出减少209.21万元；二是社会保障和就业支出减少0.25万元。三是卫生健康支出增加1.60万元。四是保障性住房支出减少4.06万元。五是年末结转结余</w:t>
      </w:r>
      <w:r>
        <w:rPr>
          <w:rFonts w:hint="eastAsia" w:ascii="仿宋_GB2312" w:hAnsi="宋体" w:eastAsia="仿宋_GB2312" w:cs="仿宋_GB2312"/>
          <w:kern w:val="0"/>
          <w:sz w:val="32"/>
          <w:szCs w:val="32"/>
        </w:rPr>
        <w:t>55.41</w:t>
      </w:r>
      <w:r>
        <w:rPr>
          <w:rFonts w:hint="eastAsia" w:ascii="仿宋_GB2312" w:hAnsi="ˎ̥" w:eastAsia="仿宋_GB2312" w:cs="仿宋_GB2312"/>
          <w:kern w:val="0"/>
          <w:sz w:val="32"/>
          <w:szCs w:val="32"/>
        </w:rPr>
        <w:t>万元，主要是事业单位其他收入转入非财政拨款结余，较2023年度决算数增加29.82万元，主要原因是增加结转和结余。六是其他支出减3.20万元</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收入2,463.24</w:t>
      </w:r>
      <w:r>
        <w:rPr>
          <w:rFonts w:hint="eastAsia" w:ascii="仿宋_GB2312" w:hAnsi="ˎ̥" w:eastAsia="仿宋_GB2312"/>
          <w:sz w:val="32"/>
          <w:szCs w:val="32"/>
        </w:rPr>
        <w:t>万元。</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使用非财政拨款结余</w:t>
      </w:r>
      <w:r>
        <w:rPr>
          <w:rFonts w:ascii="仿宋_GB2312" w:hAnsi="ˎ̥" w:eastAsia="仿宋_GB2312"/>
          <w:sz w:val="32"/>
          <w:szCs w:val="32"/>
        </w:rPr>
        <w:t>0.00</w:t>
      </w:r>
      <w:r>
        <w:rPr>
          <w:rFonts w:hint="eastAsia" w:ascii="仿宋_GB2312" w:hAnsi="ˎ̥" w:eastAsia="仿宋_GB2312"/>
          <w:sz w:val="32"/>
          <w:szCs w:val="32"/>
        </w:rPr>
        <w:t>万元，较2023年度决算数</w:t>
      </w:r>
      <w:r>
        <w:rPr>
          <w:rFonts w:hint="eastAsia" w:ascii="仿宋_GB2312" w:hAnsi="ˎ̥" w:eastAsia="仿宋_GB2312" w:cs="仿宋_GB2312"/>
          <w:kern w:val="0"/>
          <w:sz w:val="32"/>
          <w:szCs w:val="32"/>
        </w:rPr>
        <w:t>持平</w:t>
      </w:r>
      <w:r>
        <w:rPr>
          <w:rFonts w:hint="eastAsia" w:ascii="仿宋_GB2312" w:hAnsi="ˎ̥" w:eastAsia="仿宋_GB2312"/>
          <w:sz w:val="32"/>
          <w:szCs w:val="32"/>
        </w:rPr>
        <w:t>，主要原因是</w:t>
      </w:r>
      <w:r>
        <w:rPr>
          <w:rFonts w:hint="eastAsia" w:ascii="仿宋_GB2312" w:hAnsi="ˎ̥" w:eastAsia="仿宋_GB2312" w:cs="仿宋_GB2312"/>
          <w:kern w:val="0"/>
          <w:sz w:val="32"/>
          <w:szCs w:val="32"/>
        </w:rPr>
        <w:t>上年末无结余</w:t>
      </w:r>
      <w:r>
        <w:rPr>
          <w:rFonts w:hint="eastAsia" w:ascii="仿宋_GB2312" w:hAnsi="ˎ̥" w:eastAsia="仿宋_GB2312"/>
          <w:sz w:val="32"/>
          <w:szCs w:val="32"/>
        </w:rPr>
        <w:t>。</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年初结转结余</w:t>
      </w:r>
      <w:r>
        <w:rPr>
          <w:rFonts w:ascii="仿宋_GB2312" w:hAnsi="ˎ̥" w:eastAsia="仿宋_GB2312"/>
          <w:sz w:val="32"/>
          <w:szCs w:val="32"/>
        </w:rPr>
        <w:t>25.59</w:t>
      </w:r>
      <w:r>
        <w:rPr>
          <w:rFonts w:hint="eastAsia" w:ascii="仿宋_GB2312" w:hAnsi="ˎ̥" w:eastAsia="仿宋_GB2312"/>
          <w:sz w:val="32"/>
          <w:szCs w:val="32"/>
        </w:rPr>
        <w:t>万元，</w:t>
      </w:r>
      <w:r>
        <w:rPr>
          <w:rFonts w:hint="eastAsia" w:ascii="仿宋_GB2312" w:hAnsi="ˎ̥" w:eastAsia="仿宋_GB2312" w:cs="仿宋_GB2312"/>
          <w:kern w:val="0"/>
          <w:sz w:val="32"/>
          <w:szCs w:val="32"/>
        </w:rPr>
        <w:t>主要是事业单位其他收入转入非财政拨款结余</w:t>
      </w:r>
      <w:r>
        <w:rPr>
          <w:rFonts w:hint="eastAsia" w:ascii="仿宋_GB2312" w:hAnsi="ˎ̥" w:eastAsia="仿宋_GB2312"/>
          <w:sz w:val="32"/>
          <w:szCs w:val="32"/>
        </w:rPr>
        <w:t>，较</w:t>
      </w:r>
      <w:r>
        <w:rPr>
          <w:rFonts w:ascii="仿宋_GB2312" w:hAnsi="ˎ̥" w:eastAsia="仿宋_GB2312"/>
          <w:sz w:val="32"/>
          <w:szCs w:val="32"/>
        </w:rPr>
        <w:t>2023</w:t>
      </w:r>
      <w:r>
        <w:rPr>
          <w:rFonts w:hint="eastAsia" w:ascii="仿宋_GB2312" w:hAnsi="ˎ̥" w:eastAsia="仿宋_GB2312"/>
          <w:sz w:val="32"/>
          <w:szCs w:val="32"/>
        </w:rPr>
        <w:t>年度决算减少35.06万元，下降57%，主要原因是</w:t>
      </w:r>
      <w:r>
        <w:rPr>
          <w:rFonts w:hint="eastAsia" w:ascii="仿宋_GB2312" w:hAnsi="ˎ̥" w:eastAsia="仿宋_GB2312" w:cs="仿宋_GB2312"/>
          <w:kern w:val="0"/>
          <w:sz w:val="32"/>
          <w:szCs w:val="32"/>
        </w:rPr>
        <w:t>事业单位其他收入转入非财政拨款结余减少</w:t>
      </w:r>
      <w:r>
        <w:rPr>
          <w:rFonts w:hint="eastAsia" w:ascii="仿宋_GB2312" w:hAnsi="ˎ̥" w:eastAsia="仿宋_GB2312"/>
          <w:sz w:val="32"/>
          <w:szCs w:val="32"/>
        </w:rPr>
        <w:t>。</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本年支出</w:t>
      </w:r>
      <w:r>
        <w:rPr>
          <w:rFonts w:ascii="仿宋_GB2312" w:hAnsi="ˎ̥" w:eastAsia="仿宋_GB2312"/>
          <w:sz w:val="32"/>
          <w:szCs w:val="32"/>
        </w:rPr>
        <w:t>2,433.42</w:t>
      </w:r>
      <w:r>
        <w:rPr>
          <w:rFonts w:hint="eastAsia" w:ascii="仿宋_GB2312" w:hAnsi="ˎ̥" w:eastAsia="仿宋_GB2312"/>
          <w:sz w:val="32"/>
          <w:szCs w:val="32"/>
        </w:rPr>
        <w:t>万元。</w:t>
      </w:r>
    </w:p>
    <w:p>
      <w:pPr>
        <w:spacing w:line="578" w:lineRule="exact"/>
        <w:ind w:firstLine="640" w:firstLineChars="200"/>
        <w:rPr>
          <w:rFonts w:ascii="仿宋_GB2312" w:hAnsi="ˎ̥" w:eastAsia="仿宋_GB2312" w:cs="仿宋_GB2312"/>
          <w:kern w:val="0"/>
          <w:sz w:val="32"/>
          <w:szCs w:val="32"/>
        </w:rPr>
      </w:pPr>
      <w:r>
        <w:rPr>
          <w:rFonts w:hint="eastAsia" w:ascii="仿宋_GB2312" w:hAnsi="ˎ̥" w:eastAsia="仿宋_GB2312"/>
          <w:sz w:val="32"/>
          <w:szCs w:val="32"/>
        </w:rPr>
        <w:t>结余分配</w:t>
      </w:r>
      <w:r>
        <w:rPr>
          <w:rFonts w:ascii="仿宋_GB2312" w:hAnsi="ˎ̥" w:eastAsia="仿宋_GB2312"/>
          <w:sz w:val="32"/>
          <w:szCs w:val="32"/>
        </w:rPr>
        <w:t>0.00</w:t>
      </w:r>
      <w:r>
        <w:rPr>
          <w:rFonts w:hint="eastAsia" w:ascii="仿宋_GB2312" w:hAnsi="ˎ̥" w:eastAsia="仿宋_GB2312"/>
          <w:sz w:val="32"/>
          <w:szCs w:val="32"/>
        </w:rPr>
        <w:t>万元</w:t>
      </w:r>
      <w:bookmarkStart w:id="77" w:name="_Hlk212314164"/>
      <w:r>
        <w:rPr>
          <w:rFonts w:hint="eastAsia" w:ascii="仿宋_GB2312" w:hAnsi="ˎ̥" w:eastAsia="仿宋_GB2312" w:cs="仿宋_GB2312"/>
          <w:kern w:val="0"/>
          <w:sz w:val="32"/>
          <w:szCs w:val="32"/>
        </w:rPr>
        <w:t>较2023年度决算数持平</w:t>
      </w:r>
      <w:bookmarkEnd w:id="77"/>
      <w:r>
        <w:rPr>
          <w:rFonts w:hint="eastAsia" w:ascii="仿宋_GB2312" w:hAnsi="ˎ̥" w:eastAsia="仿宋_GB2312" w:cs="仿宋_GB2312"/>
          <w:kern w:val="0"/>
          <w:sz w:val="32"/>
          <w:szCs w:val="32"/>
        </w:rPr>
        <w:t>。</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年末结转结余</w:t>
      </w:r>
      <w:r>
        <w:rPr>
          <w:rFonts w:ascii="仿宋_GB2312" w:hAnsi="ˎ̥" w:eastAsia="仿宋_GB2312"/>
          <w:sz w:val="32"/>
          <w:szCs w:val="32"/>
        </w:rPr>
        <w:t>55.41</w:t>
      </w:r>
      <w:r>
        <w:rPr>
          <w:rFonts w:hint="eastAsia" w:ascii="仿宋_GB2312" w:hAnsi="ˎ̥" w:eastAsia="仿宋_GB2312"/>
          <w:sz w:val="32"/>
          <w:szCs w:val="32"/>
        </w:rPr>
        <w:t>万元，主要是</w:t>
      </w:r>
      <w:r>
        <w:rPr>
          <w:rFonts w:hint="eastAsia" w:ascii="仿宋_GB2312" w:hAnsi="ˎ̥" w:eastAsia="仿宋_GB2312" w:cs="仿宋_GB2312"/>
          <w:kern w:val="0"/>
          <w:sz w:val="32"/>
          <w:szCs w:val="32"/>
        </w:rPr>
        <w:t>事业单位其他收入转入非财政拨款结余</w:t>
      </w:r>
      <w:r>
        <w:rPr>
          <w:rFonts w:hint="eastAsia" w:ascii="仿宋_GB2312" w:hAnsi="ˎ̥" w:eastAsia="仿宋_GB2312"/>
          <w:sz w:val="32"/>
          <w:szCs w:val="32"/>
        </w:rPr>
        <w:t>，较</w:t>
      </w:r>
      <w:r>
        <w:rPr>
          <w:rFonts w:ascii="仿宋_GB2312" w:hAnsi="ˎ̥" w:eastAsia="仿宋_GB2312"/>
          <w:sz w:val="32"/>
          <w:szCs w:val="32"/>
        </w:rPr>
        <w:t>2023</w:t>
      </w:r>
      <w:r>
        <w:rPr>
          <w:rFonts w:hint="eastAsia" w:ascii="仿宋_GB2312" w:hAnsi="ˎ̥" w:eastAsia="仿宋_GB2312"/>
          <w:sz w:val="32"/>
          <w:szCs w:val="32"/>
        </w:rPr>
        <w:t>年度决算数增加29.82万元，增长117%，主要原因是</w:t>
      </w:r>
      <w:r>
        <w:rPr>
          <w:rFonts w:hint="eastAsia" w:ascii="仿宋_GB2312" w:hAnsi="ˎ̥" w:eastAsia="仿宋_GB2312" w:cs="仿宋_GB2312"/>
          <w:kern w:val="0"/>
          <w:sz w:val="32"/>
          <w:szCs w:val="32"/>
        </w:rPr>
        <w:t>事业单位其他收入转入非财政拨款结余增加</w:t>
      </w:r>
      <w:r>
        <w:rPr>
          <w:rFonts w:hint="eastAsia" w:ascii="仿宋_GB2312" w:hAnsi="ˎ̥" w:eastAsia="仿宋_GB2312"/>
          <w:sz w:val="32"/>
          <w:szCs w:val="32"/>
        </w:rPr>
        <w:t>。</w:t>
      </w:r>
    </w:p>
    <w:p>
      <w:pPr>
        <w:spacing w:line="578" w:lineRule="exact"/>
        <w:ind w:firstLine="640" w:firstLineChars="200"/>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ascii="仿宋_GB2312" w:hAnsi="ˎ̥" w:eastAsia="仿宋_GB2312"/>
          <w:sz w:val="32"/>
          <w:szCs w:val="32"/>
        </w:rPr>
        <w:t>2,463.24</w:t>
      </w:r>
      <w:r>
        <w:rPr>
          <w:rFonts w:hint="eastAsia" w:ascii="仿宋_GB2312" w:hAnsi="ˎ̥" w:eastAsia="仿宋_GB2312"/>
          <w:sz w:val="32"/>
          <w:szCs w:val="32"/>
        </w:rPr>
        <w:t>万元，其中：财政拨款收入</w:t>
      </w:r>
      <w:r>
        <w:rPr>
          <w:rFonts w:ascii="仿宋_GB2312" w:hAnsi="ˎ̥" w:eastAsia="仿宋_GB2312"/>
          <w:sz w:val="32"/>
          <w:szCs w:val="32"/>
        </w:rPr>
        <w:t>2,367.66</w:t>
      </w:r>
      <w:r>
        <w:rPr>
          <w:rFonts w:hint="eastAsia" w:ascii="仿宋_GB2312" w:hAnsi="ˎ̥" w:eastAsia="仿宋_GB2312"/>
          <w:sz w:val="32"/>
          <w:szCs w:val="32"/>
        </w:rPr>
        <w:t>万元，占96.11%；上级补助收入</w:t>
      </w:r>
      <w:r>
        <w:rPr>
          <w:rFonts w:ascii="仿宋_GB2312" w:hAnsi="ˎ̥" w:eastAsia="仿宋_GB2312"/>
          <w:sz w:val="32"/>
          <w:szCs w:val="32"/>
        </w:rPr>
        <w:t>0.00</w:t>
      </w:r>
      <w:r>
        <w:rPr>
          <w:rFonts w:hint="eastAsia" w:ascii="仿宋_GB2312" w:hAnsi="ˎ̥" w:eastAsia="仿宋_GB2312"/>
          <w:sz w:val="32"/>
          <w:szCs w:val="32"/>
        </w:rPr>
        <w:t>万元，占0%；事业收入</w:t>
      </w:r>
      <w:r>
        <w:rPr>
          <w:rFonts w:ascii="仿宋_GB2312" w:hAnsi="ˎ̥" w:eastAsia="仿宋_GB2312"/>
          <w:sz w:val="32"/>
          <w:szCs w:val="32"/>
        </w:rPr>
        <w:t>0.00</w:t>
      </w:r>
      <w:r>
        <w:rPr>
          <w:rFonts w:hint="eastAsia" w:ascii="仿宋_GB2312" w:hAnsi="ˎ̥" w:eastAsia="仿宋_GB2312"/>
          <w:sz w:val="32"/>
          <w:szCs w:val="32"/>
        </w:rPr>
        <w:t>万元，占0%；经营收入</w:t>
      </w:r>
      <w:r>
        <w:rPr>
          <w:rFonts w:ascii="仿宋_GB2312" w:hAnsi="ˎ̥" w:eastAsia="仿宋_GB2312"/>
          <w:sz w:val="32"/>
          <w:szCs w:val="32"/>
        </w:rPr>
        <w:t>0.00</w:t>
      </w:r>
      <w:r>
        <w:rPr>
          <w:rFonts w:hint="eastAsia" w:ascii="仿宋_GB2312" w:hAnsi="ˎ̥" w:eastAsia="仿宋_GB2312"/>
          <w:sz w:val="32"/>
          <w:szCs w:val="32"/>
        </w:rPr>
        <w:t>万元，占0%；附属单位上缴收入</w:t>
      </w:r>
      <w:r>
        <w:rPr>
          <w:rFonts w:ascii="仿宋_GB2312" w:hAnsi="ˎ̥" w:eastAsia="仿宋_GB2312"/>
          <w:sz w:val="32"/>
          <w:szCs w:val="32"/>
        </w:rPr>
        <w:t>0.00</w:t>
      </w:r>
      <w:r>
        <w:rPr>
          <w:rFonts w:hint="eastAsia" w:ascii="仿宋_GB2312" w:hAnsi="ˎ̥" w:eastAsia="仿宋_GB2312"/>
          <w:sz w:val="32"/>
          <w:szCs w:val="32"/>
        </w:rPr>
        <w:t>万元，占0%；其他收入</w:t>
      </w:r>
      <w:r>
        <w:rPr>
          <w:rFonts w:ascii="仿宋_GB2312" w:hAnsi="ˎ̥" w:eastAsia="仿宋_GB2312"/>
          <w:sz w:val="32"/>
          <w:szCs w:val="32"/>
        </w:rPr>
        <w:t>95.58</w:t>
      </w:r>
      <w:r>
        <w:rPr>
          <w:rFonts w:hint="eastAsia" w:ascii="仿宋_GB2312" w:hAnsi="ˎ̥" w:eastAsia="仿宋_GB2312"/>
          <w:sz w:val="32"/>
          <w:szCs w:val="32"/>
        </w:rPr>
        <w:t>万元，占3.89%。</w:t>
      </w:r>
    </w:p>
    <w:p>
      <w:pPr>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三、支出决算情况说明</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本年支出</w:t>
      </w:r>
      <w:r>
        <w:rPr>
          <w:rFonts w:ascii="仿宋_GB2312" w:hAnsi="ˎ̥" w:eastAsia="仿宋_GB2312"/>
          <w:sz w:val="32"/>
          <w:szCs w:val="32"/>
        </w:rPr>
        <w:t>2,433.42</w:t>
      </w:r>
      <w:r>
        <w:rPr>
          <w:rFonts w:hint="eastAsia" w:ascii="仿宋_GB2312" w:hAnsi="ˎ̥" w:eastAsia="仿宋_GB2312"/>
          <w:sz w:val="32"/>
          <w:szCs w:val="32"/>
        </w:rPr>
        <w:t>万元，其中：基本支出</w:t>
      </w:r>
      <w:r>
        <w:rPr>
          <w:rFonts w:ascii="仿宋_GB2312" w:hAnsi="ˎ̥" w:eastAsia="仿宋_GB2312"/>
          <w:sz w:val="32"/>
          <w:szCs w:val="32"/>
        </w:rPr>
        <w:t>2,165.74</w:t>
      </w:r>
      <w:r>
        <w:rPr>
          <w:rFonts w:hint="eastAsia" w:ascii="仿宋_GB2312" w:hAnsi="ˎ̥" w:eastAsia="仿宋_GB2312"/>
          <w:sz w:val="32"/>
          <w:szCs w:val="32"/>
        </w:rPr>
        <w:t>万元，占90%；项目支出</w:t>
      </w:r>
      <w:r>
        <w:rPr>
          <w:rFonts w:ascii="仿宋_GB2312" w:hAnsi="ˎ̥" w:eastAsia="仿宋_GB2312"/>
          <w:sz w:val="32"/>
          <w:szCs w:val="32"/>
        </w:rPr>
        <w:t>267.68</w:t>
      </w:r>
      <w:r>
        <w:rPr>
          <w:rFonts w:hint="eastAsia" w:ascii="仿宋_GB2312" w:hAnsi="ˎ̥" w:eastAsia="仿宋_GB2312"/>
          <w:sz w:val="32"/>
          <w:szCs w:val="32"/>
        </w:rPr>
        <w:t>万元，占11%；上缴上级支出</w:t>
      </w:r>
      <w:r>
        <w:rPr>
          <w:rFonts w:ascii="仿宋_GB2312" w:hAnsi="ˎ̥" w:eastAsia="仿宋_GB2312"/>
          <w:sz w:val="32"/>
          <w:szCs w:val="32"/>
        </w:rPr>
        <w:t>0.00</w:t>
      </w:r>
      <w:r>
        <w:rPr>
          <w:rFonts w:hint="eastAsia" w:ascii="仿宋_GB2312" w:hAnsi="ˎ̥" w:eastAsia="仿宋_GB2312"/>
          <w:sz w:val="32"/>
          <w:szCs w:val="32"/>
        </w:rPr>
        <w:t>万元，占0%；经营支出</w:t>
      </w:r>
      <w:r>
        <w:rPr>
          <w:rFonts w:ascii="仿宋_GB2312" w:hAnsi="ˎ̥" w:eastAsia="仿宋_GB2312"/>
          <w:sz w:val="32"/>
          <w:szCs w:val="32"/>
        </w:rPr>
        <w:t>0.00</w:t>
      </w:r>
      <w:r>
        <w:rPr>
          <w:rFonts w:hint="eastAsia" w:ascii="仿宋_GB2312" w:hAnsi="ˎ̥" w:eastAsia="仿宋_GB2312"/>
          <w:sz w:val="32"/>
          <w:szCs w:val="32"/>
        </w:rPr>
        <w:t>万元，占0%；对附属单位补助支出</w:t>
      </w:r>
      <w:r>
        <w:rPr>
          <w:rFonts w:ascii="仿宋_GB2312" w:hAnsi="ˎ̥" w:eastAsia="仿宋_GB2312"/>
          <w:sz w:val="32"/>
          <w:szCs w:val="32"/>
        </w:rPr>
        <w:t>0.00</w:t>
      </w:r>
      <w:r>
        <w:rPr>
          <w:rFonts w:hint="eastAsia" w:ascii="仿宋_GB2312" w:hAnsi="ˎ̥" w:eastAsia="仿宋_GB2312"/>
          <w:sz w:val="32"/>
          <w:szCs w:val="32"/>
        </w:rPr>
        <w:t>万元，占0%。</w:t>
      </w:r>
    </w:p>
    <w:p>
      <w:pPr>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四、财政拨款收入支出决算总体情况说明</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年度财政拨款收入</w:t>
      </w:r>
      <w:r>
        <w:rPr>
          <w:rFonts w:ascii="仿宋_GB2312" w:hAnsi="ˎ̥" w:eastAsia="仿宋_GB2312"/>
          <w:sz w:val="32"/>
          <w:szCs w:val="32"/>
        </w:rPr>
        <w:t>2,367.66</w:t>
      </w:r>
      <w:r>
        <w:rPr>
          <w:rFonts w:hint="eastAsia" w:ascii="仿宋_GB2312" w:hAnsi="ˎ̥" w:eastAsia="仿宋_GB2312"/>
          <w:sz w:val="32"/>
          <w:szCs w:val="32"/>
        </w:rPr>
        <w:t>万元，支出</w:t>
      </w:r>
      <w:r>
        <w:rPr>
          <w:rFonts w:ascii="仿宋_GB2312" w:hAnsi="ˎ̥" w:eastAsia="仿宋_GB2312"/>
          <w:sz w:val="32"/>
          <w:szCs w:val="32"/>
        </w:rPr>
        <w:t>2,367.66</w:t>
      </w:r>
      <w:r>
        <w:rPr>
          <w:rFonts w:hint="eastAsia" w:ascii="仿宋_GB2312" w:hAnsi="ˎ̥" w:eastAsia="仿宋_GB2312"/>
          <w:sz w:val="32"/>
          <w:szCs w:val="32"/>
        </w:rPr>
        <w:t>万元。与</w:t>
      </w:r>
      <w:r>
        <w:rPr>
          <w:rFonts w:ascii="仿宋_GB2312" w:hAnsi="ˎ̥" w:eastAsia="仿宋_GB2312"/>
          <w:sz w:val="32"/>
          <w:szCs w:val="32"/>
        </w:rPr>
        <w:t>2023</w:t>
      </w:r>
      <w:r>
        <w:rPr>
          <w:rFonts w:hint="eastAsia" w:ascii="仿宋_GB2312" w:hAnsi="ˎ̥" w:eastAsia="仿宋_GB2312"/>
          <w:sz w:val="32"/>
          <w:szCs w:val="32"/>
        </w:rPr>
        <w:t>年度相比，财政拨款收入减少245.81万元，下降9.4%，主要原因：一是教育支出减少209.21万元，下降11.23</w:t>
      </w:r>
      <w:r>
        <w:rPr>
          <w:rFonts w:ascii="仿宋_GB2312" w:hAnsi="ˎ̥" w:eastAsia="仿宋_GB2312"/>
          <w:sz w:val="32"/>
          <w:szCs w:val="32"/>
        </w:rPr>
        <w:t>%</w:t>
      </w:r>
      <w:r>
        <w:rPr>
          <w:rFonts w:hint="eastAsia" w:ascii="仿宋_GB2312" w:hAnsi="ˎ̥" w:eastAsia="仿宋_GB2312"/>
          <w:sz w:val="32"/>
          <w:szCs w:val="32"/>
        </w:rPr>
        <w:t>，二是住房保障支出减少4.06万元，下降2.63%。</w:t>
      </w:r>
      <w:r>
        <w:rPr>
          <w:rFonts w:hint="eastAsia" w:ascii="仿宋_GB2312" w:hAnsi="ˎ̥" w:eastAsia="仿宋_GB2312" w:cs="仿宋_GB2312"/>
          <w:kern w:val="0"/>
          <w:sz w:val="32"/>
          <w:szCs w:val="32"/>
        </w:rPr>
        <w:t>社会保障和就业支出减少0.25万元，下降0.07%。</w:t>
      </w:r>
      <w:r>
        <w:rPr>
          <w:rFonts w:hint="eastAsia" w:ascii="仿宋_GB2312" w:hAnsi="ˎ̥" w:eastAsia="仿宋_GB2312"/>
          <w:sz w:val="32"/>
          <w:szCs w:val="32"/>
        </w:rPr>
        <w:t>主要原因：人员减少。</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财政拨款年初结转结余</w:t>
      </w:r>
      <w:r>
        <w:rPr>
          <w:rFonts w:ascii="仿宋_GB2312" w:hAnsi="ˎ̥" w:eastAsia="仿宋_GB2312"/>
          <w:sz w:val="32"/>
          <w:szCs w:val="32"/>
        </w:rPr>
        <w:t>0.00</w:t>
      </w:r>
      <w:r>
        <w:rPr>
          <w:rFonts w:hint="eastAsia" w:ascii="仿宋_GB2312" w:hAnsi="ˎ̥" w:eastAsia="仿宋_GB2312"/>
          <w:sz w:val="32"/>
          <w:szCs w:val="32"/>
        </w:rPr>
        <w:t>万元，，较</w:t>
      </w:r>
      <w:r>
        <w:rPr>
          <w:rFonts w:ascii="仿宋_GB2312" w:hAnsi="ˎ̥" w:eastAsia="仿宋_GB2312"/>
          <w:sz w:val="32"/>
          <w:szCs w:val="32"/>
        </w:rPr>
        <w:t>2023</w:t>
      </w:r>
      <w:r>
        <w:rPr>
          <w:rFonts w:hint="eastAsia" w:ascii="仿宋_GB2312" w:hAnsi="ˎ̥" w:eastAsia="仿宋_GB2312"/>
          <w:sz w:val="32"/>
          <w:szCs w:val="32"/>
        </w:rPr>
        <w:t>年度决算数持平。</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财政拨款年末结转结余</w:t>
      </w:r>
      <w:r>
        <w:rPr>
          <w:rFonts w:ascii="仿宋_GB2312" w:hAnsi="ˎ̥" w:eastAsia="仿宋_GB2312"/>
          <w:sz w:val="32"/>
          <w:szCs w:val="32"/>
        </w:rPr>
        <w:t>0.00</w:t>
      </w:r>
      <w:r>
        <w:rPr>
          <w:rFonts w:hint="eastAsia" w:ascii="仿宋_GB2312" w:hAnsi="ˎ̥" w:eastAsia="仿宋_GB2312"/>
          <w:sz w:val="32"/>
          <w:szCs w:val="32"/>
        </w:rPr>
        <w:t>万元，较</w:t>
      </w:r>
      <w:r>
        <w:rPr>
          <w:rFonts w:ascii="仿宋_GB2312" w:hAnsi="ˎ̥" w:eastAsia="仿宋_GB2312"/>
          <w:sz w:val="32"/>
          <w:szCs w:val="32"/>
        </w:rPr>
        <w:t>2023</w:t>
      </w:r>
      <w:r>
        <w:rPr>
          <w:rFonts w:hint="eastAsia" w:ascii="仿宋_GB2312" w:hAnsi="ˎ̥" w:eastAsia="仿宋_GB2312"/>
          <w:sz w:val="32"/>
          <w:szCs w:val="32"/>
        </w:rPr>
        <w:t>年度决算数持平。</w:t>
      </w:r>
    </w:p>
    <w:p>
      <w:pPr>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spacing w:line="578" w:lineRule="exact"/>
        <w:ind w:firstLine="640" w:firstLineChars="200"/>
        <w:rPr>
          <w:rFonts w:ascii="楷体" w:hAnsi="楷体" w:eastAsia="楷体" w:cs="楷体"/>
          <w:sz w:val="32"/>
          <w:szCs w:val="32"/>
        </w:rPr>
      </w:pPr>
      <w:bookmarkStart w:id="78" w:name="_Toc21737_WPSOffice_Level2"/>
      <w:bookmarkStart w:id="79" w:name="_Toc17398_WPSOffice_Level2"/>
      <w:bookmarkStart w:id="80" w:name="_Toc19665_WPSOffice_Level2"/>
      <w:bookmarkStart w:id="81" w:name="_Toc23005_WPSOffice_Level2"/>
      <w:bookmarkStart w:id="82" w:name="_Toc13694_WPSOffice_Level2"/>
      <w:bookmarkStart w:id="83" w:name="_Toc9989_WPSOffice_Level2"/>
      <w:r>
        <w:rPr>
          <w:rFonts w:hint="eastAsia" w:ascii="楷体" w:hAnsi="楷体" w:eastAsia="楷体" w:cs="楷体"/>
          <w:sz w:val="32"/>
          <w:szCs w:val="32"/>
        </w:rPr>
        <w:t>（一）一般公共预算财政拨款支出决算总体情况</w:t>
      </w:r>
      <w:bookmarkEnd w:id="78"/>
      <w:bookmarkEnd w:id="79"/>
      <w:bookmarkEnd w:id="80"/>
      <w:bookmarkEnd w:id="81"/>
      <w:bookmarkEnd w:id="82"/>
      <w:bookmarkEnd w:id="83"/>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年度一般公共预算财政拨款支出</w:t>
      </w:r>
      <w:r>
        <w:rPr>
          <w:rFonts w:ascii="仿宋_GB2312" w:hAnsi="ˎ̥" w:eastAsia="仿宋_GB2312"/>
          <w:sz w:val="32"/>
          <w:szCs w:val="32"/>
        </w:rPr>
        <w:t>2,367.66</w:t>
      </w:r>
      <w:r>
        <w:rPr>
          <w:rFonts w:hint="eastAsia" w:ascii="仿宋_GB2312" w:hAnsi="ˎ̥" w:eastAsia="仿宋_GB2312"/>
          <w:sz w:val="32"/>
          <w:szCs w:val="32"/>
        </w:rPr>
        <w:t>万元，占本年支出合计的97.29%。与</w:t>
      </w:r>
      <w:r>
        <w:rPr>
          <w:rFonts w:ascii="仿宋_GB2312" w:hAnsi="ˎ̥" w:eastAsia="仿宋_GB2312"/>
          <w:sz w:val="32"/>
          <w:szCs w:val="32"/>
        </w:rPr>
        <w:t>2023</w:t>
      </w:r>
      <w:r>
        <w:rPr>
          <w:rFonts w:hint="eastAsia" w:ascii="仿宋_GB2312" w:hAnsi="ˎ̥" w:eastAsia="仿宋_GB2312"/>
          <w:sz w:val="32"/>
          <w:szCs w:val="32"/>
        </w:rPr>
        <w:t>年度相比，一般公共预算财政拨款支出减少203.03万元，下降7.89%，主要原因是人员减少。</w:t>
      </w:r>
    </w:p>
    <w:p>
      <w:pPr>
        <w:spacing w:line="578" w:lineRule="exact"/>
        <w:ind w:firstLine="640" w:firstLineChars="200"/>
        <w:rPr>
          <w:rFonts w:ascii="楷体" w:hAnsi="楷体" w:eastAsia="楷体" w:cs="楷体"/>
          <w:sz w:val="32"/>
          <w:szCs w:val="32"/>
        </w:rPr>
      </w:pPr>
      <w:bookmarkStart w:id="84" w:name="_Toc23864_WPSOffice_Level2"/>
      <w:bookmarkStart w:id="85" w:name="_Toc27767_WPSOffice_Level2"/>
      <w:bookmarkStart w:id="86" w:name="_Toc18793_WPSOffice_Level2"/>
      <w:bookmarkStart w:id="87" w:name="_Toc19535_WPSOffice_Level2"/>
      <w:bookmarkStart w:id="88" w:name="_Toc2711_WPSOffice_Level2"/>
      <w:bookmarkStart w:id="89" w:name="_Toc19075_WPSOffice_Level2"/>
      <w:r>
        <w:rPr>
          <w:rFonts w:hint="eastAsia" w:ascii="楷体" w:hAnsi="楷体" w:eastAsia="楷体" w:cs="楷体"/>
          <w:sz w:val="32"/>
          <w:szCs w:val="32"/>
        </w:rPr>
        <w:t>（二）一般公共预算财政拨款支出决算结构情况</w:t>
      </w:r>
      <w:bookmarkEnd w:id="84"/>
      <w:bookmarkEnd w:id="85"/>
      <w:bookmarkEnd w:id="86"/>
      <w:bookmarkEnd w:id="87"/>
      <w:bookmarkEnd w:id="88"/>
      <w:bookmarkEnd w:id="89"/>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年度一般公共预算财政拨款支出</w:t>
      </w:r>
      <w:r>
        <w:rPr>
          <w:rFonts w:ascii="仿宋_GB2312" w:hAnsi="ˎ̥" w:eastAsia="仿宋_GB2312"/>
          <w:sz w:val="32"/>
          <w:szCs w:val="32"/>
        </w:rPr>
        <w:t>2,367.66</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支出1.09万元，占0.04%；</w:t>
      </w:r>
      <w:r>
        <w:rPr>
          <w:rFonts w:hint="eastAsia" w:ascii="仿宋_GB2312" w:hAnsi="ˎ̥" w:eastAsia="仿宋_GB2312" w:cs="仿宋_GB2312"/>
          <w:b/>
          <w:kern w:val="0"/>
          <w:sz w:val="32"/>
          <w:szCs w:val="32"/>
        </w:rPr>
        <w:t>教育支出（类）</w:t>
      </w:r>
      <w:r>
        <w:rPr>
          <w:rFonts w:hint="eastAsia" w:ascii="仿宋_GB2312" w:hAnsi="ˎ̥" w:eastAsia="仿宋_GB2312" w:cs="仿宋_GB2312"/>
          <w:kern w:val="0"/>
          <w:sz w:val="32"/>
          <w:szCs w:val="32"/>
        </w:rPr>
        <w:t>支出1586.94万元</w:t>
      </w:r>
      <w:r>
        <w:rPr>
          <w:rFonts w:hint="eastAsia" w:ascii="仿宋_GB2312" w:hAnsi="ˎ̥" w:eastAsia="仿宋_GB2312" w:cs="仿宋_GB2312"/>
          <w:b/>
          <w:kern w:val="0"/>
          <w:sz w:val="32"/>
          <w:szCs w:val="32"/>
        </w:rPr>
        <w:t>，</w:t>
      </w:r>
      <w:r>
        <w:rPr>
          <w:rFonts w:hint="eastAsia" w:ascii="仿宋_GB2312" w:hAnsi="ˎ̥" w:eastAsia="仿宋_GB2312" w:cs="仿宋_GB2312"/>
          <w:kern w:val="0"/>
          <w:sz w:val="32"/>
          <w:szCs w:val="32"/>
        </w:rPr>
        <w:t>占67.02%</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ascii="仿宋_GB2312" w:hAnsi="ˎ̥" w:eastAsia="仿宋_GB2312"/>
          <w:sz w:val="32"/>
          <w:szCs w:val="32"/>
        </w:rPr>
        <w:t>331.01</w:t>
      </w:r>
      <w:r>
        <w:rPr>
          <w:rFonts w:hint="eastAsia" w:ascii="仿宋_GB2312" w:hAnsi="ˎ̥" w:eastAsia="仿宋_GB2312"/>
          <w:sz w:val="32"/>
          <w:szCs w:val="32"/>
        </w:rPr>
        <w:t>万元，占13.98%；</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ascii="仿宋_GB2312" w:hAnsi="ˎ̥" w:eastAsia="仿宋_GB2312"/>
          <w:sz w:val="32"/>
          <w:szCs w:val="32"/>
        </w:rPr>
        <w:t>149.77</w:t>
      </w:r>
      <w:r>
        <w:rPr>
          <w:rFonts w:hint="eastAsia" w:ascii="仿宋_GB2312" w:hAnsi="ˎ̥" w:eastAsia="仿宋_GB2312"/>
          <w:sz w:val="32"/>
          <w:szCs w:val="32"/>
        </w:rPr>
        <w:t>万元，占6.32%</w:t>
      </w:r>
      <w:r>
        <w:rPr>
          <w:rFonts w:hint="eastAsia" w:ascii="仿宋_GB2312" w:hAnsi="ˎ̥" w:eastAsia="仿宋_GB2312" w:cs="仿宋_GB2312"/>
          <w:b/>
          <w:kern w:val="0"/>
          <w:sz w:val="32"/>
          <w:szCs w:val="32"/>
        </w:rPr>
        <w:t>卫生健康支出（类）</w:t>
      </w:r>
      <w:r>
        <w:rPr>
          <w:rFonts w:hint="eastAsia" w:ascii="仿宋_GB2312" w:hAnsi="ˎ̥" w:eastAsia="仿宋_GB2312" w:cs="仿宋_GB2312"/>
          <w:kern w:val="0"/>
          <w:sz w:val="32"/>
          <w:szCs w:val="32"/>
        </w:rPr>
        <w:t>支出</w:t>
      </w:r>
      <w:r>
        <w:rPr>
          <w:rFonts w:ascii="仿宋_GB2312" w:hAnsi="ˎ̥" w:eastAsia="仿宋_GB2312" w:cs="仿宋_GB2312"/>
          <w:kern w:val="0"/>
          <w:sz w:val="32"/>
          <w:szCs w:val="32"/>
        </w:rPr>
        <w:t>298.85</w:t>
      </w:r>
      <w:r>
        <w:rPr>
          <w:rFonts w:hint="eastAsia" w:ascii="仿宋_GB2312" w:hAnsi="ˎ̥" w:eastAsia="仿宋_GB2312" w:cs="仿宋_GB2312"/>
          <w:kern w:val="0"/>
          <w:sz w:val="32"/>
          <w:szCs w:val="32"/>
        </w:rPr>
        <w:t>万元，占12.62%</w:t>
      </w:r>
      <w:r>
        <w:rPr>
          <w:rFonts w:hint="eastAsia" w:ascii="仿宋_GB2312" w:hAnsi="ˎ̥" w:eastAsia="仿宋_GB2312"/>
          <w:sz w:val="32"/>
          <w:szCs w:val="32"/>
        </w:rPr>
        <w:t>。</w:t>
      </w:r>
    </w:p>
    <w:p>
      <w:pPr>
        <w:spacing w:line="578" w:lineRule="exact"/>
        <w:ind w:firstLine="640" w:firstLineChars="200"/>
        <w:rPr>
          <w:rFonts w:ascii="楷体" w:hAnsi="楷体" w:eastAsia="楷体" w:cs="楷体"/>
          <w:sz w:val="32"/>
          <w:szCs w:val="32"/>
        </w:rPr>
      </w:pPr>
      <w:bookmarkStart w:id="90" w:name="_Toc15415_WPSOffice_Level2"/>
      <w:bookmarkStart w:id="91" w:name="_Toc21701_WPSOffice_Level2"/>
      <w:bookmarkStart w:id="92" w:name="_Toc22318_WPSOffice_Level2"/>
      <w:bookmarkStart w:id="93" w:name="_Toc9502_WPSOffice_Level2"/>
      <w:bookmarkStart w:id="94" w:name="_Toc29364_WPSOffice_Level2"/>
      <w:bookmarkStart w:id="95" w:name="_Toc25136_WPSOffice_Level2"/>
      <w:r>
        <w:rPr>
          <w:rFonts w:hint="eastAsia" w:ascii="楷体" w:hAnsi="楷体" w:eastAsia="楷体" w:cs="楷体"/>
          <w:sz w:val="32"/>
          <w:szCs w:val="32"/>
        </w:rPr>
        <w:t>（三）一般公共预算财政拨款支出决算具体情况</w:t>
      </w:r>
      <w:bookmarkEnd w:id="90"/>
      <w:bookmarkEnd w:id="91"/>
      <w:bookmarkEnd w:id="92"/>
      <w:bookmarkEnd w:id="93"/>
      <w:bookmarkEnd w:id="94"/>
      <w:bookmarkEnd w:id="95"/>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年度一般公共预算财政拨款支出年初预算为2307.47万元，支出决算为</w:t>
      </w:r>
      <w:r>
        <w:rPr>
          <w:rFonts w:ascii="仿宋_GB2312" w:hAnsi="ˎ̥" w:eastAsia="仿宋_GB2312"/>
          <w:sz w:val="32"/>
          <w:szCs w:val="32"/>
        </w:rPr>
        <w:t>2,367.66</w:t>
      </w:r>
      <w:r>
        <w:rPr>
          <w:rFonts w:hint="eastAsia" w:ascii="仿宋_GB2312" w:hAnsi="ˎ̥" w:eastAsia="仿宋_GB2312"/>
          <w:sz w:val="32"/>
          <w:szCs w:val="32"/>
        </w:rPr>
        <w:t>万元，完成年初预算的102%。其中：</w:t>
      </w:r>
    </w:p>
    <w:p>
      <w:pPr>
        <w:spacing w:line="578" w:lineRule="exact"/>
        <w:ind w:firstLine="640" w:firstLineChars="200"/>
        <w:rPr>
          <w:rFonts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pPr>
        <w:spacing w:line="578" w:lineRule="exact"/>
        <w:rPr>
          <w:rFonts w:ascii="仿宋_GB2312" w:hAnsi="ˎ̥" w:eastAsia="仿宋_GB2312"/>
          <w:sz w:val="32"/>
          <w:szCs w:val="32"/>
        </w:rPr>
      </w:pPr>
      <w:r>
        <w:rPr>
          <w:rFonts w:hint="eastAsia" w:ascii="仿宋_GB2312" w:hAnsi="ˎ̥" w:eastAsia="仿宋_GB2312"/>
          <w:sz w:val="32"/>
          <w:szCs w:val="32"/>
        </w:rPr>
        <w:t>年初预算为0万元，支出决算为1.09万元，完成年初预算的0%。决算数大于预算数的主要原因：</w:t>
      </w:r>
      <w:r>
        <w:rPr>
          <w:rFonts w:hint="eastAsia" w:ascii="仿宋_GB2312" w:hAnsi="ˎ̥" w:eastAsia="仿宋_GB2312" w:cs="仿宋_GB2312"/>
          <w:kern w:val="0"/>
          <w:sz w:val="32"/>
          <w:szCs w:val="32"/>
        </w:rPr>
        <w:t>项目支出增加1.09万元</w:t>
      </w:r>
      <w:r>
        <w:rPr>
          <w:rFonts w:hint="eastAsia" w:ascii="仿宋_GB2312" w:hAnsi="ˎ̥" w:eastAsia="仿宋_GB2312"/>
          <w:sz w:val="32"/>
          <w:szCs w:val="32"/>
        </w:rPr>
        <w:t>。</w:t>
      </w:r>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sz w:val="32"/>
          <w:szCs w:val="32"/>
        </w:rPr>
        <w:t xml:space="preserve">  </w:t>
      </w:r>
      <w:r>
        <w:rPr>
          <w:rFonts w:hint="eastAsia" w:ascii="仿宋_GB2312" w:hAnsi="ˎ̥" w:eastAsia="仿宋_GB2312" w:cs="仿宋_GB2312"/>
          <w:kern w:val="0"/>
          <w:sz w:val="32"/>
          <w:szCs w:val="32"/>
        </w:rPr>
        <w:t>2.教育支出（类）普通教育（款）小学教育（项）</w:t>
      </w:r>
    </w:p>
    <w:p>
      <w:pPr>
        <w:widowControl/>
        <w:spacing w:before="100" w:beforeAutospacing="1" w:after="100" w:afterAutospacing="1"/>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年初预算为1505.32万元，支出决算为1558.12万元，完成年初预算的103.52%。决算数大于预算数的主要原因：一是基本支出增加52.8万元；</w:t>
      </w:r>
    </w:p>
    <w:p>
      <w:pPr>
        <w:widowControl/>
        <w:numPr>
          <w:ilvl w:val="0"/>
          <w:numId w:val="2"/>
        </w:numPr>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教育支出（类）普通教育（款）其他普通教育支出（项）</w:t>
      </w:r>
    </w:p>
    <w:p>
      <w:pPr>
        <w:widowControl/>
        <w:spacing w:before="100" w:beforeAutospacing="1" w:after="100" w:afterAutospacing="1"/>
        <w:ind w:left="420" w:leftChars="20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年初预算为0万元，支出决算为28.82万元，完成年初预算的0%。决算数大于预算数的主要原因是项目支出增加28.82万元。</w:t>
      </w:r>
    </w:p>
    <w:p>
      <w:pPr>
        <w:widowControl/>
        <w:numPr>
          <w:ilvl w:val="0"/>
          <w:numId w:val="2"/>
        </w:numPr>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社会保障和就业支出（类）抚恤（款）其他优抚（项）</w:t>
      </w:r>
    </w:p>
    <w:p>
      <w:pPr>
        <w:widowControl/>
        <w:spacing w:before="100" w:beforeAutospacing="1" w:after="100" w:afterAutospacing="1"/>
        <w:ind w:left="420" w:leftChars="200"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年初预算为6.86万元，支出决算为6.45万元，完成年初预算的94.02%。决算数小于预算数的主要原因是项目支出减少0.41万元。</w:t>
      </w:r>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5.社会保障和就业支出（类）行政事业单位养老支出（款）机关事业单位职业年金缴费支出（项）</w:t>
      </w:r>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年初预算为</w:t>
      </w:r>
      <w:r>
        <w:rPr>
          <w:rFonts w:hint="eastAsia" w:ascii="仿宋_GB2312" w:hAnsi="黑体" w:eastAsia="仿宋_GB2312" w:cs="仿宋_GB2312"/>
          <w:sz w:val="32"/>
          <w:szCs w:val="32"/>
        </w:rPr>
        <w:t>99.68</w:t>
      </w:r>
      <w:r>
        <w:rPr>
          <w:rFonts w:hint="eastAsia" w:ascii="仿宋_GB2312" w:hAnsi="ˎ̥" w:eastAsia="仿宋_GB2312" w:cs="仿宋_GB2312"/>
          <w:kern w:val="0"/>
          <w:sz w:val="32"/>
          <w:szCs w:val="32"/>
        </w:rPr>
        <w:t>万元，支出决算为146.91万元，完成年初预算的147.38%。决算数大于预算数的主要原因是基本支出增加47.23万元。</w:t>
      </w:r>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6.社会保障和就业支出（类）行政事业单位养老支出（款）机关事业单位基本养老保险缴费支出（项）</w:t>
      </w:r>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年初预算为</w:t>
      </w:r>
      <w:r>
        <w:rPr>
          <w:rFonts w:hint="eastAsia" w:ascii="仿宋_GB2312" w:hAnsi="黑体" w:eastAsia="仿宋_GB2312" w:cs="仿宋_GB2312"/>
          <w:sz w:val="32"/>
          <w:szCs w:val="32"/>
        </w:rPr>
        <w:t>199.37</w:t>
      </w:r>
      <w:r>
        <w:rPr>
          <w:rFonts w:hint="eastAsia" w:ascii="仿宋_GB2312" w:hAnsi="ˎ̥" w:eastAsia="仿宋_GB2312" w:cs="仿宋_GB2312"/>
          <w:kern w:val="0"/>
          <w:sz w:val="32"/>
          <w:szCs w:val="32"/>
        </w:rPr>
        <w:t>万元，支出决算为</w:t>
      </w:r>
      <w:r>
        <w:rPr>
          <w:rFonts w:hint="eastAsia" w:ascii="仿宋_GB2312" w:hAnsi="黑体" w:eastAsia="仿宋_GB2312" w:cs="仿宋_GB2312"/>
          <w:sz w:val="32"/>
          <w:szCs w:val="32"/>
        </w:rPr>
        <w:t>177.65</w:t>
      </w:r>
      <w:r>
        <w:rPr>
          <w:rFonts w:hint="eastAsia" w:ascii="仿宋_GB2312" w:hAnsi="ˎ̥" w:eastAsia="仿宋_GB2312" w:cs="仿宋_GB2312"/>
          <w:kern w:val="0"/>
          <w:sz w:val="32"/>
          <w:szCs w:val="32"/>
        </w:rPr>
        <w:t>万元，完成年初预算的89.10%。决算数大于预算数的主要原因是基本支出减少21.72万元。</w:t>
      </w:r>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7.卫生健康支出（类）行政事业单位医疗（款）公务员医疗补助（项）</w:t>
      </w:r>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年初预算为</w:t>
      </w:r>
      <w:r>
        <w:rPr>
          <w:rFonts w:hint="eastAsia" w:ascii="仿宋_GB2312" w:hAnsi="黑体" w:eastAsia="仿宋_GB2312" w:cs="仿宋_GB2312"/>
          <w:sz w:val="32"/>
          <w:szCs w:val="32"/>
        </w:rPr>
        <w:t>222.83</w:t>
      </w:r>
      <w:r>
        <w:rPr>
          <w:rFonts w:hint="eastAsia" w:ascii="仿宋_GB2312" w:hAnsi="ˎ̥" w:eastAsia="仿宋_GB2312" w:cs="仿宋_GB2312"/>
          <w:kern w:val="0"/>
          <w:sz w:val="32"/>
          <w:szCs w:val="32"/>
        </w:rPr>
        <w:t>万元，支出决算为216.45万元，完成年初预算的97.13%。决算数大于预算数的主要原因是基本支出减少6.38万元</w:t>
      </w:r>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8.卫生健康支出（类）行政事业单位医疗（款）事业单位医疗（项）</w:t>
      </w:r>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年初预算为</w:t>
      </w:r>
      <w:r>
        <w:rPr>
          <w:rFonts w:hint="eastAsia" w:ascii="仿宋_GB2312" w:hAnsi="黑体" w:eastAsia="仿宋_GB2312" w:cs="仿宋_GB2312"/>
          <w:sz w:val="32"/>
          <w:szCs w:val="32"/>
        </w:rPr>
        <w:t>92.83</w:t>
      </w:r>
      <w:r>
        <w:rPr>
          <w:rFonts w:hint="eastAsia" w:ascii="仿宋_GB2312" w:hAnsi="ˎ̥" w:eastAsia="仿宋_GB2312" w:cs="仿宋_GB2312"/>
          <w:kern w:val="0"/>
          <w:sz w:val="32"/>
          <w:szCs w:val="32"/>
        </w:rPr>
        <w:t>万元，支出决算为74.03万元，完成年初预算的79.74%。决算数大于预算数的主要原因是基本支出减少18.80万元</w:t>
      </w:r>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9.住房保障支出（类）住房改革支出（款）住房公积金（项）</w:t>
      </w:r>
    </w:p>
    <w:p>
      <w:pPr>
        <w:widowControl/>
        <w:spacing w:before="100" w:beforeAutospacing="1" w:after="100" w:afterAutospacing="1"/>
        <w:ind w:firstLine="640" w:firstLineChars="200"/>
        <w:rPr>
          <w:rFonts w:hint="eastAsia" w:ascii="仿宋_GB2312" w:hAnsi="ˎ̥" w:eastAsia="仿宋_GB2312"/>
          <w:sz w:val="32"/>
          <w:szCs w:val="32"/>
        </w:rPr>
      </w:pPr>
      <w:r>
        <w:rPr>
          <w:rFonts w:hint="eastAsia" w:ascii="仿宋_GB2312" w:hAnsi="ˎ̥" w:eastAsia="仿宋_GB2312" w:cs="仿宋_GB2312"/>
          <w:kern w:val="0"/>
          <w:sz w:val="32"/>
          <w:szCs w:val="32"/>
        </w:rPr>
        <w:t>年初预算为</w:t>
      </w:r>
      <w:r>
        <w:rPr>
          <w:rFonts w:hint="eastAsia" w:ascii="仿宋_GB2312" w:hAnsi="黑体" w:eastAsia="仿宋_GB2312"/>
          <w:sz w:val="32"/>
          <w:szCs w:val="32"/>
        </w:rPr>
        <w:t>170.47</w:t>
      </w:r>
      <w:r>
        <w:rPr>
          <w:rFonts w:hint="eastAsia" w:ascii="仿宋_GB2312" w:hAnsi="ˎ̥" w:eastAsia="仿宋_GB2312" w:cs="仿宋_GB2312"/>
          <w:kern w:val="0"/>
          <w:sz w:val="32"/>
          <w:szCs w:val="32"/>
        </w:rPr>
        <w:t>万元，支出决算为149.77万元，完成年初预算的87.85%。决算数大于预算数的主要原因是基本支出减少20.7万元。</w:t>
      </w:r>
    </w:p>
    <w:p>
      <w:pPr>
        <w:spacing w:line="578" w:lineRule="exact"/>
        <w:rPr>
          <w:rFonts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tabs>
          <w:tab w:val="center" w:pos="4473"/>
        </w:tabs>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年度财政拨款基本支出2165.74万元，其中：人员经费</w:t>
      </w:r>
      <w:r>
        <w:rPr>
          <w:rFonts w:ascii="仿宋_GB2312" w:hAnsi="ˎ̥" w:eastAsia="仿宋_GB2312"/>
          <w:sz w:val="32"/>
          <w:szCs w:val="32"/>
        </w:rPr>
        <w:t>2,136.83</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sz w:val="32"/>
          <w:szCs w:val="32"/>
        </w:rPr>
        <w:t>28.91</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购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tabs>
          <w:tab w:val="center" w:pos="4473"/>
        </w:tabs>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（一）政府性基金预算财政拨款支出决算总体情况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年度政府性基金预算财政拨款支出</w:t>
      </w:r>
      <w:r>
        <w:rPr>
          <w:rFonts w:ascii="仿宋_GB2312" w:hAnsi="ˎ̥" w:eastAsia="仿宋_GB2312"/>
          <w:sz w:val="32"/>
          <w:szCs w:val="32"/>
        </w:rPr>
        <w:t>0.00</w:t>
      </w:r>
      <w:r>
        <w:rPr>
          <w:rFonts w:hint="eastAsia" w:ascii="仿宋_GB2312" w:hAnsi="ˎ̥" w:eastAsia="仿宋_GB2312"/>
          <w:sz w:val="32"/>
          <w:szCs w:val="32"/>
        </w:rPr>
        <w:t>万元，占本年支出合计的0%。与</w:t>
      </w:r>
      <w:r>
        <w:rPr>
          <w:rFonts w:ascii="仿宋_GB2312" w:hAnsi="ˎ̥" w:eastAsia="仿宋_GB2312"/>
          <w:sz w:val="32"/>
          <w:szCs w:val="32"/>
        </w:rPr>
        <w:t>2023</w:t>
      </w:r>
      <w:r>
        <w:rPr>
          <w:rFonts w:hint="eastAsia" w:ascii="仿宋_GB2312" w:hAnsi="ˎ̥" w:eastAsia="仿宋_GB2312"/>
          <w:sz w:val="32"/>
          <w:szCs w:val="32"/>
        </w:rPr>
        <w:t>年度相比持平。</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（二）政府性基金预算财政拨款支出决算结构情况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年度政府性基金预算财政拨款支出</w:t>
      </w:r>
      <w:r>
        <w:rPr>
          <w:rFonts w:ascii="仿宋_GB2312" w:hAnsi="ˎ̥" w:eastAsia="仿宋_GB2312"/>
          <w:sz w:val="32"/>
          <w:szCs w:val="32"/>
        </w:rPr>
        <w:t>0.00</w:t>
      </w:r>
      <w:r>
        <w:rPr>
          <w:rFonts w:hint="eastAsia" w:ascii="仿宋_GB2312" w:hAnsi="ˎ̥" w:eastAsia="仿宋_GB2312"/>
          <w:sz w:val="32"/>
          <w:szCs w:val="32"/>
        </w:rPr>
        <w:t>万元。</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根据各预算部门、单位实际支出涉及的支出功能分类类级科目填列。）</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（三）政府性基金预算财政拨款支出决算具体情况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年度政府性基金预算财政拨款支出年初预算为0.00万元，支出决算为</w:t>
      </w:r>
      <w:r>
        <w:rPr>
          <w:rFonts w:ascii="仿宋_GB2312" w:hAnsi="ˎ̥" w:eastAsia="仿宋_GB2312"/>
          <w:sz w:val="32"/>
          <w:szCs w:val="32"/>
        </w:rPr>
        <w:t>0.00</w:t>
      </w:r>
      <w:r>
        <w:rPr>
          <w:rFonts w:hint="eastAsia" w:ascii="仿宋_GB2312" w:hAnsi="ˎ̥" w:eastAsia="仿宋_GB2312"/>
          <w:sz w:val="32"/>
          <w:szCs w:val="32"/>
        </w:rPr>
        <w:t>万元，完成年初预算的100%。</w:t>
      </w:r>
    </w:p>
    <w:p>
      <w:pPr>
        <w:tabs>
          <w:tab w:val="center" w:pos="4473"/>
        </w:tabs>
        <w:spacing w:line="578" w:lineRule="exact"/>
        <w:ind w:firstLine="627" w:firstLineChars="196"/>
        <w:rPr>
          <w:rFonts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年度国有资本经营预算财政拨款支出</w:t>
      </w:r>
      <w:r>
        <w:rPr>
          <w:rFonts w:ascii="仿宋_GB2312" w:hAnsi="ˎ̥" w:eastAsia="仿宋_GB2312"/>
          <w:sz w:val="32"/>
          <w:szCs w:val="32"/>
        </w:rPr>
        <w:t>0.00</w:t>
      </w:r>
      <w:r>
        <w:rPr>
          <w:rFonts w:hint="eastAsia" w:ascii="仿宋_GB2312" w:hAnsi="ˎ̥" w:eastAsia="仿宋_GB2312"/>
          <w:sz w:val="32"/>
          <w:szCs w:val="32"/>
        </w:rPr>
        <w:t>万元，占本年支出合计的0%。与</w:t>
      </w:r>
      <w:r>
        <w:rPr>
          <w:rFonts w:ascii="仿宋_GB2312" w:hAnsi="ˎ̥" w:eastAsia="仿宋_GB2312"/>
          <w:sz w:val="32"/>
          <w:szCs w:val="32"/>
        </w:rPr>
        <w:t>2023</w:t>
      </w:r>
      <w:r>
        <w:rPr>
          <w:rFonts w:hint="eastAsia" w:ascii="仿宋_GB2312" w:hAnsi="ˎ̥" w:eastAsia="仿宋_GB2312"/>
          <w:sz w:val="32"/>
          <w:szCs w:val="32"/>
        </w:rPr>
        <w:t>年度相比，国有资本经营预算财政拨款支出持平。</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年度国有资本经营预算财政拨款支出</w:t>
      </w:r>
      <w:r>
        <w:rPr>
          <w:rFonts w:ascii="仿宋_GB2312" w:hAnsi="ˎ̥" w:eastAsia="仿宋_GB2312"/>
          <w:sz w:val="32"/>
          <w:szCs w:val="32"/>
        </w:rPr>
        <w:t>0.00</w:t>
      </w:r>
      <w:r>
        <w:rPr>
          <w:rFonts w:hint="eastAsia" w:ascii="仿宋_GB2312" w:hAnsi="ˎ̥" w:eastAsia="仿宋_GB2312"/>
          <w:sz w:val="32"/>
          <w:szCs w:val="32"/>
        </w:rPr>
        <w:t>万元，。</w:t>
      </w:r>
    </w:p>
    <w:p>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年度国有资本经营预算财政拨款支出年初预算为0.00万元，支出决算为</w:t>
      </w:r>
      <w:r>
        <w:rPr>
          <w:rFonts w:ascii="仿宋_GB2312" w:hAnsi="ˎ̥" w:eastAsia="仿宋_GB2312"/>
          <w:sz w:val="32"/>
          <w:szCs w:val="32"/>
        </w:rPr>
        <w:t>0.00</w:t>
      </w:r>
      <w:r>
        <w:rPr>
          <w:rFonts w:hint="eastAsia" w:ascii="仿宋_GB2312" w:hAnsi="ˎ̥" w:eastAsia="仿宋_GB2312"/>
          <w:sz w:val="32"/>
          <w:szCs w:val="32"/>
        </w:rPr>
        <w:t>万元，完成年初预算的100%。</w:t>
      </w:r>
    </w:p>
    <w:p>
      <w:pPr>
        <w:spacing w:line="578" w:lineRule="exact"/>
        <w:ind w:firstLine="627" w:firstLineChars="196"/>
        <w:rPr>
          <w:rFonts w:ascii="仿宋_GB2312" w:hAnsi="ˎ̥" w:eastAsia="楷体_GB2312"/>
          <w:sz w:val="32"/>
          <w:szCs w:val="32"/>
        </w:rPr>
      </w:pPr>
      <w:r>
        <w:rPr>
          <w:rFonts w:hint="eastAsia" w:ascii="黑体" w:hAnsi="黑体" w:eastAsia="黑体" w:cs="黑体"/>
          <w:bCs/>
          <w:sz w:val="32"/>
          <w:szCs w:val="32"/>
        </w:rPr>
        <w:t>九、财政拨款“三公”经费支出决算情况说明</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spacing w:line="578" w:lineRule="exact"/>
        <w:rPr>
          <w:rFonts w:ascii="仿宋_GB2312" w:hAnsi="ˎ̥" w:eastAsia="仿宋_GB2312"/>
          <w:sz w:val="32"/>
          <w:szCs w:val="32"/>
        </w:rPr>
      </w:pPr>
      <w:r>
        <w:rPr>
          <w:rFonts w:hint="eastAsia" w:ascii="仿宋_GB2312" w:hAnsi="ˎ̥" w:eastAsia="仿宋_GB2312"/>
          <w:sz w:val="32"/>
          <w:szCs w:val="32"/>
        </w:rPr>
        <w:t xml:space="preserve">    </w:t>
      </w:r>
      <w:r>
        <w:rPr>
          <w:rFonts w:ascii="仿宋_GB2312" w:hAnsi="ˎ̥" w:eastAsia="仿宋_GB2312"/>
          <w:sz w:val="32"/>
          <w:szCs w:val="32"/>
        </w:rPr>
        <w:t>2024</w:t>
      </w:r>
      <w:r>
        <w:rPr>
          <w:rFonts w:hint="eastAsia" w:ascii="仿宋_GB2312" w:hAnsi="ˎ̥" w:eastAsia="仿宋_GB2312"/>
          <w:sz w:val="32"/>
          <w:szCs w:val="32"/>
        </w:rPr>
        <w:t>年度财政拨款“三公”经费支出预算为</w:t>
      </w:r>
      <w:r>
        <w:rPr>
          <w:rFonts w:ascii="仿宋_GB2312" w:hAnsi="ˎ̥" w:eastAsia="仿宋_GB2312"/>
          <w:sz w:val="32"/>
          <w:szCs w:val="32"/>
        </w:rPr>
        <w:t>0.00</w:t>
      </w:r>
      <w:r>
        <w:rPr>
          <w:rFonts w:hint="eastAsia" w:ascii="仿宋_GB2312" w:hAnsi="ˎ̥" w:eastAsia="仿宋_GB2312"/>
          <w:sz w:val="32"/>
          <w:szCs w:val="32"/>
        </w:rPr>
        <w:t>万元，支出决算为</w:t>
      </w:r>
      <w:r>
        <w:rPr>
          <w:rFonts w:ascii="仿宋_GB2312" w:hAnsi="ˎ̥" w:eastAsia="仿宋_GB2312"/>
          <w:sz w:val="32"/>
          <w:szCs w:val="32"/>
        </w:rPr>
        <w:t>0.00</w:t>
      </w:r>
      <w:r>
        <w:rPr>
          <w:rFonts w:hint="eastAsia" w:ascii="仿宋_GB2312" w:hAnsi="ˎ̥" w:eastAsia="仿宋_GB2312"/>
          <w:sz w:val="32"/>
          <w:szCs w:val="32"/>
        </w:rPr>
        <w:t>万元，完成预算的100%，</w:t>
      </w:r>
      <w:r>
        <w:rPr>
          <w:rFonts w:ascii="仿宋_GB2312" w:hAnsi="ˎ̥" w:eastAsia="仿宋_GB2312"/>
          <w:sz w:val="32"/>
          <w:szCs w:val="32"/>
        </w:rPr>
        <w:t>与2023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“三公”经费支出持平。</w:t>
      </w:r>
    </w:p>
    <w:p>
      <w:pPr>
        <w:spacing w:line="578" w:lineRule="exact"/>
        <w:rPr>
          <w:rFonts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spacing w:line="578" w:lineRule="exact"/>
        <w:ind w:firstLine="640" w:firstLineChars="200"/>
        <w:rPr>
          <w:rFonts w:ascii="仿宋_GB2312" w:hAnsi="ˎ̥" w:eastAsia="仿宋_GB2312"/>
          <w:sz w:val="32"/>
          <w:szCs w:val="32"/>
        </w:rPr>
      </w:pPr>
      <w:r>
        <w:rPr>
          <w:rFonts w:ascii="仿宋_GB2312" w:hAnsi="ˎ̥" w:eastAsia="仿宋_GB2312"/>
          <w:sz w:val="32"/>
          <w:szCs w:val="32"/>
        </w:rPr>
        <w:t>2024</w:t>
      </w:r>
      <w:r>
        <w:rPr>
          <w:rFonts w:hint="eastAsia" w:ascii="仿宋_GB2312" w:hAnsi="ˎ̥" w:eastAsia="仿宋_GB2312"/>
          <w:sz w:val="32"/>
          <w:szCs w:val="32"/>
        </w:rPr>
        <w:t>年度财政拨款“三公”经费支出决算中，因公出国（境）费支出决算</w:t>
      </w:r>
      <w:r>
        <w:rPr>
          <w:rFonts w:ascii="仿宋_GB2312" w:hAnsi="ˎ̥" w:eastAsia="仿宋_GB2312"/>
          <w:sz w:val="32"/>
          <w:szCs w:val="32"/>
        </w:rPr>
        <w:t>0.00</w:t>
      </w:r>
      <w:r>
        <w:rPr>
          <w:rFonts w:hint="eastAsia" w:ascii="仿宋_GB2312" w:hAnsi="ˎ̥" w:eastAsia="仿宋_GB2312"/>
          <w:sz w:val="32"/>
          <w:szCs w:val="32"/>
        </w:rPr>
        <w:t>万元，占0%；公务用车购置及运行维护费支出决算</w:t>
      </w:r>
      <w:r>
        <w:rPr>
          <w:rFonts w:ascii="仿宋_GB2312" w:hAnsi="ˎ̥" w:eastAsia="仿宋_GB2312"/>
          <w:sz w:val="32"/>
          <w:szCs w:val="32"/>
        </w:rPr>
        <w:t>0.00</w:t>
      </w:r>
      <w:r>
        <w:rPr>
          <w:rFonts w:hint="eastAsia" w:ascii="仿宋_GB2312" w:hAnsi="ˎ̥" w:eastAsia="仿宋_GB2312"/>
          <w:sz w:val="32"/>
          <w:szCs w:val="32"/>
        </w:rPr>
        <w:t>万元，占0%；公务接待费支出决算</w:t>
      </w:r>
      <w:r>
        <w:rPr>
          <w:rFonts w:ascii="仿宋_GB2312" w:hAnsi="ˎ̥" w:eastAsia="仿宋_GB2312"/>
          <w:sz w:val="32"/>
          <w:szCs w:val="32"/>
        </w:rPr>
        <w:t>0.00</w:t>
      </w:r>
      <w:r>
        <w:rPr>
          <w:rFonts w:hint="eastAsia" w:ascii="仿宋_GB2312" w:hAnsi="ˎ̥" w:eastAsia="仿宋_GB2312"/>
          <w:sz w:val="32"/>
          <w:szCs w:val="32"/>
        </w:rPr>
        <w:t>万元，占0%。具体情况如下：</w:t>
      </w:r>
    </w:p>
    <w:p>
      <w:pPr>
        <w:spacing w:line="578" w:lineRule="exact"/>
        <w:ind w:firstLine="643" w:firstLineChars="200"/>
        <w:rPr>
          <w:rFonts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ascii="仿宋_GB2312" w:hAnsi="ˎ̥" w:eastAsia="仿宋_GB2312"/>
          <w:sz w:val="32"/>
          <w:szCs w:val="32"/>
        </w:rPr>
        <w:t>0.00</w:t>
      </w:r>
      <w:r>
        <w:rPr>
          <w:rFonts w:hint="eastAsia" w:ascii="仿宋_GB2312" w:hAnsi="ˎ̥" w:eastAsia="仿宋_GB2312"/>
          <w:sz w:val="32"/>
          <w:szCs w:val="32"/>
        </w:rPr>
        <w:t>万元。</w:t>
      </w:r>
    </w:p>
    <w:p>
      <w:pPr>
        <w:spacing w:line="578" w:lineRule="exact"/>
        <w:rPr>
          <w:rFonts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Cs/>
          <w:sz w:val="32"/>
          <w:szCs w:val="32"/>
        </w:rPr>
        <w:t>支出</w:t>
      </w:r>
      <w:r>
        <w:rPr>
          <w:rFonts w:ascii="仿宋_GB2312" w:hAnsi="ˎ̥" w:eastAsia="仿宋_GB2312"/>
          <w:sz w:val="32"/>
          <w:szCs w:val="32"/>
        </w:rPr>
        <w:t>0.00</w:t>
      </w:r>
      <w:r>
        <w:rPr>
          <w:rFonts w:hint="eastAsia" w:ascii="仿宋_GB2312" w:hAnsi="ˎ̥" w:eastAsia="仿宋_GB2312"/>
          <w:sz w:val="32"/>
          <w:szCs w:val="32"/>
        </w:rPr>
        <w:t>万元。</w:t>
      </w:r>
    </w:p>
    <w:p>
      <w:pPr>
        <w:spacing w:line="578" w:lineRule="exact"/>
        <w:ind w:firstLine="643" w:firstLineChars="200"/>
        <w:rPr>
          <w:rFonts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Cs/>
          <w:sz w:val="32"/>
          <w:szCs w:val="32"/>
        </w:rPr>
        <w:t>支出</w:t>
      </w:r>
      <w:r>
        <w:rPr>
          <w:rFonts w:ascii="仿宋_GB2312" w:hAnsi="ˎ̥" w:eastAsia="仿宋_GB2312"/>
          <w:sz w:val="32"/>
          <w:szCs w:val="32"/>
        </w:rPr>
        <w:t>0.00</w:t>
      </w:r>
      <w:r>
        <w:rPr>
          <w:rFonts w:hint="eastAsia" w:ascii="仿宋_GB2312" w:hAnsi="ˎ̥" w:eastAsia="仿宋_GB2312"/>
          <w:sz w:val="32"/>
          <w:szCs w:val="32"/>
        </w:rPr>
        <w:t>万元，全年购置公务用车0辆。</w:t>
      </w:r>
    </w:p>
    <w:p>
      <w:pPr>
        <w:spacing w:line="578" w:lineRule="exact"/>
        <w:ind w:firstLine="643" w:firstLineChars="200"/>
        <w:rPr>
          <w:rFonts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ascii="仿宋_GB2312" w:hAnsi="ˎ̥" w:eastAsia="仿宋_GB2312"/>
          <w:sz w:val="32"/>
          <w:szCs w:val="32"/>
        </w:rPr>
        <w:t>0.00</w:t>
      </w:r>
      <w:r>
        <w:rPr>
          <w:rFonts w:hint="eastAsia" w:ascii="仿宋_GB2312" w:hAnsi="ˎ̥" w:eastAsia="仿宋_GB2312"/>
          <w:sz w:val="32"/>
          <w:szCs w:val="32"/>
        </w:rPr>
        <w:t>万元，</w:t>
      </w:r>
    </w:p>
    <w:p>
      <w:pPr>
        <w:spacing w:line="578" w:lineRule="exact"/>
        <w:ind w:firstLine="640" w:firstLineChars="200"/>
        <w:rPr>
          <w:rFonts w:ascii="仿宋_GB2312" w:hAnsi="ˎ̥" w:eastAsia="仿宋_GB2312"/>
          <w:bCs/>
          <w:sz w:val="32"/>
          <w:szCs w:val="32"/>
        </w:rPr>
      </w:pPr>
      <w:r>
        <w:rPr>
          <w:rFonts w:hint="eastAsia" w:ascii="仿宋_GB2312" w:hAnsi="ˎ̥" w:eastAsia="仿宋_GB2312"/>
          <w:sz w:val="32"/>
          <w:szCs w:val="32"/>
        </w:rPr>
        <w:t>与</w:t>
      </w:r>
      <w:r>
        <w:rPr>
          <w:rFonts w:ascii="仿宋_GB2312" w:hAnsi="ˎ̥" w:eastAsia="仿宋_GB2312"/>
          <w:sz w:val="32"/>
          <w:szCs w:val="32"/>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支出持平。</w:t>
      </w:r>
    </w:p>
    <w:p>
      <w:pPr>
        <w:spacing w:line="578" w:lineRule="exact"/>
        <w:rPr>
          <w:rFonts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Cs/>
          <w:sz w:val="32"/>
          <w:szCs w:val="32"/>
        </w:rPr>
        <w:t>支出</w:t>
      </w:r>
      <w:r>
        <w:rPr>
          <w:rFonts w:ascii="仿宋_GB2312" w:hAnsi="ˎ̥" w:eastAsia="仿宋_GB2312"/>
          <w:sz w:val="32"/>
          <w:szCs w:val="32"/>
        </w:rPr>
        <w:t>0.00</w:t>
      </w:r>
      <w:r>
        <w:rPr>
          <w:rFonts w:hint="eastAsia" w:ascii="仿宋_GB2312" w:hAnsi="ˎ̥" w:eastAsia="仿宋_GB2312"/>
          <w:sz w:val="32"/>
          <w:szCs w:val="32"/>
        </w:rPr>
        <w:t>万元.</w:t>
      </w:r>
    </w:p>
    <w:p>
      <w:pPr>
        <w:spacing w:line="578" w:lineRule="exact"/>
        <w:ind w:firstLine="640" w:firstLineChars="200"/>
        <w:rPr>
          <w:rFonts w:ascii="黑体" w:hAnsi="黑体" w:eastAsia="黑体" w:cs="黑体"/>
          <w:bCs/>
          <w:sz w:val="32"/>
          <w:szCs w:val="32"/>
        </w:rPr>
      </w:pPr>
      <w:r>
        <w:rPr>
          <w:rFonts w:hint="eastAsia" w:ascii="黑体" w:hAnsi="黑体" w:eastAsia="黑体" w:cs="黑体"/>
          <w:bCs/>
          <w:sz w:val="32"/>
          <w:szCs w:val="32"/>
        </w:rPr>
        <w:t>十、预算绩效情况说明</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（一）绩效管理工作开展情况</w:t>
      </w:r>
    </w:p>
    <w:p>
      <w:pPr>
        <w:widowControl/>
        <w:spacing w:before="100" w:beforeAutospacing="1" w:after="100" w:afterAutospacing="1"/>
        <w:ind w:firstLine="640" w:firstLineChars="200"/>
        <w:jc w:val="left"/>
        <w:rPr>
          <w:rFonts w:hint="eastAsia" w:ascii="仿宋_GB2312" w:eastAsia="仿宋_GB2312"/>
          <w:sz w:val="32"/>
          <w:szCs w:val="32"/>
        </w:rPr>
      </w:pPr>
      <w:r>
        <w:rPr>
          <w:rFonts w:hint="eastAsia" w:ascii="仿宋_GB2312" w:hAnsi="宋体" w:eastAsia="仿宋_GB2312" w:cs="仿宋_GB2312"/>
          <w:kern w:val="0"/>
          <w:sz w:val="32"/>
          <w:szCs w:val="32"/>
        </w:rPr>
        <w:t>根据预算管理要求，我单位组织对2024年度一般公共预算项目支出全面开展绩效自评。其中，自评项目5个，共涉及资金</w:t>
      </w:r>
      <w:r>
        <w:rPr>
          <w:rFonts w:ascii="仿宋_GB2312" w:hAnsi="ˎ̥" w:eastAsia="仿宋_GB2312"/>
          <w:sz w:val="32"/>
          <w:szCs w:val="32"/>
        </w:rPr>
        <w:t>2,136.83</w:t>
      </w:r>
      <w:r>
        <w:rPr>
          <w:rFonts w:hint="eastAsia" w:ascii="仿宋_GB2312" w:hAnsi="宋体" w:eastAsia="仿宋_GB2312" w:cs="仿宋_GB2312"/>
          <w:kern w:val="0"/>
          <w:sz w:val="32"/>
          <w:szCs w:val="32"/>
        </w:rPr>
        <w:t>万元，占一般公共预算项目支出总额的98.66%。</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val="en-US" w:eastAsia="zh-CN"/>
        </w:rPr>
        <w:t>单位</w:t>
      </w:r>
      <w:r>
        <w:rPr>
          <w:rFonts w:hint="eastAsia" w:ascii="楷体" w:hAnsi="楷体" w:eastAsia="楷体" w:cs="楷体"/>
          <w:bCs/>
          <w:sz w:val="32"/>
          <w:szCs w:val="32"/>
        </w:rPr>
        <w:t>决算中项目绩效自评结果</w:t>
      </w:r>
    </w:p>
    <w:p>
      <w:pPr>
        <w:spacing w:line="578" w:lineRule="exact"/>
        <w:ind w:firstLine="1600" w:firstLineChars="500"/>
        <w:rPr>
          <w:rFonts w:hint="eastAsia" w:ascii="仿宋_GB2312" w:eastAsia="仿宋_GB2312"/>
          <w:sz w:val="32"/>
          <w:szCs w:val="32"/>
        </w:rPr>
      </w:pPr>
    </w:p>
    <w:p>
      <w:pPr>
        <w:spacing w:line="578" w:lineRule="exact"/>
        <w:ind w:firstLine="1600" w:firstLineChars="500"/>
        <w:rPr>
          <w:rFonts w:hint="eastAsia" w:ascii="仿宋_GB2312" w:eastAsia="仿宋_GB2312"/>
          <w:sz w:val="32"/>
          <w:szCs w:val="32"/>
        </w:rPr>
      </w:pPr>
      <w:r>
        <w:rPr>
          <w:rFonts w:hint="eastAsia" w:ascii="仿宋_GB2312" w:eastAsia="仿宋_GB2312"/>
          <w:sz w:val="32"/>
          <w:szCs w:val="32"/>
        </w:rPr>
        <w:t>无</w:t>
      </w:r>
    </w:p>
    <w:p>
      <w:pPr>
        <w:spacing w:line="578" w:lineRule="exact"/>
        <w:ind w:firstLine="640" w:firstLineChars="200"/>
        <w:rPr>
          <w:rFonts w:hint="eastAsia" w:ascii="楷体" w:hAnsi="楷体" w:eastAsia="楷体" w:cs="楷体"/>
          <w:bCs/>
          <w:sz w:val="32"/>
          <w:szCs w:val="32"/>
        </w:rPr>
      </w:pPr>
    </w:p>
    <w:p>
      <w:p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（三）</w:t>
      </w:r>
      <w:r>
        <w:rPr>
          <w:rFonts w:hint="eastAsia" w:ascii="楷体" w:hAnsi="楷体" w:eastAsia="楷体" w:cs="楷体"/>
          <w:bCs/>
          <w:sz w:val="32"/>
          <w:szCs w:val="32"/>
          <w:lang w:val="en-US" w:eastAsia="zh-CN"/>
        </w:rPr>
        <w:t>单位</w:t>
      </w:r>
      <w:r>
        <w:rPr>
          <w:rFonts w:hint="eastAsia" w:ascii="楷体" w:hAnsi="楷体" w:eastAsia="楷体" w:cs="楷体"/>
          <w:bCs/>
          <w:sz w:val="32"/>
          <w:szCs w:val="32"/>
        </w:rPr>
        <w:t>评价结果</w:t>
      </w:r>
    </w:p>
    <w:p>
      <w:pPr>
        <w:spacing w:line="578" w:lineRule="exact"/>
        <w:ind w:firstLine="1600" w:firstLineChars="500"/>
        <w:rPr>
          <w:rFonts w:hint="eastAsia" w:ascii="仿宋_GB2312" w:hAnsi="仿宋_GB2312" w:eastAsia="仿宋_GB2312" w:cs="仿宋_GB2312"/>
          <w:kern w:val="0"/>
          <w:sz w:val="32"/>
          <w:szCs w:val="32"/>
          <w:lang w:bidi="ar"/>
        </w:rPr>
      </w:pPr>
    </w:p>
    <w:p>
      <w:pPr>
        <w:spacing w:line="578" w:lineRule="exact"/>
        <w:ind w:firstLine="1600" w:firstLineChars="500"/>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无</w:t>
      </w:r>
    </w:p>
    <w:p>
      <w:pPr>
        <w:spacing w:line="578" w:lineRule="exact"/>
        <w:ind w:firstLine="640" w:firstLineChars="200"/>
        <w:rPr>
          <w:rFonts w:hint="eastAsia" w:ascii="楷体" w:hAnsi="楷体" w:eastAsia="楷体" w:cs="楷体"/>
          <w:bCs/>
          <w:sz w:val="32"/>
          <w:szCs w:val="32"/>
        </w:rPr>
      </w:pPr>
    </w:p>
    <w:p>
      <w:pPr>
        <w:numPr>
          <w:ilvl w:val="0"/>
          <w:numId w:val="3"/>
        </w:numPr>
        <w:spacing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财政评价结果</w:t>
      </w:r>
    </w:p>
    <w:p>
      <w:pPr>
        <w:spacing w:line="578" w:lineRule="exact"/>
        <w:ind w:firstLine="1600" w:firstLineChars="500"/>
        <w:rPr>
          <w:rFonts w:hint="eastAsia" w:ascii="仿宋_GB2312" w:eastAsia="仿宋_GB2312"/>
          <w:sz w:val="32"/>
          <w:szCs w:val="32"/>
          <w:lang w:val="zh-CN"/>
        </w:rPr>
      </w:pPr>
    </w:p>
    <w:p>
      <w:pPr>
        <w:spacing w:line="578" w:lineRule="exact"/>
        <w:ind w:firstLine="1600" w:firstLineChars="500"/>
        <w:rPr>
          <w:rFonts w:hint="eastAsia" w:ascii="仿宋_GB2312" w:eastAsia="仿宋_GB2312"/>
          <w:sz w:val="32"/>
          <w:szCs w:val="32"/>
          <w:lang w:val="zh-CN"/>
        </w:rPr>
      </w:pPr>
      <w:r>
        <w:rPr>
          <w:rFonts w:hint="eastAsia" w:ascii="仿宋_GB2312" w:eastAsia="仿宋_GB2312"/>
          <w:sz w:val="32"/>
          <w:szCs w:val="32"/>
          <w:lang w:val="zh-CN"/>
        </w:rPr>
        <w:t>无</w:t>
      </w:r>
    </w:p>
    <w:p>
      <w:pPr>
        <w:spacing w:line="578" w:lineRule="exact"/>
        <w:ind w:firstLine="320" w:firstLineChars="100"/>
        <w:rPr>
          <w:rFonts w:hint="eastAsia" w:ascii="黑体" w:hAnsi="黑体" w:eastAsia="黑体" w:cs="黑体"/>
          <w:bCs/>
          <w:sz w:val="32"/>
          <w:szCs w:val="32"/>
        </w:rPr>
      </w:pPr>
    </w:p>
    <w:p>
      <w:pPr>
        <w:spacing w:line="578" w:lineRule="exact"/>
        <w:ind w:firstLine="640" w:firstLineChars="200"/>
        <w:rPr>
          <w:rFonts w:ascii="黑体" w:hAnsi="黑体" w:eastAsia="黑体" w:cs="黑体"/>
          <w:bCs/>
          <w:sz w:val="32"/>
          <w:szCs w:val="32"/>
        </w:rPr>
      </w:pPr>
      <w:r>
        <w:rPr>
          <w:rFonts w:hint="eastAsia" w:ascii="黑体" w:hAnsi="黑体" w:eastAsia="黑体" w:cs="黑体"/>
          <w:bCs/>
          <w:sz w:val="32"/>
          <w:szCs w:val="32"/>
        </w:rPr>
        <w:t>十一、其他重要事项情况说明</w:t>
      </w:r>
    </w:p>
    <w:p>
      <w:pPr>
        <w:spacing w:line="578" w:lineRule="exact"/>
        <w:ind w:firstLine="640" w:firstLineChars="200"/>
        <w:rPr>
          <w:rFonts w:ascii="楷体" w:hAnsi="楷体" w:eastAsia="楷体" w:cs="楷体"/>
          <w:bCs/>
          <w:sz w:val="32"/>
          <w:szCs w:val="32"/>
        </w:rPr>
      </w:pPr>
      <w:bookmarkStart w:id="96" w:name="_Toc18325_WPSOffice_Level2"/>
      <w:bookmarkStart w:id="97" w:name="_Toc5978_WPSOffice_Level2"/>
      <w:bookmarkStart w:id="98" w:name="_Toc32639_WPSOffice_Level2"/>
      <w:bookmarkStart w:id="99" w:name="_Toc15262_WPSOffice_Level2"/>
      <w:bookmarkStart w:id="100" w:name="_Toc15565_WPSOffice_Level2"/>
      <w:bookmarkStart w:id="101" w:name="_Toc23598_WPSOffice_Level2"/>
      <w:r>
        <w:rPr>
          <w:rFonts w:hint="eastAsia" w:ascii="楷体" w:hAnsi="楷体" w:eastAsia="楷体" w:cs="楷体"/>
          <w:bCs/>
          <w:sz w:val="32"/>
          <w:szCs w:val="32"/>
        </w:rPr>
        <w:t>（一）机关运行经费支出情况</w:t>
      </w:r>
      <w:bookmarkEnd w:id="96"/>
      <w:bookmarkEnd w:id="97"/>
      <w:bookmarkEnd w:id="98"/>
      <w:bookmarkEnd w:id="99"/>
      <w:bookmarkEnd w:id="100"/>
      <w:bookmarkEnd w:id="101"/>
    </w:p>
    <w:p>
      <w:pPr>
        <w:widowControl/>
        <w:spacing w:before="100" w:beforeAutospacing="1" w:after="100" w:afterAutospacing="1"/>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2024年度屯昌县枫木镇枫木中心无机关运行经费。</w:t>
      </w:r>
    </w:p>
    <w:p>
      <w:pPr>
        <w:spacing w:line="578" w:lineRule="exact"/>
        <w:ind w:firstLine="640" w:firstLineChars="200"/>
        <w:rPr>
          <w:rFonts w:ascii="楷体" w:hAnsi="楷体" w:eastAsia="楷体" w:cs="楷体"/>
          <w:bCs/>
          <w:sz w:val="32"/>
          <w:szCs w:val="32"/>
        </w:rPr>
      </w:pPr>
      <w:bookmarkStart w:id="102" w:name="_Toc3131_WPSOffice_Level2"/>
      <w:bookmarkStart w:id="103" w:name="_Toc25333_WPSOffice_Level2"/>
      <w:bookmarkStart w:id="104" w:name="_Toc23966_WPSOffice_Level2"/>
      <w:bookmarkStart w:id="105" w:name="_Toc13084_WPSOffice_Level2"/>
      <w:bookmarkStart w:id="106" w:name="_Toc30383_WPSOffice_Level2"/>
      <w:bookmarkStart w:id="107" w:name="_Toc32689_WPSOffice_Level2"/>
      <w:r>
        <w:rPr>
          <w:rFonts w:hint="eastAsia" w:ascii="楷体" w:hAnsi="楷体" w:eastAsia="楷体" w:cs="楷体"/>
          <w:bCs/>
          <w:sz w:val="32"/>
          <w:szCs w:val="32"/>
        </w:rPr>
        <w:t>（二）政府采购支出情况</w:t>
      </w:r>
      <w:bookmarkEnd w:id="102"/>
      <w:bookmarkEnd w:id="103"/>
      <w:bookmarkEnd w:id="104"/>
      <w:bookmarkEnd w:id="105"/>
      <w:bookmarkEnd w:id="106"/>
      <w:bookmarkEnd w:id="107"/>
    </w:p>
    <w:p>
      <w:pPr>
        <w:widowControl/>
        <w:spacing w:before="100" w:beforeAutospacing="1" w:after="100" w:afterAutospacing="1"/>
        <w:ind w:firstLine="640" w:firstLineChars="200"/>
        <w:rPr>
          <w:rFonts w:hint="eastAsia" w:ascii="仿宋_GB2312" w:hAnsi="ˎ̥" w:eastAsia="仿宋_GB2312" w:cs="仿宋_GB2312"/>
          <w:kern w:val="0"/>
          <w:sz w:val="32"/>
          <w:szCs w:val="32"/>
        </w:rPr>
      </w:pPr>
      <w:bookmarkStart w:id="108" w:name="_Toc15129_WPSOffice_Level2"/>
      <w:bookmarkStart w:id="109" w:name="_Toc29584_WPSOffice_Level2"/>
      <w:bookmarkStart w:id="110" w:name="_Toc527_WPSOffice_Level2"/>
      <w:bookmarkStart w:id="111" w:name="_Toc6016_WPSOffice_Level2"/>
      <w:bookmarkStart w:id="112" w:name="_Toc19989_WPSOffice_Level2"/>
      <w:bookmarkStart w:id="113" w:name="_Toc10902_WPSOffice_Level2"/>
      <w:r>
        <w:rPr>
          <w:rFonts w:hint="eastAsia" w:ascii="仿宋_GB2312" w:hAnsi="ˎ̥" w:eastAsia="仿宋_GB2312" w:cs="仿宋_GB2312"/>
          <w:kern w:val="0"/>
          <w:sz w:val="32"/>
          <w:szCs w:val="32"/>
        </w:rPr>
        <w:t>2024年度屯昌县枫木镇枫木中心政府采购支出总额0万元。</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（三）国有资产占用情况</w:t>
      </w:r>
      <w:bookmarkEnd w:id="108"/>
      <w:bookmarkEnd w:id="109"/>
      <w:bookmarkEnd w:id="110"/>
      <w:bookmarkEnd w:id="111"/>
      <w:bookmarkEnd w:id="112"/>
      <w:bookmarkEnd w:id="113"/>
    </w:p>
    <w:p>
      <w:pPr>
        <w:widowControl/>
        <w:spacing w:before="100" w:beforeAutospacing="1" w:after="100" w:afterAutospacing="1" w:line="578" w:lineRule="exact"/>
        <w:ind w:firstLine="640" w:firstLineChars="200"/>
        <w:rPr>
          <w:rFonts w:hint="eastAsia" w:ascii="仿宋_GB2312" w:hAnsi="ˎ̥" w:eastAsia="仿宋_GB2312" w:cs="仿宋_GB2312"/>
          <w:kern w:val="0"/>
          <w:sz w:val="32"/>
          <w:szCs w:val="32"/>
        </w:rPr>
      </w:pPr>
      <w:bookmarkStart w:id="114" w:name="_Toc4398_WPSOffice_Level1"/>
      <w:bookmarkStart w:id="115" w:name="_Toc15425_WPSOffice_Level1"/>
      <w:bookmarkStart w:id="116" w:name="_Toc8874_WPSOffice_Level1"/>
      <w:bookmarkStart w:id="117" w:name="_Toc8808_WPSOffice_Level1"/>
      <w:bookmarkStart w:id="118" w:name="_Toc17580_WPSOffice_Level1"/>
      <w:bookmarkStart w:id="119" w:name="_Toc11039_WPSOffice_Level1"/>
      <w:r>
        <w:rPr>
          <w:rFonts w:hint="eastAsia" w:ascii="仿宋_GB2312" w:hAnsi="ˎ̥" w:eastAsia="仿宋_GB2312" w:cs="仿宋_GB2312"/>
          <w:kern w:val="0"/>
          <w:sz w:val="32"/>
          <w:szCs w:val="32"/>
        </w:rPr>
        <w:t>截至2024年12月31日，本部门占用房屋面积5186.04平方米，其中：办公用房5186.04平方米，业务用房0平方米，其他（不含构筑物）0平方米。</w:t>
      </w:r>
    </w:p>
    <w:p>
      <w:pPr>
        <w:widowControl/>
        <w:spacing w:before="100" w:beforeAutospacing="1" w:after="100" w:afterAutospacing="1" w:line="578" w:lineRule="exact"/>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本部门共有车辆0辆。</w:t>
      </w:r>
    </w:p>
    <w:p>
      <w:pPr>
        <w:widowControl/>
        <w:spacing w:before="100" w:beforeAutospacing="1" w:after="100" w:afterAutospacing="1" w:line="578" w:lineRule="exact"/>
        <w:ind w:firstLine="640" w:firstLineChars="200"/>
        <w:rPr>
          <w:rFonts w:hint="eastAsia" w:ascii="仿宋_GB2312" w:hAnsi="ˎ̥" w:eastAsia="仿宋_GB2312" w:cs="仿宋_GB2312"/>
          <w:kern w:val="0"/>
          <w:sz w:val="32"/>
          <w:szCs w:val="32"/>
        </w:rPr>
      </w:pPr>
      <w:r>
        <w:rPr>
          <w:rFonts w:hint="eastAsia" w:ascii="仿宋_GB2312" w:hAnsi="ˎ̥" w:eastAsia="仿宋_GB2312" w:cs="仿宋_GB2312"/>
          <w:kern w:val="0"/>
          <w:sz w:val="32"/>
          <w:szCs w:val="32"/>
        </w:rPr>
        <w:t>单位价值50万元（含）以上通用设备0台（套），单价100万元（含）以上专用设备0台（套）。</w:t>
      </w:r>
    </w:p>
    <w:p>
      <w:pPr>
        <w:widowControl/>
        <w:spacing w:before="100" w:beforeAutospacing="1" w:after="100" w:afterAutospacing="1" w:line="578" w:lineRule="exact"/>
        <w:ind w:firstLine="640" w:firstLineChars="200"/>
        <w:rPr>
          <w:rFonts w:hint="eastAsia" w:ascii="黑体" w:hAnsi="ˎ̥" w:eastAsia="黑体" w:cs="黑体"/>
          <w:kern w:val="0"/>
          <w:sz w:val="32"/>
          <w:szCs w:val="32"/>
        </w:rPr>
      </w:pPr>
      <w:r>
        <w:rPr>
          <w:rFonts w:hint="eastAsia" w:ascii="仿宋_GB2312" w:hAnsi="ˎ̥" w:eastAsia="仿宋_GB2312" w:cs="仿宋_GB2312"/>
          <w:kern w:val="0"/>
          <w:sz w:val="32"/>
          <w:szCs w:val="32"/>
        </w:rPr>
        <w:t>年末在建工程0万元。</w:t>
      </w:r>
    </w:p>
    <w:p>
      <w:pPr>
        <w:spacing w:line="578" w:lineRule="exact"/>
        <w:jc w:val="center"/>
        <w:rPr>
          <w:rFonts w:ascii="黑体" w:hAnsi="ˎ̥" w:eastAsia="黑体"/>
          <w:sz w:val="32"/>
          <w:szCs w:val="32"/>
        </w:rPr>
      </w:pPr>
      <w:r>
        <w:rPr>
          <w:rFonts w:hint="eastAsia" w:ascii="黑体" w:hAnsi="ˎ̥" w:eastAsia="黑体"/>
          <w:sz w:val="32"/>
          <w:szCs w:val="32"/>
        </w:rPr>
        <w:t>第四部分  名词解释</w:t>
      </w:r>
      <w:bookmarkEnd w:id="114"/>
      <w:bookmarkEnd w:id="115"/>
      <w:bookmarkEnd w:id="116"/>
      <w:bookmarkEnd w:id="117"/>
      <w:bookmarkEnd w:id="118"/>
      <w:bookmarkEnd w:id="119"/>
    </w:p>
    <w:p>
      <w:pPr>
        <w:spacing w:line="578" w:lineRule="exact"/>
        <w:jc w:val="center"/>
        <w:rPr>
          <w:rFonts w:ascii="黑体" w:hAnsi="ˎ̥" w:eastAsia="黑体"/>
          <w:sz w:val="32"/>
          <w:szCs w:val="32"/>
        </w:rPr>
      </w:pPr>
    </w:p>
    <w:p>
      <w:pPr>
        <w:numPr>
          <w:ilvl w:val="0"/>
          <w:numId w:val="4"/>
        </w:num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spacing w:line="578" w:lineRule="exact"/>
        <w:ind w:firstLine="645"/>
        <w:rPr>
          <w:rFonts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spacing w:line="578" w:lineRule="exact"/>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Segoe Print"/>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09C4BB8B"/>
    <w:multiLevelType w:val="singleLevel"/>
    <w:tmpl w:val="09C4BB8B"/>
    <w:lvl w:ilvl="0" w:tentative="0">
      <w:start w:val="4"/>
      <w:numFmt w:val="chineseCounting"/>
      <w:suff w:val="nothing"/>
      <w:lvlText w:val="（%1）"/>
      <w:lvlJc w:val="left"/>
      <w:rPr>
        <w:rFonts w:hint="eastAsia"/>
      </w:rPr>
    </w:lvl>
  </w:abstractNum>
  <w:abstractNum w:abstractNumId="2">
    <w:nsid w:val="1CDB82E8"/>
    <w:multiLevelType w:val="multilevel"/>
    <w:tmpl w:val="1CDB82E8"/>
    <w:lvl w:ilvl="0" w:tentative="0">
      <w:start w:val="3"/>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097E93"/>
    <w:rsid w:val="000A6806"/>
    <w:rsid w:val="001E4E23"/>
    <w:rsid w:val="001E510D"/>
    <w:rsid w:val="001F28C1"/>
    <w:rsid w:val="001F4EC0"/>
    <w:rsid w:val="00213789"/>
    <w:rsid w:val="00262F18"/>
    <w:rsid w:val="002A6E07"/>
    <w:rsid w:val="0034456B"/>
    <w:rsid w:val="003D2F77"/>
    <w:rsid w:val="003D4939"/>
    <w:rsid w:val="0044461F"/>
    <w:rsid w:val="004C755C"/>
    <w:rsid w:val="004D515A"/>
    <w:rsid w:val="004D5572"/>
    <w:rsid w:val="0050273F"/>
    <w:rsid w:val="00513897"/>
    <w:rsid w:val="00530C81"/>
    <w:rsid w:val="005C43A2"/>
    <w:rsid w:val="005E64FB"/>
    <w:rsid w:val="005F5987"/>
    <w:rsid w:val="00602EED"/>
    <w:rsid w:val="006A3BCE"/>
    <w:rsid w:val="006B0D64"/>
    <w:rsid w:val="00731FC7"/>
    <w:rsid w:val="00740E64"/>
    <w:rsid w:val="00754F6E"/>
    <w:rsid w:val="007A4101"/>
    <w:rsid w:val="007E5083"/>
    <w:rsid w:val="008232A9"/>
    <w:rsid w:val="00896ADB"/>
    <w:rsid w:val="009178C7"/>
    <w:rsid w:val="00960790"/>
    <w:rsid w:val="009A2744"/>
    <w:rsid w:val="00A54A37"/>
    <w:rsid w:val="00A70448"/>
    <w:rsid w:val="00AA19F3"/>
    <w:rsid w:val="00AC28EE"/>
    <w:rsid w:val="00AC3F0E"/>
    <w:rsid w:val="00B36E61"/>
    <w:rsid w:val="00B409FF"/>
    <w:rsid w:val="00B4133E"/>
    <w:rsid w:val="00B45EE7"/>
    <w:rsid w:val="00B54DE8"/>
    <w:rsid w:val="00B63E9E"/>
    <w:rsid w:val="00B81413"/>
    <w:rsid w:val="00BC0439"/>
    <w:rsid w:val="00BE7665"/>
    <w:rsid w:val="00C04C21"/>
    <w:rsid w:val="00C3690A"/>
    <w:rsid w:val="00C71FD9"/>
    <w:rsid w:val="00C7436A"/>
    <w:rsid w:val="00CA0F14"/>
    <w:rsid w:val="00CA536B"/>
    <w:rsid w:val="00CB0D1E"/>
    <w:rsid w:val="00CC3C1B"/>
    <w:rsid w:val="00CD6E49"/>
    <w:rsid w:val="00CD794A"/>
    <w:rsid w:val="00D867A3"/>
    <w:rsid w:val="00DA2371"/>
    <w:rsid w:val="00DB612B"/>
    <w:rsid w:val="00DC2A37"/>
    <w:rsid w:val="00DE081C"/>
    <w:rsid w:val="00DE3F20"/>
    <w:rsid w:val="00DF2AE0"/>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E3630B9"/>
    <w:rsid w:val="230942D7"/>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A1D7D67"/>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字符"/>
    <w:link w:val="2"/>
    <w:qFormat/>
    <w:uiPriority w:val="0"/>
    <w:rPr>
      <w:kern w:val="2"/>
      <w:sz w:val="21"/>
      <w:szCs w:val="24"/>
    </w:rPr>
  </w:style>
  <w:style w:type="character" w:customStyle="1" w:styleId="12">
    <w:name w:val="批注框文本 字符"/>
    <w:link w:val="3"/>
    <w:qFormat/>
    <w:uiPriority w:val="0"/>
    <w:rPr>
      <w:kern w:val="2"/>
      <w:sz w:val="18"/>
      <w:szCs w:val="18"/>
    </w:rPr>
  </w:style>
  <w:style w:type="character" w:customStyle="1" w:styleId="13">
    <w:name w:val="页眉 字符"/>
    <w:link w:val="5"/>
    <w:qFormat/>
    <w:uiPriority w:val="0"/>
    <w:rPr>
      <w:kern w:val="2"/>
      <w:sz w:val="18"/>
      <w:szCs w:val="18"/>
    </w:rPr>
  </w:style>
  <w:style w:type="character" w:customStyle="1" w:styleId="14">
    <w:name w:val="批注主题 字符"/>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 w:type="paragraph" w:styleId="18">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1011</Words>
  <Characters>5768</Characters>
  <Lines>48</Lines>
  <Paragraphs>13</Paragraphs>
  <TotalTime>1617</TotalTime>
  <ScaleCrop>false</ScaleCrop>
  <LinksUpToDate>false</LinksUpToDate>
  <CharactersWithSpaces>6766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561T</cp:lastModifiedBy>
  <cp:lastPrinted>2023-08-03T00:58:00Z</cp:lastPrinted>
  <dcterms:modified xsi:type="dcterms:W3CDTF">2025-10-26T11:29:25Z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